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Registration No. 333-128797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July 18,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POST-EFFECTIVE AMENDMENT NO. 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2"/>
          <w:szCs w:val="22"/>
          <w:b w:val="1"/>
          <w:bCs w:val="1"/>
          <w:color w:val="auto"/>
        </w:rPr>
        <w:t>ORM</w:t>
      </w:r>
      <w:r>
        <w:rPr>
          <w:rFonts w:ascii="Arial" w:cs="Arial" w:eastAsia="Arial" w:hAnsi="Arial"/>
          <w:sz w:val="32"/>
          <w:szCs w:val="32"/>
          <w:b w:val="1"/>
          <w:bCs w:val="1"/>
          <w:color w:val="auto"/>
        </w:rPr>
        <w:t xml:space="preserve"> S-3</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337" w:right="239" w:bottom="63" w:gutter="0" w:footer="0" w:header="0"/>
        </w:sectPr>
      </w:pPr>
    </w:p>
    <w:p>
      <w:pPr>
        <w:spacing w:after="0" w:line="205"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337" w:right="239" w:bottom="63"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and telephone number, including area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B. Stratton,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475-3100</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i w:val="1"/>
          <w:iCs w:val="1"/>
          <w:color w:val="auto"/>
        </w:rPr>
        <w:t>(Name, address, including zip code, and telephone</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i w:val="1"/>
          <w:iCs w:val="1"/>
          <w:color w:val="auto"/>
        </w:rPr>
        <w:t>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Please send copies of all communications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Geoffrey Davis,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Ropes &amp; Gray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International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Approximate date of commencement of proposed sale to the public </w:t>
      </w:r>
      <w:r>
        <w:rPr>
          <w:rFonts w:ascii="Arial" w:cs="Arial" w:eastAsia="Arial" w:hAnsi="Arial"/>
          <w:sz w:val="18"/>
          <w:szCs w:val="18"/>
          <w:b w:val="1"/>
          <w:bCs w:val="1"/>
          <w:color w:val="auto"/>
        </w:rPr>
        <w:t>Not Applicable</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4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o</w:t>
      </w:r>
    </w:p>
    <w:p>
      <w:pPr>
        <w:spacing w:after="0" w:line="16"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2" w:lineRule="exact"/>
        <w:rPr>
          <w:sz w:val="24"/>
          <w:szCs w:val="24"/>
          <w:color w:val="auto"/>
        </w:rPr>
      </w:pPr>
    </w:p>
    <w:p>
      <w:pPr>
        <w:ind w:right="76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6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6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596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5460" w:type="dxa"/>
            <w:vAlign w:val="bottom"/>
          </w:tcPr>
          <w:p>
            <w:pPr>
              <w:ind w:left="9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412"/>
        </w:trPr>
        <w:tc>
          <w:tcPr>
            <w:tcW w:w="5960" w:type="dxa"/>
            <w:vAlign w:val="bottom"/>
          </w:tcPr>
          <w:p>
            <w:pPr>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5460" w:type="dxa"/>
            <w:vAlign w:val="bottom"/>
          </w:tcPr>
          <w:p>
            <w:pPr>
              <w:ind w:left="900"/>
              <w:spacing w:after="0"/>
              <w:rPr>
                <w:sz w:val="20"/>
                <w:szCs w:val="20"/>
                <w:color w:val="auto"/>
              </w:rPr>
            </w:pPr>
            <w:r>
              <w:rPr>
                <w:rFonts w:ascii="Arial" w:cs="Arial" w:eastAsia="Arial" w:hAnsi="Arial"/>
                <w:sz w:val="18"/>
                <w:szCs w:val="18"/>
                <w:color w:val="auto"/>
              </w:rPr>
              <w:t>Smaller reporting company o</w:t>
            </w:r>
          </w:p>
        </w:tc>
      </w:tr>
      <w:tr>
        <w:trPr>
          <w:trHeight w:val="189"/>
        </w:trPr>
        <w:tc>
          <w:tcPr>
            <w:tcW w:w="596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spacing w:after="0"/>
              <w:rPr>
                <w:sz w:val="16"/>
                <w:szCs w:val="16"/>
                <w:color w:val="auto"/>
              </w:rPr>
            </w:pPr>
          </w:p>
        </w:tc>
      </w:tr>
      <w:tr>
        <w:trPr>
          <w:trHeight w:val="28"/>
        </w:trPr>
        <w:tc>
          <w:tcPr>
            <w:tcW w:w="596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37" w:right="239" w:bottom="63"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DEREGISTRATION OF UNSOLD SECURITIES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This Post-Effective Amendment No. 1 ( “Post-Effective Amendment No. 1”) relates to the Registration Statement on Form S-3 of the Registrant (File No. 333-128797) (the “Registration Statement”) pertaining to the shelf registration of an indeterminate number of shares of the Registrant’s common stock, $0.01 par value per share (“Common Stock”), up to a total dollar amount of $100,000,000, which was filed with the Securities and Exchange Commission on October 3, 2005, as amended by pre-effective Amendment No. 1 on November 3, 2005.</w:t>
      </w:r>
    </w:p>
    <w:p>
      <w:pPr>
        <w:spacing w:after="0" w:line="79" w:lineRule="exact"/>
        <w:rPr>
          <w:sz w:val="20"/>
          <w:szCs w:val="20"/>
          <w:color w:val="auto"/>
        </w:rPr>
      </w:pPr>
    </w:p>
    <w:p>
      <w:pPr>
        <w:jc w:val="both"/>
        <w:ind w:right="460" w:firstLine="225"/>
        <w:spacing w:after="0" w:line="264" w:lineRule="auto"/>
        <w:rPr>
          <w:sz w:val="20"/>
          <w:szCs w:val="20"/>
          <w:color w:val="auto"/>
        </w:rPr>
      </w:pPr>
      <w:r>
        <w:rPr>
          <w:rFonts w:ascii="Arial" w:cs="Arial" w:eastAsia="Arial" w:hAnsi="Arial"/>
          <w:sz w:val="18"/>
          <w:szCs w:val="18"/>
          <w:color w:val="auto"/>
        </w:rPr>
        <w:t>In accordance with the Registrant’s undertaking in Part II, Item 17(c)(3) of the Registration Statement, this Post-Effective Amendment No. 1 hereby amends the Registration Statement to deregister any shares of Common Stock registered pursuant to the Registration Statement and not otherwise sold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be signed on its behalf by the undersigned, thereunto duly authorized, in the City of Palo Alto, State of California, on July 18, 2008.</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TEM</w:t>
      </w:r>
      <w:r>
        <w:rPr>
          <w:rFonts w:ascii="Arial" w:cs="Arial" w:eastAsia="Arial" w:hAnsi="Arial"/>
          <w:sz w:val="18"/>
          <w:szCs w:val="18"/>
          <w:b w:val="1"/>
          <w:bCs w:val="1"/>
          <w:color w:val="auto"/>
        </w:rPr>
        <w:t>C</w:t>
      </w:r>
      <w:r>
        <w:rPr>
          <w:rFonts w:ascii="Arial" w:cs="Arial" w:eastAsia="Arial" w:hAnsi="Arial"/>
          <w:sz w:val="12"/>
          <w:szCs w:val="12"/>
          <w:b w:val="1"/>
          <w:bCs w:val="1"/>
          <w:color w:val="auto"/>
        </w:rPr>
        <w:t>ELLS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Martin M. McGlynn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President and Chief Executive Officer</w:t>
      </w:r>
    </w:p>
    <w:p>
      <w:pPr>
        <w:spacing w:after="0" w:line="31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has been signed below by the following persons in the capacities indicated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Martin M. McGlynn</w:t>
            </w:r>
          </w:p>
        </w:tc>
        <w:tc>
          <w:tcPr>
            <w:tcW w:w="5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President and Chief Executive Officer and 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Martin M. McGlynn</w:t>
            </w:r>
          </w:p>
        </w:tc>
        <w:tc>
          <w:tcPr>
            <w:tcW w:w="51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(principal executive officer)</w:t>
            </w:r>
          </w:p>
        </w:tc>
        <w:tc>
          <w:tcPr>
            <w:tcW w:w="1840" w:type="dxa"/>
            <w:vAlign w:val="bottom"/>
          </w:tcPr>
          <w:p>
            <w:pPr>
              <w:spacing w:after="0"/>
              <w:rPr>
                <w:sz w:val="19"/>
                <w:szCs w:val="19"/>
                <w:color w:val="auto"/>
              </w:rPr>
            </w:pPr>
          </w:p>
        </w:tc>
      </w:tr>
      <w:tr>
        <w:trPr>
          <w:trHeight w:val="431"/>
        </w:trPr>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Rodney K.B. Young</w:t>
            </w: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Financial Officer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Rodney K.B. Young</w:t>
            </w: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(principal financial officer)</w:t>
            </w:r>
          </w:p>
        </w:tc>
        <w:tc>
          <w:tcPr>
            <w:tcW w:w="1840" w:type="dxa"/>
            <w:vAlign w:val="bottom"/>
          </w:tcPr>
          <w:p>
            <w:pPr>
              <w:spacing w:after="0"/>
              <w:rPr>
                <w:sz w:val="19"/>
                <w:szCs w:val="19"/>
                <w:color w:val="auto"/>
              </w:rPr>
            </w:pPr>
          </w:p>
        </w:tc>
      </w:tr>
      <w:tr>
        <w:trPr>
          <w:trHeight w:val="431"/>
        </w:trPr>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George Koshy</w:t>
            </w:r>
          </w:p>
        </w:tc>
        <w:tc>
          <w:tcPr>
            <w:tcW w:w="51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Chief Accounting Officer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George Koshy</w:t>
            </w: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(principal accounting officer)</w:t>
            </w:r>
          </w:p>
        </w:tc>
        <w:tc>
          <w:tcPr>
            <w:tcW w:w="1840" w:type="dxa"/>
            <w:vAlign w:val="bottom"/>
          </w:tcPr>
          <w:p>
            <w:pPr>
              <w:spacing w:after="0"/>
              <w:rPr>
                <w:sz w:val="19"/>
                <w:szCs w:val="19"/>
                <w:color w:val="auto"/>
              </w:rPr>
            </w:pPr>
          </w:p>
        </w:tc>
      </w:tr>
      <w:tr>
        <w:trPr>
          <w:trHeight w:val="431"/>
        </w:trPr>
        <w:tc>
          <w:tcPr>
            <w:tcW w:w="3300" w:type="dxa"/>
            <w:vAlign w:val="bottom"/>
            <w:gridSpan w:val="3"/>
          </w:tcPr>
          <w:p>
            <w:pPr>
              <w:ind w:left="1620"/>
              <w:spacing w:after="0"/>
              <w:rPr>
                <w:sz w:val="20"/>
                <w:szCs w:val="20"/>
                <w:color w:val="auto"/>
              </w:rPr>
            </w:pPr>
            <w:r>
              <w:rPr>
                <w:rFonts w:ascii="Arial" w:cs="Arial" w:eastAsia="Arial" w:hAnsi="Arial"/>
                <w:sz w:val="18"/>
                <w:szCs w:val="18"/>
                <w:color w:val="auto"/>
              </w:rPr>
              <w:t>*</w:t>
            </w: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18, 2008</w:t>
            </w:r>
          </w:p>
        </w:tc>
      </w:tr>
      <w:tr>
        <w:trPr>
          <w:trHeight w:val="224"/>
        </w:trPr>
        <w:tc>
          <w:tcPr>
            <w:tcW w:w="20" w:type="dxa"/>
            <w:vAlign w:val="bottom"/>
          </w:tcPr>
          <w:p>
            <w:pPr>
              <w:spacing w:after="0"/>
              <w:rPr>
                <w:sz w:val="19"/>
                <w:szCs w:val="19"/>
                <w:color w:val="auto"/>
              </w:rPr>
            </w:pPr>
          </w:p>
        </w:tc>
        <w:tc>
          <w:tcPr>
            <w:tcW w:w="3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Eric H. Bjerkholt</w:t>
            </w:r>
          </w:p>
        </w:tc>
        <w:tc>
          <w:tcPr>
            <w:tcW w:w="2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3300" w:type="dxa"/>
            <w:vAlign w:val="bottom"/>
            <w:gridSpan w:val="3"/>
          </w:tcPr>
          <w:p>
            <w:pPr>
              <w:ind w:left="1620"/>
              <w:spacing w:after="0"/>
              <w:rPr>
                <w:sz w:val="20"/>
                <w:szCs w:val="20"/>
                <w:color w:val="auto"/>
              </w:rPr>
            </w:pPr>
            <w:r>
              <w:rPr>
                <w:rFonts w:ascii="Arial" w:cs="Arial" w:eastAsia="Arial" w:hAnsi="Arial"/>
                <w:sz w:val="18"/>
                <w:szCs w:val="18"/>
                <w:color w:val="auto"/>
              </w:rPr>
              <w:t>*</w:t>
            </w: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18, 2008</w:t>
            </w:r>
          </w:p>
        </w:tc>
      </w:tr>
      <w:tr>
        <w:trPr>
          <w:trHeight w:val="224"/>
        </w:trPr>
        <w:tc>
          <w:tcPr>
            <w:tcW w:w="20" w:type="dxa"/>
            <w:vAlign w:val="bottom"/>
          </w:tcPr>
          <w:p>
            <w:pPr>
              <w:spacing w:after="0"/>
              <w:rPr>
                <w:sz w:val="19"/>
                <w:szCs w:val="19"/>
                <w:color w:val="auto"/>
              </w:rPr>
            </w:pPr>
          </w:p>
        </w:tc>
        <w:tc>
          <w:tcPr>
            <w:tcW w:w="3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Ricardo B. Levy, Ph.D.</w:t>
            </w:r>
          </w:p>
        </w:tc>
        <w:tc>
          <w:tcPr>
            <w:tcW w:w="2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Desmond H. O’Connell, Jr.</w:t>
            </w: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18, 2008</w:t>
            </w:r>
          </w:p>
        </w:tc>
      </w:tr>
      <w:tr>
        <w:trPr>
          <w:trHeight w:val="224"/>
        </w:trPr>
        <w:tc>
          <w:tcPr>
            <w:tcW w:w="3300" w:type="dxa"/>
            <w:vAlign w:val="bottom"/>
            <w:gridSpan w:val="3"/>
          </w:tcPr>
          <w:p>
            <w:pPr>
              <w:spacing w:after="0"/>
              <w:rPr>
                <w:sz w:val="20"/>
                <w:szCs w:val="20"/>
                <w:color w:val="auto"/>
              </w:rPr>
            </w:pPr>
            <w:r>
              <w:rPr>
                <w:rFonts w:ascii="Arial" w:cs="Arial" w:eastAsia="Arial" w:hAnsi="Arial"/>
                <w:sz w:val="18"/>
                <w:szCs w:val="18"/>
                <w:color w:val="auto"/>
              </w:rPr>
              <w:t>Desmond H. O’Connell, Jr.</w:t>
            </w:r>
          </w:p>
        </w:tc>
        <w:tc>
          <w:tcPr>
            <w:tcW w:w="2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3300" w:type="dxa"/>
            <w:vAlign w:val="bottom"/>
            <w:gridSpan w:val="3"/>
          </w:tcPr>
          <w:p>
            <w:pPr>
              <w:ind w:left="1620"/>
              <w:spacing w:after="0"/>
              <w:rPr>
                <w:sz w:val="20"/>
                <w:szCs w:val="20"/>
                <w:color w:val="auto"/>
              </w:rPr>
            </w:pPr>
            <w:r>
              <w:rPr>
                <w:rFonts w:ascii="Arial" w:cs="Arial" w:eastAsia="Arial" w:hAnsi="Arial"/>
                <w:sz w:val="18"/>
                <w:szCs w:val="18"/>
                <w:color w:val="auto"/>
              </w:rPr>
              <w:t>*</w:t>
            </w: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18, 2008</w:t>
            </w:r>
          </w:p>
        </w:tc>
      </w:tr>
      <w:tr>
        <w:trPr>
          <w:trHeight w:val="224"/>
        </w:trPr>
        <w:tc>
          <w:tcPr>
            <w:tcW w:w="20" w:type="dxa"/>
            <w:vAlign w:val="bottom"/>
          </w:tcPr>
          <w:p>
            <w:pPr>
              <w:spacing w:after="0"/>
              <w:rPr>
                <w:sz w:val="19"/>
                <w:szCs w:val="19"/>
                <w:color w:val="auto"/>
              </w:rPr>
            </w:pPr>
          </w:p>
        </w:tc>
        <w:tc>
          <w:tcPr>
            <w:tcW w:w="3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Roger M. Perlmutter, M.D., Ph.D.</w:t>
            </w:r>
          </w:p>
        </w:tc>
        <w:tc>
          <w:tcPr>
            <w:tcW w:w="2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3300" w:type="dxa"/>
            <w:vAlign w:val="bottom"/>
            <w:gridSpan w:val="3"/>
          </w:tcPr>
          <w:p>
            <w:pPr>
              <w:ind w:left="1620"/>
              <w:spacing w:after="0"/>
              <w:rPr>
                <w:sz w:val="20"/>
                <w:szCs w:val="20"/>
                <w:color w:val="auto"/>
              </w:rPr>
            </w:pPr>
            <w:r>
              <w:rPr>
                <w:rFonts w:ascii="Arial" w:cs="Arial" w:eastAsia="Arial" w:hAnsi="Arial"/>
                <w:sz w:val="18"/>
                <w:szCs w:val="18"/>
                <w:color w:val="auto"/>
              </w:rPr>
              <w:t>*</w:t>
            </w:r>
          </w:p>
        </w:tc>
        <w:tc>
          <w:tcPr>
            <w:tcW w:w="5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Director, Chairman of the Board</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18, 2008</w:t>
            </w:r>
          </w:p>
        </w:tc>
      </w:tr>
      <w:tr>
        <w:trPr>
          <w:trHeight w:val="224"/>
        </w:trPr>
        <w:tc>
          <w:tcPr>
            <w:tcW w:w="20" w:type="dxa"/>
            <w:vAlign w:val="bottom"/>
          </w:tcPr>
          <w:p>
            <w:pPr>
              <w:spacing w:after="0"/>
              <w:rPr>
                <w:sz w:val="19"/>
                <w:szCs w:val="19"/>
                <w:color w:val="auto"/>
              </w:rPr>
            </w:pPr>
          </w:p>
        </w:tc>
        <w:tc>
          <w:tcPr>
            <w:tcW w:w="3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J. Schwartz, Ph.D.</w:t>
            </w:r>
          </w:p>
        </w:tc>
        <w:tc>
          <w:tcPr>
            <w:tcW w:w="2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3300" w:type="dxa"/>
            <w:vAlign w:val="bottom"/>
            <w:gridSpan w:val="3"/>
          </w:tcPr>
          <w:p>
            <w:pPr>
              <w:ind w:left="1620"/>
              <w:spacing w:after="0"/>
              <w:rPr>
                <w:sz w:val="20"/>
                <w:szCs w:val="20"/>
                <w:color w:val="auto"/>
              </w:rPr>
            </w:pPr>
            <w:r>
              <w:rPr>
                <w:rFonts w:ascii="Arial" w:cs="Arial" w:eastAsia="Arial" w:hAnsi="Arial"/>
                <w:sz w:val="18"/>
                <w:szCs w:val="18"/>
                <w:color w:val="auto"/>
              </w:rPr>
              <w:t>*</w:t>
            </w:r>
          </w:p>
        </w:tc>
        <w:tc>
          <w:tcPr>
            <w:tcW w:w="51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860"/>
              <w:spacing w:after="0"/>
              <w:rPr>
                <w:sz w:val="20"/>
                <w:szCs w:val="20"/>
                <w:color w:val="auto"/>
              </w:rPr>
            </w:pPr>
            <w:r>
              <w:rPr>
                <w:rFonts w:ascii="Arial" w:cs="Arial" w:eastAsia="Arial" w:hAnsi="Arial"/>
                <w:sz w:val="18"/>
                <w:szCs w:val="18"/>
                <w:color w:val="auto"/>
                <w:w w:val="89"/>
              </w:rPr>
              <w:t>July 18, 2008</w:t>
            </w:r>
          </w:p>
        </w:tc>
      </w:tr>
      <w:tr>
        <w:trPr>
          <w:trHeight w:val="224"/>
        </w:trPr>
        <w:tc>
          <w:tcPr>
            <w:tcW w:w="20" w:type="dxa"/>
            <w:vAlign w:val="bottom"/>
          </w:tcPr>
          <w:p>
            <w:pPr>
              <w:spacing w:after="0"/>
              <w:rPr>
                <w:sz w:val="19"/>
                <w:szCs w:val="19"/>
                <w:color w:val="auto"/>
              </w:rPr>
            </w:pPr>
          </w:p>
        </w:tc>
        <w:tc>
          <w:tcPr>
            <w:tcW w:w="3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Irving L. Weissman, M.D.</w:t>
            </w:r>
          </w:p>
        </w:tc>
        <w:tc>
          <w:tcPr>
            <w:tcW w:w="2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647"/>
        </w:trPr>
        <w:tc>
          <w:tcPr>
            <w:tcW w:w="3300" w:type="dxa"/>
            <w:vAlign w:val="bottom"/>
            <w:gridSpan w:val="3"/>
          </w:tcPr>
          <w:p>
            <w:pPr>
              <w:spacing w:after="0"/>
              <w:rPr>
                <w:sz w:val="20"/>
                <w:szCs w:val="20"/>
                <w:color w:val="auto"/>
              </w:rPr>
            </w:pPr>
            <w:r>
              <w:rPr>
                <w:rFonts w:ascii="Arial" w:cs="Arial" w:eastAsia="Arial" w:hAnsi="Arial"/>
                <w:sz w:val="18"/>
                <w:szCs w:val="18"/>
                <w:color w:val="auto"/>
              </w:rPr>
              <w:t>*By: /s/ Martin M. McGlynn</w:t>
            </w:r>
          </w:p>
        </w:tc>
        <w:tc>
          <w:tcPr>
            <w:tcW w:w="2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Martin M. McGlynn</w:t>
            </w:r>
          </w:p>
        </w:tc>
        <w:tc>
          <w:tcPr>
            <w:tcW w:w="2700" w:type="dxa"/>
            <w:vAlign w:val="bottom"/>
            <w:tcBorders>
              <w:top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Attorney-in-fact</w:t>
            </w:r>
          </w:p>
        </w:tc>
        <w:tc>
          <w:tcPr>
            <w:tcW w:w="2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240" w:top="95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2019-12-13T21:47:18Z</dcterms:created>
  <dcterms:modified xsi:type="dcterms:W3CDTF">2019-12-13T21:47:18Z</dcterms:modified>
</cp:coreProperties>
</file>