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1998</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0-19871</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16" w:lineRule="exact"/>
        <w:rPr>
          <w:sz w:val="24"/>
          <w:szCs w:val="24"/>
          <w:color w:val="auto"/>
        </w:rPr>
      </w:pPr>
    </w:p>
    <w:p>
      <w:pPr>
        <w:sectPr>
          <w:pgSz w:w="11900" w:h="16838" w:orient="portrait"/>
          <w:cols w:equalWidth="0" w:num="2">
            <w:col w:w="4880" w:space="720"/>
            <w:col w:w="4619"/>
          </w:cols>
          <w:pgMar w:left="240" w:top="649" w:right="1440" w:bottom="1440" w:gutter="0" w:footer="0" w:header="0"/>
          <w:type w:val="continuous"/>
        </w:sectPr>
      </w:pPr>
    </w:p>
    <w:p>
      <w:pPr>
        <w:spacing w:after="0" w:line="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1440" w:gutter="0" w:footer="0" w:header="0"/>
          <w:type w:val="continuous"/>
        </w:sectPr>
      </w:pPr>
    </w:p>
    <w:p>
      <w:pPr>
        <w:spacing w:after="0" w:line="2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94-3078125</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080" w:space="720"/>
            <w:col w:w="4419"/>
          </w:cols>
          <w:pgMar w:left="240" w:top="649" w:right="1440" w:bottom="1440" w:gutter="0" w:footer="0" w:header="0"/>
          <w:type w:val="continuous"/>
        </w:sectPr>
      </w:pPr>
    </w:p>
    <w:p>
      <w:pPr>
        <w:spacing w:after="0" w:line="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701 GEORGE WASHINGTON HIGHWAY</w:t>
      </w:r>
    </w:p>
    <w:p>
      <w:pPr>
        <w:jc w:val="center"/>
        <w:ind w:right="1879"/>
        <w:spacing w:after="0" w:line="238" w:lineRule="auto"/>
        <w:rPr>
          <w:sz w:val="20"/>
          <w:szCs w:val="20"/>
          <w:color w:val="auto"/>
        </w:rPr>
      </w:pPr>
      <w:r>
        <w:rPr>
          <w:rFonts w:ascii="Courier New" w:cs="Courier New" w:eastAsia="Courier New" w:hAnsi="Courier New"/>
          <w:sz w:val="18"/>
          <w:szCs w:val="18"/>
          <w:color w:val="auto"/>
        </w:rPr>
        <w:t>LINCOLN, RI 02865</w:t>
      </w:r>
    </w:p>
    <w:p>
      <w:pPr>
        <w:ind w:left="3280"/>
        <w:spacing w:after="0"/>
        <w:rPr>
          <w:sz w:val="20"/>
          <w:szCs w:val="20"/>
          <w:color w:val="auto"/>
        </w:rPr>
      </w:pPr>
      <w:r>
        <w:rPr>
          <w:rFonts w:ascii="Courier New" w:cs="Courier New" w:eastAsia="Courier New" w:hAnsi="Courier New"/>
          <w:sz w:val="18"/>
          <w:szCs w:val="18"/>
          <w:color w:val="auto"/>
        </w:rPr>
        <w:t>-----------------</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(401) 288-1000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Yes___X____ No_________</w:t>
      </w: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At October 31, 1998, there were 18,379,475 shares of Common Stock, $.01 par value, issued and outstanding. There were no issued and outstanding shares of Preferred Stock.</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14</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180" w:type="dxa"/>
            <w:vAlign w:val="bottom"/>
          </w:tcPr>
          <w:p>
            <w:pPr>
              <w:ind w:left="3060"/>
              <w:spacing w:after="0"/>
              <w:rPr>
                <w:sz w:val="20"/>
                <w:szCs w:val="20"/>
                <w:color w:val="auto"/>
              </w:rPr>
            </w:pPr>
            <w:r>
              <w:rPr>
                <w:rFonts w:ascii="Courier New" w:cs="Courier New" w:eastAsia="Courier New" w:hAnsi="Courier New"/>
                <w:sz w:val="18"/>
                <w:szCs w:val="18"/>
                <w:color w:val="auto"/>
              </w:rPr>
              <w:t>CYTOTHERAPEUTICS, INC.</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7180" w:type="dxa"/>
            <w:vAlign w:val="bottom"/>
          </w:tcPr>
          <w:p>
            <w:pPr>
              <w:ind w:left="4020"/>
              <w:spacing w:after="0"/>
              <w:rPr>
                <w:sz w:val="20"/>
                <w:szCs w:val="20"/>
                <w:color w:val="auto"/>
              </w:rPr>
            </w:pPr>
            <w:r>
              <w:rPr>
                <w:rFonts w:ascii="Courier New" w:cs="Courier New" w:eastAsia="Courier New" w:hAnsi="Courier New"/>
                <w:sz w:val="18"/>
                <w:szCs w:val="18"/>
                <w:color w:val="auto"/>
              </w:rPr>
              <w:t>INDEX</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Page Number</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Item 1. Financial Statements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7180" w:type="dxa"/>
            <w:vAlign w:val="bottom"/>
          </w:tcPr>
          <w:p>
            <w:pPr>
              <w:ind w:left="860"/>
              <w:spacing w:after="0"/>
              <w:rPr>
                <w:sz w:val="20"/>
                <w:szCs w:val="20"/>
                <w:color w:val="auto"/>
              </w:rPr>
            </w:pPr>
            <w:r>
              <w:rPr>
                <w:rFonts w:ascii="Courier New" w:cs="Courier New" w:eastAsia="Courier New" w:hAnsi="Courier New"/>
                <w:sz w:val="18"/>
                <w:szCs w:val="18"/>
                <w:color w:val="auto"/>
              </w:rPr>
              <w:t>Condensed Consolidated Balance Sheets (unaudited)</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September 30, 1998 and December 31, 1997</w:t>
            </w:r>
          </w:p>
        </w:tc>
        <w:tc>
          <w:tcPr>
            <w:tcW w:w="5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7180" w:type="dxa"/>
            <w:vAlign w:val="bottom"/>
          </w:tcPr>
          <w:p>
            <w:pPr>
              <w:ind w:left="860"/>
              <w:spacing w:after="0"/>
              <w:rPr>
                <w:sz w:val="20"/>
                <w:szCs w:val="20"/>
                <w:color w:val="auto"/>
              </w:rPr>
            </w:pPr>
            <w:r>
              <w:rPr>
                <w:rFonts w:ascii="Courier New" w:cs="Courier New" w:eastAsia="Courier New" w:hAnsi="Courier New"/>
                <w:sz w:val="18"/>
                <w:szCs w:val="18"/>
                <w:color w:val="auto"/>
                <w:w w:val="98"/>
              </w:rPr>
              <w:t>Condensed Consolidated Statements of Operations (unaudited)</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Three and nine months ended September 30, 1998 and 1997</w:t>
            </w:r>
          </w:p>
        </w:tc>
        <w:tc>
          <w:tcPr>
            <w:tcW w:w="5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7180" w:type="dxa"/>
            <w:vAlign w:val="bottom"/>
          </w:tcPr>
          <w:p>
            <w:pPr>
              <w:ind w:left="860"/>
              <w:spacing w:after="0"/>
              <w:rPr>
                <w:sz w:val="20"/>
                <w:szCs w:val="20"/>
                <w:color w:val="auto"/>
              </w:rPr>
            </w:pPr>
            <w:r>
              <w:rPr>
                <w:rFonts w:ascii="Courier New" w:cs="Courier New" w:eastAsia="Courier New" w:hAnsi="Courier New"/>
                <w:sz w:val="18"/>
                <w:szCs w:val="18"/>
                <w:color w:val="auto"/>
                <w:w w:val="98"/>
              </w:rPr>
              <w:t>Condensed Consolidated Statements of Cash Flows (unaudited)</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Nine months ended September 30, 1998 and 1997</w:t>
            </w:r>
          </w:p>
        </w:tc>
        <w:tc>
          <w:tcPr>
            <w:tcW w:w="5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770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8"/>
              </w:rPr>
              <w:t>Notes to Condensed Consolidated Financial Statements (unaudited)</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w:t>
            </w: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Item 2. Management's Discussion and Analysis of Financial</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5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7-12</w:t>
            </w:r>
          </w:p>
        </w:tc>
      </w:tr>
      <w:tr>
        <w:trPr>
          <w:trHeight w:val="608"/>
        </w:trPr>
        <w:tc>
          <w:tcPr>
            <w:tcW w:w="718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Item 1. Legal Proceedings</w:t>
            </w:r>
          </w:p>
        </w:tc>
        <w:tc>
          <w:tcPr>
            <w:tcW w:w="52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w:t>
            </w: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Item 6. Exhibits and Reports on Form 8-K</w:t>
            </w:r>
          </w:p>
        </w:tc>
        <w:tc>
          <w:tcPr>
            <w:tcW w:w="52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w:t>
            </w:r>
          </w:p>
        </w:tc>
      </w:tr>
      <w:tr>
        <w:trPr>
          <w:trHeight w:val="608"/>
        </w:trPr>
        <w:tc>
          <w:tcPr>
            <w:tcW w:w="718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52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w:t>
            </w:r>
          </w:p>
        </w:tc>
      </w:tr>
      <w:tr>
        <w:trPr>
          <w:trHeight w:val="608"/>
        </w:trPr>
        <w:tc>
          <w:tcPr>
            <w:tcW w:w="7180" w:type="dxa"/>
            <w:vAlign w:val="bottom"/>
          </w:tcPr>
          <w:p>
            <w:pPr>
              <w:ind w:left="3580"/>
              <w:spacing w:after="0"/>
              <w:rPr>
                <w:sz w:val="20"/>
                <w:szCs w:val="20"/>
                <w:color w:val="auto"/>
              </w:rPr>
            </w:pPr>
            <w:r>
              <w:rPr>
                <w:rFonts w:ascii="Courier New" w:cs="Courier New" w:eastAsia="Courier New" w:hAnsi="Courier New"/>
                <w:sz w:val="18"/>
                <w:szCs w:val="18"/>
                <w:color w:val="auto"/>
              </w:rPr>
              <w:t>Page 2 of 14</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September 30, 1998</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1997</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$9,289,600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$15,941,701</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7,596,571</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13,108,497</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Receivables from collaborative agreement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196,908</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150,880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1,211,891</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978,314</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18,294,970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30,179,392</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8,766,945</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7,922,751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6,473,198</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6,199,323</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$33,535,113</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$44,301,466</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$2,969,686</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$4,109,351</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revenue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8,448</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16,144</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Current maturities of capitalized lease obligations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305,000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419,095</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maturities of long term debt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1,000,000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658,986</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4,283,134</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5,203,576</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w w:val="99"/>
              </w:rPr>
              <w:t>Capitalized lease obligations, less current maturities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3,326,250</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3,552,500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debt, less current maturities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750,000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555,525</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Redeemable common stock</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5,248,610</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5,583,110</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Common stock to be issued</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48,375</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506,600</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177,586</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175,262</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122,690,018</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121,472,844</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(101,470,844)</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(91,036,254)</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(1,528,991)</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(1,702,820)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 gain (loss) on marketable securities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10,975</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(8,877)</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19,878,744</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28,900,155</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$33,535,113</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$44,301,466</w:t>
            </w:r>
          </w:p>
        </w:tc>
      </w:tr>
      <w:tr>
        <w:trPr>
          <w:trHeight w:val="203"/>
        </w:trPr>
        <w:tc>
          <w:tcPr>
            <w:tcW w:w="58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14</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31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c>
          <w:tcPr>
            <w:tcW w:w="306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280" w:type="dxa"/>
            <w:vAlign w:val="bottom"/>
          </w:tcPr>
          <w:p>
            <w:pPr>
              <w:spacing w:after="0"/>
              <w:rPr>
                <w:sz w:val="17"/>
                <w:szCs w:val="17"/>
                <w:color w:val="auto"/>
              </w:rPr>
            </w:pPr>
          </w:p>
        </w:tc>
        <w:tc>
          <w:tcPr>
            <w:tcW w:w="31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c>
          <w:tcPr>
            <w:tcW w:w="30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Revenue from collaborative arrangements</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$2,539,557</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$1,798,552</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$6,289,120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$8,740,038</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4,282,313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4,636,541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13,699,332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13,735,768</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research and development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8,312,422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8,312,422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1,281,076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1,377,468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3,692,331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4,858,815</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5,563,389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14,326,431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17,391,663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26,907,005</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Loss from operations</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(3,023,832)</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(12,527,879)</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(11,102,543)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(18,166,967)</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280,965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409,900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1,026,461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1,526,299</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(124,813)</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(51,047)</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(358,508)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(297,141)</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21,420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(89,360)</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156,152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380,273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667,953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1,139,798</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($2,867,680)</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($12,147,606)</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($10,434,590)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($17,027,169)</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loss per share</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($0.16)</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($0.73)</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($0.57)</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($1.03)</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Shares used in calculation</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18,275,784</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16,629,152</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18,224,748</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16,533,152</w:t>
            </w:r>
          </w:p>
        </w:tc>
      </w:tr>
      <w:tr>
        <w:trPr>
          <w:trHeight w:val="203"/>
        </w:trPr>
        <w:tc>
          <w:tcPr>
            <w:tcW w:w="42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14</w:t>
      </w:r>
    </w:p>
    <w:p>
      <w:pPr>
        <w:sectPr>
          <w:pgSz w:w="11900" w:h="16838" w:orient="portrait"/>
          <w:cols w:equalWidth="0" w:num="1">
            <w:col w:w="10440"/>
          </w:cols>
          <w:pgMar w:left="240" w:top="717" w:right="12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306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(unaudited)</w:t>
            </w:r>
          </w:p>
        </w:tc>
        <w:tc>
          <w:tcPr>
            <w:tcW w:w="3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120" w:type="dxa"/>
            <w:vAlign w:val="bottom"/>
          </w:tcPr>
          <w:p>
            <w:pPr>
              <w:spacing w:after="0"/>
              <w:rPr>
                <w:sz w:val="17"/>
                <w:szCs w:val="17"/>
                <w:color w:val="auto"/>
              </w:rPr>
            </w:pPr>
          </w:p>
        </w:tc>
        <w:tc>
          <w:tcPr>
            <w:tcW w:w="3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earnings (loss)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($10,434,590)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($17,027,169)</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earnings (loss) to</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1,617,494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1,452,212</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Acquired research and development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8,312,422</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Compensation expense relating to the grant</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of stock options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405,739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39,515</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Loss on sale of fixed assets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1,434</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(1,352,414)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(1,225,959)</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(9,763,771)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(8,447,545)</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20,701,919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15,020,093</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marketable securities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(15,183,133)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(12,576,903)</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property, plant and equipment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(2,101,121)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(6,452,886)</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the sale of fixed assets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3,926</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of other assets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(696,002)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(611,479)</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2,721,663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(4,617,249)</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the exercise of stock options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194,863</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577,673</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financing transactions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1,259,300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Principal payments under capitalized lease obligations</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mortgage payable</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(1,064,156)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(807,677)</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390,007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(230,004)</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on cash and cash equivalents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(232,264)</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 and cash equivalents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(6,652,101)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(13,527,062)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15,941,701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19,921,584</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Cash and cash equivalents, September 30</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$9,289,600</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$6,394,522</w:t>
            </w:r>
          </w:p>
        </w:tc>
      </w:tr>
      <w:tr>
        <w:trPr>
          <w:trHeight w:val="203"/>
        </w:trPr>
        <w:tc>
          <w:tcPr>
            <w:tcW w:w="61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14</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38" w:lineRule="auto"/>
        <w:rPr>
          <w:sz w:val="20"/>
          <w:szCs w:val="20"/>
          <w:color w:val="auto"/>
        </w:rPr>
      </w:pPr>
      <w:r>
        <w:rPr>
          <w:rFonts w:ascii="Courier New" w:cs="Courier New" w:eastAsia="Courier New" w:hAnsi="Courier New"/>
          <w:sz w:val="18"/>
          <w:szCs w:val="18"/>
          <w:color w:val="auto"/>
        </w:rPr>
        <w:t>September 30, 1998 and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BASIS OF PRESENTATION</w:t>
      </w:r>
    </w:p>
    <w:p>
      <w:pPr>
        <w:spacing w:after="0" w:line="207" w:lineRule="exact"/>
        <w:rPr>
          <w:sz w:val="20"/>
          <w:szCs w:val="20"/>
          <w:color w:val="auto"/>
        </w:rPr>
      </w:pPr>
    </w:p>
    <w:p>
      <w:pPr>
        <w:ind w:left="640" w:right="1879"/>
        <w:spacing w:after="0" w:line="270"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nine months ended September 30, 1998 are not necessarily indicative of the results that may be expected for the entire fiscal year ended December 31, 1998.</w:t>
      </w:r>
    </w:p>
    <w:p>
      <w:pPr>
        <w:spacing w:after="0" w:line="389"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The December 31, 1997 information is derived from the audited financial statements and footnotes included in the Company's Annual Report to Stockholders and the Annual Report on Form 10-K filed with the 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NET LOSS PER SHARE</w:t>
      </w:r>
    </w:p>
    <w:p>
      <w:pPr>
        <w:spacing w:after="0" w:line="207"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Net loss per share is computed using the weighted average number of shares of common stock outstanding. Common equivalent shares from stock options and warrants are excluded as their effect is antidilutive.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ADOPTION OF NEW ACCOUNTING PRONOUNCEMENT</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As of January 1, 1998, the Company adopted Statement 130, Reporting Comprehensive Income. Statement 130 establishes new rules for reporting and display of comprehensive income and its components; however, the adoption of this Statement had no impact on the Company's net income or shareholders' equity. Statement 130 requires unrealized gains or losses on the Company's available-for-sale securities and foreign currency translation adjustments, which prior to adoption were reported separately in shareholders' equity to be included in other comprehensive income.</w:t>
      </w:r>
    </w:p>
    <w:p>
      <w:pPr>
        <w:spacing w:after="0" w:line="186" w:lineRule="exact"/>
        <w:rPr>
          <w:sz w:val="20"/>
          <w:szCs w:val="20"/>
          <w:color w:val="auto"/>
        </w:rPr>
      </w:pPr>
    </w:p>
    <w:p>
      <w:pPr>
        <w:ind w:left="640" w:right="2319"/>
        <w:spacing w:after="0" w:line="237" w:lineRule="auto"/>
        <w:rPr>
          <w:sz w:val="20"/>
          <w:szCs w:val="20"/>
          <w:color w:val="auto"/>
        </w:rPr>
      </w:pPr>
      <w:r>
        <w:rPr>
          <w:rFonts w:ascii="Courier New" w:cs="Courier New" w:eastAsia="Courier New" w:hAnsi="Courier New"/>
          <w:sz w:val="18"/>
          <w:szCs w:val="18"/>
          <w:color w:val="auto"/>
        </w:rPr>
        <w:t>For the three months ended September 30, 1998 and 1997, total comprehensive loss amounted to $2,853,000 and $12,138,000. For the first nine months of 1998 and 1997, total comprehensive loss amounted to $10,415,000 and $17,100,000.</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14</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of the financial condition and results of operations of the Company for the three and nine months ended September 30, 1998 and 1997 should be read in conjunction with the accompanying unaudited, condensed consolidated financial statements and the related footnotes thereto.</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report may contain certain forward-looking statements regarding, among other things, the Company's results of operations, the progress of the Company's product development and clinical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revenues from collaborative research arrangements with corporate sponsors, and upon external financing from equity and debt offerings to finance its operations. The Company's results of operations have varied significantly from year to year and from quarter to quarter, and may vary significantly in the future due to the occurrence of material, nonrecurring events, including without limitation, the receipt of one-time, nonrecurring licensing and milestone payments.</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Three months ended September 30, 1998 and 1997</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Revenues from collaborative arrangements for the third quarter of 1998 totaled $2,540,000, which included $750,000 of increased support from Astra AB for the Company's pain program, compared to $1,799,000 in the corresponding quarter of 1997.</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Research and development expenses totaled $4,282,000 for the three months ended September 30, 1998, compared with $4,637,000 for the same period in 1997.</w:t>
      </w:r>
    </w:p>
    <w:p>
      <w:pPr>
        <w:spacing w:after="0" w:line="170"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Acquired research and development consists of a one-time charge of $8,312,000 related to the acquisition of StemCells, Inc. in the third quarter of 1997.</w:t>
      </w:r>
    </w:p>
    <w:p>
      <w:pPr>
        <w:spacing w:after="0" w:line="170"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General and administrative expenses were $1,281,000 for the three months ended September 30, 1998, compared with $1,377,000 for the same period in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for the three months ended September 30, 1998 and 1997 was</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$281,000 and $410,000, respectively. The decrease in interest income in 1998 is attributable to the lower average investment balances, $19,478,000 vs. $28,612,000 in the third quarter of 1998 and 1997, respectively.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expense was $125,000 for the three months ended September 30, 1998, compared with $51,000 for the same period in 1997. The increase from 1997 to 1998 is attributable to the capitalization of interest for the new facility in 1997 in the amount of $112,000.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loss for the three months ended September 30, 1998 was $2,868,000, or $0.16 per share, as compared to net loss of $12,148,000, or $0.73 per share, for the comparable period in 1997. The consolidated results for the third quarter of 1998 reported above include a $690,000 net loss attributable to StemCells, Inc., the Company's wholly owned subsidiary. The consolidated results for the third quarter of 1997 reported include a $485,000 net loss for the quarter attributable to Modex Therapeutiques SA, the Company's partially owned subsidiary, as well as a one-time charge of $8,312,000 related to the Company's acquisition of StemCells, Inc.</w:t>
      </w: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14</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Nine months ended September 30, 1998 and 1997</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Revenues from collaborative arrangements for the nine months ended September 30, 1998 and 1997 were $6,289,000 and $8,740,000, respectively. Revenues for the first nine months of 1997 included a one-time milestone payment of $3,000,000 from Astra AB, the Company's collaborator on its pain management program.</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Research and development expenses totaled $13,699,000 for the nine months ended September 30, 1998, compared with $13,736,000 for the same period in 1997. Acquired research and development consists of a one-time charge of $8,312,000 related to the acquisition of StemCells, Inc. in the third quarter of 1997.</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were $3,692,000 for the nine months ended September 30, 1998, compared with $4,859,000 for the same period in 1997. The decrease of $1,166,000 or 24%, from 1997 to 1998 was primarily attributable to a reduction in legal fees, recruiting and relocation expenses and fewer employees. StemCells, Inc., the Company's wholly owned subsidiary, contributed $24,000 of general and administrative expenses for the period ended September 30, 1998, while Modex Therapeutiques SA, the Company's formerly 50% owned subsidiary, contributed $410,000 for the same period in 1997.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for the nine months ended September 30, 1998 and 1997 was</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$1,026,000 and $1,526,000, respectively. The average investment balances were $25,769,000 and $34,608,000 for the first nine months of 1998 and 1997, respectively.</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Interest expense was $359,000 for the nine months ended September 30, 1998, compared with $297,000 for the same period in 1997.</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Net loss for the nine months ended September 30, 1998 was $10,435,000, or $0.57 per share, as compared to a net loss of $17,027,000, or $1.03 per share, for the comparable period in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14</w:t>
      </w:r>
    </w:p>
    <w:p>
      <w:pPr>
        <w:sectPr>
          <w:pgSz w:w="11900" w:h="16838" w:orient="portrait"/>
          <w:cols w:equalWidth="0" w:num="1">
            <w:col w:w="10219"/>
          </w:cols>
          <w:pgMar w:left="240" w:top="717" w:right="1440" w:bottom="1440" w:gutter="0" w:footer="0" w:header="0"/>
        </w:sectPr>
      </w:pPr>
    </w:p>
    <w:bookmarkStart w:id="9" w:name="page10"/>
    <w:bookmarkEnd w:id="9"/>
    <w:p>
      <w:pPr>
        <w:ind w:right="2099"/>
        <w:spacing w:after="0" w:line="237" w:lineRule="auto"/>
        <w:rPr>
          <w:sz w:val="20"/>
          <w:szCs w:val="20"/>
          <w:color w:val="auto"/>
        </w:rPr>
      </w:pPr>
      <w:r>
        <w:rPr>
          <w:rFonts w:ascii="Courier New" w:cs="Courier New" w:eastAsia="Courier New" w:hAnsi="Courier New"/>
          <w:sz w:val="18"/>
          <w:szCs w:val="18"/>
          <w:color w:val="auto"/>
        </w:rPr>
        <w:t>The Company had unrestricted cash, cash equivalents and marketable securities totaling $16,886,000 at September 30, 1998. Cash equivalents and marketable securities are invested in agencies of the U.S. government, investment grade corporate bonds and money market funds.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1996, the Company secured an equipment loan facility with a bank in the amount of $2,000,000. The Company has borrowed $2,000,000 under this agreement as of September 30, 1998. The loan required interest-only payments for the first two years; principal payments are payable over a three-year period which began in August 1998. The loan is secured by equipment purchased with the proceeds of the credit facility.</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November 1996, the Company signed collaborative development and licensing agreements with Genentech, Inc. relating to the development of products using the Company's technology to deliver certain of Genentech's proprietary growth factors to treat Parkinson's disease, Huntington's disease and amyotrophic lateral sclerosis ("ALS").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Under the terms of the agreement for Parkinson's disease, Genentech purchased 829,171 shares of common stock for $8,300,000 to fund development of products to treat Parkinson's disease. Additional equity purchases and other funding by Genentech is available for future clinical development as determined by the parties. Genentech has the right, in its discretion, to terminate the Parkinson's program at specified milestones in the program. If the Parkinson's program is terminated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upon the share price paid by Genentech. As such, the Common Stock purchased by Genentech is classified as Redeemable Common Stock until such time as the related funds are expended on the program. On May 21, 1998, Genentech exercised its right to terminate the collaboration and negotiations are currently underway to determine the balance of Redeemable Common Stock to be redeemed in accordance with the agreement.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1995, the Company signed a collaborative research and development agreement with Astra AB for the development and marketing of certain encapsulated-cell products to treat pain. Astra made an initial, nonrefundable payment of $5,000,000, a milestone payment of $3,000,000 in the first quarter of 1997 which was recognized as revenue in the second quarter of 1997 and may make up to $13,000,000 in additional payments subject to the achievement of certain development milestones. Under the agreement, the Company is</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14</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8" w:lineRule="auto"/>
        <w:rPr>
          <w:sz w:val="20"/>
          <w:szCs w:val="20"/>
          <w:color w:val="auto"/>
        </w:rPr>
      </w:pPr>
      <w:r>
        <w:rPr>
          <w:rFonts w:ascii="Courier New" w:cs="Courier New" w:eastAsia="Courier New" w:hAnsi="Courier New"/>
          <w:sz w:val="18"/>
          <w:szCs w:val="18"/>
          <w:color w:val="auto"/>
        </w:rPr>
        <w:t>obligated to conduct certain research and development pursuant to a four-year research plan agreed upon by the parties. Over the term of the research plan, the Company expects to receive annual research payments from Astra of $5 million to $7 million.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such products. Astra has the right to terminate the original agreement at any time after April 1, 1998. In May 1998, Astra AB agreed to increase the annual research and development payments from $7 million to $8.5 million for the calendar year 1998. This increase in funding is being recognized as revenue in the 3rd and 4th quarters of 1998.</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expects that its existing capital resources, revenues from collaborative agreements and income earned on invested capital will be sufficient to fund its operations into the second half of 2000. The Company's cash requirements may vary, however, depending on numerous factors. Lack of necessary funds may require the Company to: delay, scale back or eliminate some or all of its research and product development programs; and/or reduce its capital expenditures; and/or license its potential products or technologies to third parties.</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11 of 14</w:t>
      </w:r>
    </w:p>
    <w:p>
      <w:pPr>
        <w:sectPr>
          <w:pgSz w:w="11900" w:h="16838" w:orient="portrait"/>
          <w:cols w:equalWidth="0" w:num="1">
            <w:col w:w="10219"/>
          </w:cols>
          <w:pgMar w:left="240" w:top="72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year 2000 problem results from the fact that computer programs were often written using two digits rather than four to define the applicable year. Computer programs that have date-sensitive software may recognize a date using "00" as the year 1900 rather than the year 2000. The Company has tested its material software applications to determine whether each program is prepared to accommodate date information for the year 2000 and beyond. The Company found all of its material software programs to be year 2000 compliant and does not anticipate any significant disruption of its operations as a result of the failure of any of its software programs to be year 2000 compliant.</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is also testing the status of its facilities systems such as phones, voice mail, heating/air conditioning, electricity and security systems and its laboratory and manufacturing equipment to determine if they are year 2000 compliant. The Company expects to complete this testing in the first quarter of 1999. If any of the systems or equipment is found not to be year 2000 compliant, the Company intends to either seek to repair the systems or equipment to cause it to be year 2000 compliant or replace such systems or equipment with year 2000 compliant products. The cost to repair or replace any such system or equipment that is not year 2000 compliant could be material. The Company is also polling its major vendors and suppliers to determine if they are year 2000 compliant and to identify any potential issues. Each of the suppliers and vendors that has responded to the Company's inquiry has confirmed either orally or in writing that it does not believe that its sales of products or provision of services to the Company will be interrupted as a result of the year 2000 issue. There can be no assurance that the failure of one or more of the Company's major supplier's to be year 2000 compliant will not have an adverse effect on the Company's operations or financial results.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14</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PART II - ITEM 1</w:t>
      </w:r>
    </w:p>
    <w:p>
      <w:pPr>
        <w:spacing w:after="0" w:line="20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LEGAL PROCEEDINGS</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AND REPORTS ON FORM 8-K</w:t>
      </w:r>
    </w:p>
    <w:p>
      <w:pPr>
        <w:spacing w:after="0" w:line="20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Exhibit 99 - Cautionary Factors Relevant to Forward-Looking-Information.</w:t>
      </w:r>
    </w:p>
    <w:p>
      <w:pPr>
        <w:spacing w:after="0" w:line="21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6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filed a Current Report on Form 8-K on August 3, 1998 with respect to the adoption of a Shareholder Rights Plan.</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14</w:t>
      </w:r>
    </w:p>
    <w:p>
      <w:pPr>
        <w:sectPr>
          <w:pgSz w:w="11900" w:h="16838" w:orient="portrait"/>
          <w:cols w:equalWidth="0" w:num="1">
            <w:col w:w="10219"/>
          </w:cols>
          <w:pgMar w:left="240" w:top="717" w:right="1440" w:bottom="1440" w:gutter="0" w:footer="0" w:header="0"/>
        </w:sectPr>
      </w:pPr>
    </w:p>
    <w:bookmarkStart w:id="13" w:name="page14"/>
    <w:bookmarkEnd w:id="1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CYTOTHERAPEUTICS, INC.</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of 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S. McBride</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officer and</w:t>
      </w: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14 of 14</w:t>
      </w:r>
    </w:p>
    <w:p>
      <w:pPr>
        <w:sectPr>
          <w:pgSz w:w="11900" w:h="16838" w:orient="portrait"/>
          <w:cols w:equalWidth="0" w:num="1">
            <w:col w:w="10219"/>
          </w:cols>
          <w:pgMar w:left="240" w:top="717" w:right="1440" w:bottom="1440" w:gutter="0" w:footer="0" w:header="0"/>
          <w:type w:val="continuous"/>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DEC-31-1998</w:t>
      </w:r>
    </w:p>
    <w:p>
      <w:pPr>
        <w:ind w:left="2940"/>
        <w:spacing w:after="0"/>
        <w:rPr>
          <w:sz w:val="20"/>
          <w:szCs w:val="20"/>
          <w:color w:val="auto"/>
        </w:rPr>
      </w:pPr>
      <w:r>
        <w:rPr>
          <w:rFonts w:ascii="Courier New" w:cs="Courier New" w:eastAsia="Courier New" w:hAnsi="Courier New"/>
          <w:sz w:val="18"/>
          <w:szCs w:val="18"/>
          <w:color w:val="auto"/>
        </w:rPr>
        <w:t>JAN-01-1998</w:t>
      </w:r>
    </w:p>
    <w:p>
      <w:pPr>
        <w:ind w:left="3160"/>
        <w:spacing w:after="0" w:line="237" w:lineRule="auto"/>
        <w:rPr>
          <w:sz w:val="20"/>
          <w:szCs w:val="20"/>
          <w:color w:val="auto"/>
        </w:rPr>
      </w:pPr>
      <w:r>
        <w:rPr>
          <w:rFonts w:ascii="Courier New" w:cs="Courier New" w:eastAsia="Courier New" w:hAnsi="Courier New"/>
          <w:sz w:val="18"/>
          <w:szCs w:val="18"/>
          <w:color w:val="auto"/>
        </w:rPr>
        <w:t>SEP-30-1998</w:t>
      </w:r>
    </w:p>
    <w:p>
      <w:pPr>
        <w:ind w:left="4000"/>
        <w:spacing w:after="0" w:line="238" w:lineRule="auto"/>
        <w:rPr>
          <w:sz w:val="20"/>
          <w:szCs w:val="20"/>
          <w:color w:val="auto"/>
        </w:rPr>
      </w:pPr>
      <w:r>
        <w:rPr>
          <w:rFonts w:ascii="Courier New" w:cs="Courier New" w:eastAsia="Courier New" w:hAnsi="Courier New"/>
          <w:sz w:val="18"/>
          <w:szCs w:val="18"/>
          <w:color w:val="auto"/>
        </w:rPr>
        <w:t>9,289,600</w:t>
      </w:r>
    </w:p>
    <w:p>
      <w:pPr>
        <w:ind w:left="3360"/>
        <w:spacing w:after="0"/>
        <w:rPr>
          <w:sz w:val="20"/>
          <w:szCs w:val="20"/>
          <w:color w:val="auto"/>
        </w:rPr>
      </w:pPr>
      <w:r>
        <w:rPr>
          <w:rFonts w:ascii="Courier New" w:cs="Courier New" w:eastAsia="Courier New" w:hAnsi="Courier New"/>
          <w:sz w:val="18"/>
          <w:szCs w:val="18"/>
          <w:color w:val="auto"/>
        </w:rPr>
        <w:t>7,596,571</w:t>
      </w:r>
    </w:p>
    <w:p>
      <w:pPr>
        <w:ind w:left="4100"/>
        <w:spacing w:after="0" w:line="237" w:lineRule="auto"/>
        <w:rPr>
          <w:sz w:val="20"/>
          <w:szCs w:val="20"/>
          <w:color w:val="auto"/>
        </w:rPr>
      </w:pPr>
      <w:r>
        <w:rPr>
          <w:rFonts w:ascii="Courier New" w:cs="Courier New" w:eastAsia="Courier New" w:hAnsi="Courier New"/>
          <w:sz w:val="18"/>
          <w:szCs w:val="18"/>
          <w:color w:val="auto"/>
        </w:rPr>
        <w:t>0</w:t>
      </w:r>
    </w:p>
    <w:p>
      <w:pPr>
        <w:ind w:left="420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2840"/>
        <w:spacing w:after="0"/>
        <w:rPr>
          <w:sz w:val="20"/>
          <w:szCs w:val="20"/>
          <w:color w:val="auto"/>
        </w:rPr>
      </w:pPr>
      <w:r>
        <w:rPr>
          <w:rFonts w:ascii="Courier New" w:cs="Courier New" w:eastAsia="Courier New" w:hAnsi="Courier New"/>
          <w:sz w:val="18"/>
          <w:szCs w:val="18"/>
          <w:color w:val="auto"/>
        </w:rPr>
        <w:t>18,294,970</w:t>
      </w:r>
    </w:p>
    <w:p>
      <w:pPr>
        <w:ind w:left="3900"/>
        <w:spacing w:after="0" w:line="237" w:lineRule="auto"/>
        <w:rPr>
          <w:sz w:val="20"/>
          <w:szCs w:val="20"/>
          <w:color w:val="auto"/>
        </w:rPr>
      </w:pPr>
      <w:r>
        <w:rPr>
          <w:rFonts w:ascii="Courier New" w:cs="Courier New" w:eastAsia="Courier New" w:hAnsi="Courier New"/>
          <w:sz w:val="18"/>
          <w:szCs w:val="18"/>
          <w:color w:val="auto"/>
        </w:rPr>
        <w:t>17,139,755</w:t>
      </w:r>
    </w:p>
    <w:p>
      <w:pPr>
        <w:ind w:left="3160"/>
        <w:spacing w:after="0" w:line="238" w:lineRule="auto"/>
        <w:rPr>
          <w:sz w:val="20"/>
          <w:szCs w:val="20"/>
          <w:color w:val="auto"/>
        </w:rPr>
      </w:pPr>
      <w:r>
        <w:rPr>
          <w:rFonts w:ascii="Courier New" w:cs="Courier New" w:eastAsia="Courier New" w:hAnsi="Courier New"/>
          <w:sz w:val="18"/>
          <w:szCs w:val="18"/>
          <w:color w:val="auto"/>
        </w:rPr>
        <w:t>8,372,810</w:t>
      </w:r>
    </w:p>
    <w:p>
      <w:pPr>
        <w:ind w:left="3040"/>
        <w:spacing w:after="0"/>
        <w:rPr>
          <w:sz w:val="20"/>
          <w:szCs w:val="20"/>
          <w:color w:val="auto"/>
        </w:rPr>
      </w:pPr>
      <w:r>
        <w:rPr>
          <w:rFonts w:ascii="Courier New" w:cs="Courier New" w:eastAsia="Courier New" w:hAnsi="Courier New"/>
          <w:sz w:val="18"/>
          <w:szCs w:val="18"/>
          <w:color w:val="auto"/>
        </w:rPr>
        <w:t>33,535,113</w:t>
      </w:r>
    </w:p>
    <w:p>
      <w:pPr>
        <w:ind w:left="2420"/>
        <w:spacing w:after="0" w:line="237" w:lineRule="auto"/>
        <w:rPr>
          <w:sz w:val="20"/>
          <w:szCs w:val="20"/>
          <w:color w:val="auto"/>
        </w:rPr>
      </w:pPr>
      <w:r>
        <w:rPr>
          <w:rFonts w:ascii="Courier New" w:cs="Courier New" w:eastAsia="Courier New" w:hAnsi="Courier New"/>
          <w:sz w:val="18"/>
          <w:szCs w:val="18"/>
          <w:color w:val="auto"/>
        </w:rPr>
        <w:t>4,283,134</w:t>
      </w:r>
    </w:p>
    <w:p>
      <w:pPr>
        <w:ind w:left="3900"/>
        <w:spacing w:after="0"/>
        <w:rPr>
          <w:sz w:val="20"/>
          <w:szCs w:val="20"/>
          <w:color w:val="auto"/>
        </w:rPr>
      </w:pPr>
      <w:r>
        <w:rPr>
          <w:rFonts w:ascii="Courier New" w:cs="Courier New" w:eastAsia="Courier New" w:hAnsi="Courier New"/>
          <w:sz w:val="18"/>
          <w:szCs w:val="18"/>
          <w:color w:val="auto"/>
        </w:rPr>
        <w:t>4,076,250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177,586</w:t>
      </w:r>
    </w:p>
    <w:p>
      <w:pPr>
        <w:ind w:left="3460"/>
        <w:spacing w:after="0" w:line="238" w:lineRule="auto"/>
        <w:rPr>
          <w:sz w:val="20"/>
          <w:szCs w:val="20"/>
          <w:color w:val="auto"/>
        </w:rPr>
      </w:pPr>
      <w:r>
        <w:rPr>
          <w:rFonts w:ascii="Courier New" w:cs="Courier New" w:eastAsia="Courier New" w:hAnsi="Courier New"/>
          <w:sz w:val="18"/>
          <w:szCs w:val="18"/>
          <w:color w:val="auto"/>
        </w:rPr>
        <w:t>19,701,158</w:t>
      </w:r>
    </w:p>
    <w:p>
      <w:pPr>
        <w:ind w:left="1580"/>
        <w:spacing w:after="0"/>
        <w:rPr>
          <w:sz w:val="20"/>
          <w:szCs w:val="20"/>
          <w:color w:val="auto"/>
        </w:rPr>
      </w:pPr>
      <w:r>
        <w:rPr>
          <w:rFonts w:ascii="Courier New" w:cs="Courier New" w:eastAsia="Courier New" w:hAnsi="Courier New"/>
          <w:sz w:val="18"/>
          <w:szCs w:val="18"/>
          <w:color w:val="auto"/>
        </w:rPr>
        <w:t>33,535,113</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2940"/>
        <w:spacing w:after="0"/>
        <w:rPr>
          <w:sz w:val="20"/>
          <w:szCs w:val="20"/>
          <w:color w:val="auto"/>
        </w:rPr>
      </w:pPr>
      <w:r>
        <w:rPr>
          <w:rFonts w:ascii="Courier New" w:cs="Courier New" w:eastAsia="Courier New" w:hAnsi="Courier New"/>
          <w:sz w:val="18"/>
          <w:szCs w:val="18"/>
          <w:color w:val="auto"/>
        </w:rPr>
        <w:t>6,289,120</w:t>
      </w:r>
    </w:p>
    <w:p>
      <w:pPr>
        <w:spacing w:after="0" w:line="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0</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0</w:t>
      </w:r>
    </w:p>
    <w:p>
      <w:pPr>
        <w:jc w:val="right"/>
        <w:ind w:right="6199"/>
        <w:spacing w:after="0" w:line="238" w:lineRule="auto"/>
        <w:rPr>
          <w:sz w:val="20"/>
          <w:szCs w:val="20"/>
          <w:color w:val="auto"/>
        </w:rPr>
      </w:pPr>
      <w:r>
        <w:rPr>
          <w:rFonts w:ascii="Courier New" w:cs="Courier New" w:eastAsia="Courier New" w:hAnsi="Courier New"/>
          <w:sz w:val="18"/>
          <w:szCs w:val="18"/>
          <w:color w:val="auto"/>
        </w:rPr>
        <w:t>17,391,663</w:t>
      </w:r>
    </w:p>
    <w:p>
      <w:pPr>
        <w:jc w:val="right"/>
        <w:ind w:right="6199"/>
        <w:spacing w:after="0"/>
        <w:rPr>
          <w:sz w:val="20"/>
          <w:szCs w:val="20"/>
          <w:color w:val="auto"/>
        </w:rPr>
      </w:pPr>
      <w:r>
        <w:rPr>
          <w:rFonts w:ascii="Courier New" w:cs="Courier New" w:eastAsia="Courier New" w:hAnsi="Courier New"/>
          <w:sz w:val="18"/>
          <w:szCs w:val="18"/>
          <w:color w:val="auto"/>
        </w:rPr>
        <w:t>0</w:t>
      </w:r>
    </w:p>
    <w:p>
      <w:pPr>
        <w:ind w:left="2940"/>
        <w:spacing w:after="0" w:line="237" w:lineRule="auto"/>
        <w:rPr>
          <w:sz w:val="20"/>
          <w:szCs w:val="20"/>
          <w:color w:val="auto"/>
        </w:rPr>
      </w:pPr>
      <w:r>
        <w:rPr>
          <w:rFonts w:ascii="Courier New" w:cs="Courier New" w:eastAsia="Courier New" w:hAnsi="Courier New"/>
          <w:sz w:val="18"/>
          <w:szCs w:val="18"/>
          <w:color w:val="auto"/>
        </w:rPr>
        <w:t>358,508</w:t>
      </w:r>
    </w:p>
    <w:p>
      <w:pPr>
        <w:ind w:left="2740"/>
        <w:spacing w:after="0" w:line="238" w:lineRule="auto"/>
        <w:rPr>
          <w:sz w:val="20"/>
          <w:szCs w:val="20"/>
          <w:color w:val="auto"/>
        </w:rPr>
      </w:pPr>
      <w:r>
        <w:rPr>
          <w:rFonts w:ascii="Courier New" w:cs="Courier New" w:eastAsia="Courier New" w:hAnsi="Courier New"/>
          <w:sz w:val="18"/>
          <w:szCs w:val="18"/>
          <w:color w:val="auto"/>
        </w:rPr>
        <w:t>(10,434,590)</w:t>
      </w:r>
    </w:p>
    <w:p>
      <w:pPr>
        <w:ind w:left="4200"/>
        <w:spacing w:after="0"/>
        <w:rPr>
          <w:sz w:val="20"/>
          <w:szCs w:val="20"/>
          <w:color w:val="auto"/>
        </w:rPr>
      </w:pPr>
      <w:r>
        <w:rPr>
          <w:rFonts w:ascii="Courier New" w:cs="Courier New" w:eastAsia="Courier New" w:hAnsi="Courier New"/>
          <w:sz w:val="18"/>
          <w:szCs w:val="18"/>
          <w:color w:val="auto"/>
        </w:rPr>
        <w:t>0</w:t>
      </w:r>
    </w:p>
    <w:p>
      <w:pPr>
        <w:ind w:left="2320"/>
        <w:spacing w:after="0" w:line="237" w:lineRule="auto"/>
        <w:rPr>
          <w:sz w:val="20"/>
          <w:szCs w:val="20"/>
          <w:color w:val="auto"/>
        </w:rPr>
      </w:pPr>
      <w:r>
        <w:rPr>
          <w:rFonts w:ascii="Courier New" w:cs="Courier New" w:eastAsia="Courier New" w:hAnsi="Courier New"/>
          <w:sz w:val="18"/>
          <w:szCs w:val="18"/>
          <w:color w:val="auto"/>
        </w:rPr>
        <w:t>(10,434,590)</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(10,434,590)</w:t>
      </w:r>
    </w:p>
    <w:p>
      <w:pPr>
        <w:ind w:left="3680"/>
        <w:spacing w:after="0" w:line="238" w:lineRule="auto"/>
        <w:rPr>
          <w:sz w:val="20"/>
          <w:szCs w:val="20"/>
          <w:color w:val="auto"/>
        </w:rPr>
      </w:pPr>
      <w:r>
        <w:rPr>
          <w:rFonts w:ascii="Courier New" w:cs="Courier New" w:eastAsia="Courier New" w:hAnsi="Courier New"/>
          <w:sz w:val="18"/>
          <w:szCs w:val="18"/>
          <w:color w:val="auto"/>
        </w:rPr>
        <w:t>(.57)</w:t>
      </w:r>
    </w:p>
    <w:p>
      <w:pPr>
        <w:ind w:left="368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099"/>
          </w:cols>
          <w:pgMar w:left="360" w:top="136"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Annual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17" w:name="page18"/>
    <w:bookmarkEnd w:id="17"/>
    <w:p>
      <w:pPr>
        <w:ind w:right="1779"/>
        <w:spacing w:after="0" w:line="238" w:lineRule="auto"/>
        <w:rPr>
          <w:sz w:val="20"/>
          <w:szCs w:val="20"/>
          <w:color w:val="auto"/>
        </w:rPr>
      </w:pPr>
      <w:r>
        <w:rPr>
          <w:rFonts w:ascii="Courier New" w:cs="Courier New" w:eastAsia="Courier New" w:hAnsi="Courier New"/>
          <w:sz w:val="18"/>
          <w:szCs w:val="18"/>
          <w:color w:val="auto"/>
        </w:rPr>
        <w:t>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is continuing a program of developing stronger implants. In addition, the viability of implanted encapsulated cells varies depending of the cell type, the implantation location and other factors. Lack of viability could restrict certain of the Company's programs to indications 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There has been increasing regulatory concern about the risks of animal cell transplantation, or xenotransplantation. Concern has focused on the use of cells derived from cows (such as are used in the Company's pain program) and cells from primates and pigs. The United Kingdom has adopted a moratorium on xenotransplantation pending further research and discussion; the EC Commission has introduced a ban on the use of "high-risk material" from cattle and sheep in the Member States of the European Union in the manufacture of pharmaceuticals (this ban would apparently not include the type of cells used in the Company's pain program). In addition, the FDA has proposed guidelines which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nor what other actions might be taken. Restrictions on the testing or use of cells, whether human or nonhuman, as human therapeutics could adversely affect the Company's product development programs and the Company itself. See "Government Regulation."</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 Company, the development or commercialization of the Company's product candidate or research program under such collaborative agreement may be adversely affected. Moreover, the Company is particularly dependent on its pain program partner, Astra AB, because changes in the development of this particular program may significantly affect the Company's stock price. In addition, because of the Company's obligation to repurchase certain of the stock it sold to Genentech in connection with certain termination's of the Parkinson's Agreement, any such termination could have an adverse effect on the Company's liquidity.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Existence of Third Party Patents and Proprietary Rights; Need to Obtain Licenses</w:t>
      </w:r>
    </w:p>
    <w:p>
      <w:pPr>
        <w:spacing w:after="0" w:line="21" w:lineRule="exact"/>
        <w:rPr>
          <w:sz w:val="20"/>
          <w:szCs w:val="20"/>
          <w:color w:val="auto"/>
        </w:rPr>
      </w:pPr>
    </w:p>
    <w:p>
      <w:pPr>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w:t>
      </w:r>
    </w:p>
    <w:p>
      <w:pPr>
        <w:sectPr>
          <w:pgSz w:w="11900" w:h="16838" w:orient="portrait"/>
          <w:cols w:equalWidth="0" w:num="1">
            <w:col w:w="10219"/>
          </w:cols>
          <w:pgMar w:left="240" w:top="723" w:right="1440" w:bottom="1440" w:gutter="0" w:footer="0" w:header="0"/>
        </w:sectPr>
      </w:pPr>
    </w:p>
    <w:bookmarkStart w:id="18" w:name="page19"/>
    <w:bookmarkEnd w:id="18"/>
    <w:p>
      <w:pPr>
        <w:ind w:right="1779"/>
        <w:spacing w:after="0" w:line="269" w:lineRule="auto"/>
        <w:rPr>
          <w:sz w:val="20"/>
          <w:szCs w:val="20"/>
          <w:color w:val="auto"/>
        </w:rPr>
      </w:pPr>
      <w:r>
        <w:rPr>
          <w:rFonts w:ascii="Courier New" w:cs="Courier New" w:eastAsia="Courier New" w:hAnsi="Courier New"/>
          <w:sz w:val="16"/>
          <w:szCs w:val="16"/>
          <w:color w:val="auto"/>
        </w:rPr>
        <w:t>the claims which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 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200" w:lineRule="exact"/>
        <w:rPr>
          <w:sz w:val="20"/>
          <w:szCs w:val="20"/>
          <w:color w:val="auto"/>
        </w:rPr>
      </w:pP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2019-12-13T21:01:06Z</dcterms:created>
  <dcterms:modified xsi:type="dcterms:W3CDTF">2019-12-13T21:01:06Z</dcterms:modified>
</cp:coreProperties>
</file>