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920" w:right="880" w:hanging="3669"/>
        <w:spacing w:after="0" w:line="484" w:lineRule="auto"/>
        <w:tabs>
          <w:tab w:leader="none" w:pos="15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29" w:lineRule="exact"/>
        <w:rPr>
          <w:sz w:val="24"/>
          <w:szCs w:val="24"/>
          <w:color w:val="auto"/>
        </w:rPr>
      </w:pPr>
    </w:p>
    <w:p>
      <w:pPr>
        <w:ind w:left="3920" w:right="700" w:hanging="3669"/>
        <w:spacing w:after="0" w:line="500" w:lineRule="auto"/>
        <w:tabs>
          <w:tab w:leader="none" w:pos="13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 to 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000-19871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94-3078125</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3"/>
              </w:rPr>
              <w:t>(State or Other Jurisdiction</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574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of Incorporation or Organization)</w:t>
            </w:r>
          </w:p>
        </w:tc>
        <w:tc>
          <w:tcPr>
            <w:tcW w:w="5500" w:type="dxa"/>
            <w:vAlign w:val="bottom"/>
          </w:tcPr>
          <w:p>
            <w:pPr>
              <w:jc w:val="center"/>
              <w:spacing w:after="0"/>
              <w:rPr>
                <w:sz w:val="20"/>
                <w:szCs w:val="20"/>
                <w:color w:val="auto"/>
              </w:rPr>
            </w:pPr>
            <w:r>
              <w:rPr>
                <w:rFonts w:ascii="Arial" w:cs="Arial" w:eastAsia="Arial" w:hAnsi="Arial"/>
                <w:sz w:val="18"/>
                <w:szCs w:val="18"/>
                <w:i w:val="1"/>
                <w:iCs w:val="1"/>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including zip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875-3605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None</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65" w:orient="portrait"/>
          <w:cols w:equalWidth="0" w:num="1">
            <w:col w:w="11240"/>
          </w:cols>
          <w:pgMar w:left="320" w:top="746" w:right="339" w:bottom="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65" w:orient="portrait"/>
          <w:cols w:equalWidth="0" w:num="2">
            <w:col w:w="4900" w:space="720"/>
            <w:col w:w="5620"/>
          </w:cols>
          <w:pgMar w:left="320" w:top="746" w:right="339" w:bottom="0" w:gutter="0" w:footer="0" w:header="0"/>
          <w:type w:val="continuous"/>
        </w:sectPr>
      </w:pPr>
    </w:p>
    <w:p>
      <w:pPr>
        <w:spacing w:after="0" w:line="32"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w:t>
      </w:r>
    </w:p>
    <w:p>
      <w:pPr>
        <w:sectPr>
          <w:pgSz w:w="11900" w:h="16865" w:orient="portrait"/>
          <w:cols w:equalWidth="0" w:num="1">
            <w:col w:w="11240"/>
          </w:cols>
          <w:pgMar w:left="320" w:top="74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completed second fiscal quarter: approximately $56,438,576.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 as of March 29, 2022: 7,108,133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509270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INFORMATION CONCERNING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20 of this report, which may cause our or our industry’s actual results, levels of activity or performance to be materially different from any future results, levels of activity or performance expressed or implied by these forward-looking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00" w:type="dxa"/>
            <w:vAlign w:val="bottom"/>
            <w:gridSpan w:val="15"/>
          </w:tcPr>
          <w:p>
            <w:pPr>
              <w:ind w:left="6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9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140" w:type="dxa"/>
            <w:vAlign w:val="bottom"/>
            <w:gridSpan w:val="11"/>
            <w:shd w:val="clear" w:color="auto" w:fill="CCEEFF"/>
          </w:tcPr>
          <w:p>
            <w:pPr>
              <w:jc w:val="center"/>
              <w:ind w:right="4480"/>
              <w:spacing w:after="0" w:line="162" w:lineRule="exact"/>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640" w:type="dxa"/>
            <w:vAlign w:val="bottom"/>
            <w:shd w:val="clear" w:color="auto" w:fill="CCEEFF"/>
          </w:tcPr>
          <w:p>
            <w:pPr>
              <w:spacing w:after="0"/>
              <w:rPr>
                <w:sz w:val="17"/>
                <w:szCs w:val="17"/>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w:t>
            </w:r>
          </w:p>
        </w:tc>
        <w:tc>
          <w:tcPr>
            <w:tcW w:w="4520" w:type="dxa"/>
            <w:vAlign w:val="bottom"/>
            <w:tcBorders>
              <w:top w:val="single" w:sz="8" w:color="CCEEFF"/>
            </w:tcBorders>
            <w:gridSpan w:val="1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15"/>
                <w:szCs w:val="15"/>
                <w:color w:val="auto"/>
              </w:rPr>
            </w:pPr>
          </w:p>
        </w:tc>
        <w:tc>
          <w:tcPr>
            <w:tcW w:w="45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27"/>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620" w:type="dxa"/>
            <w:vAlign w:val="bottom"/>
            <w:gridSpan w:val="27"/>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Unresolved Staff Comments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7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Description of Property</w:t>
              </w:r>
            </w:hyperlink>
          </w:p>
        </w:tc>
        <w:tc>
          <w:tcPr>
            <w:tcW w:w="792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7"/>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7"/>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180" w:type="dxa"/>
            <w:vAlign w:val="bottom"/>
            <w:gridSpan w:val="12"/>
            <w:shd w:val="clear" w:color="auto" w:fill="CCEEFF"/>
          </w:tcPr>
          <w:p>
            <w:pPr>
              <w:jc w:val="center"/>
              <w:ind w:right="4440"/>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640" w:type="dxa"/>
            <w:vAlign w:val="bottom"/>
            <w:shd w:val="clear" w:color="auto" w:fill="CCEEFF"/>
          </w:tcPr>
          <w:p>
            <w:pPr>
              <w:spacing w:after="0"/>
              <w:rPr>
                <w:sz w:val="15"/>
                <w:szCs w:val="15"/>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27"/>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27"/>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[Reserved]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7.</w:t>
            </w:r>
          </w:p>
        </w:tc>
        <w:tc>
          <w:tcPr>
            <w:tcW w:w="9620" w:type="dxa"/>
            <w:vAlign w:val="bottom"/>
            <w:gridSpan w:val="27"/>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9620" w:type="dxa"/>
            <w:vAlign w:val="bottom"/>
            <w:gridSpan w:val="27"/>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532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Changes in and Disagreements with Accountants on Accounting and Financial Disclosure</w:t>
              </w:r>
            </w:hyperlink>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9A.</w:t>
            </w:r>
          </w:p>
        </w:tc>
        <w:tc>
          <w:tcPr>
            <w:tcW w:w="9620" w:type="dxa"/>
            <w:vAlign w:val="bottom"/>
            <w:gridSpan w:val="27"/>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Other Information</w:t>
              </w:r>
            </w:hyperlink>
          </w:p>
        </w:tc>
        <w:tc>
          <w:tcPr>
            <w:tcW w:w="830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175"/>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9C.</w:t>
            </w:r>
          </w:p>
        </w:tc>
        <w:tc>
          <w:tcPr>
            <w:tcW w:w="9620" w:type="dxa"/>
            <w:vAlign w:val="bottom"/>
            <w:gridSpan w:val="27"/>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Disclosure Regarding Foreign Jurisdictions that Prevent Inspections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43</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80" w:type="dxa"/>
            <w:vAlign w:val="bottom"/>
            <w:gridSpan w:val="12"/>
          </w:tcPr>
          <w:p>
            <w:pPr>
              <w:jc w:val="center"/>
              <w:ind w:right="4460"/>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III</w:t>
              </w:r>
            </w:hyperlink>
          </w:p>
        </w:tc>
        <w:tc>
          <w:tcPr>
            <w:tcW w:w="64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Directors, Executive Officers and Corporate Governance</w:t>
              </w:r>
            </w:hyperlink>
          </w:p>
        </w:tc>
        <w:tc>
          <w:tcPr>
            <w:tcW w:w="552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44</w:t>
            </w:r>
          </w:p>
        </w:tc>
      </w:tr>
      <w:tr>
        <w:trPr>
          <w:trHeight w:val="176"/>
        </w:trPr>
        <w:tc>
          <w:tcPr>
            <w:tcW w:w="980" w:type="dxa"/>
            <w:vAlign w:val="bottom"/>
          </w:tcPr>
          <w:p>
            <w:pPr>
              <w:spacing w:after="0" w:line="176" w:lineRule="exact"/>
              <w:rPr>
                <w:sz w:val="20"/>
                <w:szCs w:val="20"/>
                <w:color w:val="auto"/>
              </w:rPr>
            </w:pPr>
            <w:r>
              <w:rPr>
                <w:rFonts w:ascii="Arial" w:cs="Arial" w:eastAsia="Arial" w:hAnsi="Arial"/>
                <w:sz w:val="18"/>
                <w:szCs w:val="18"/>
                <w:color w:val="auto"/>
              </w:rPr>
              <w:t>Item 11.</w:t>
            </w:r>
          </w:p>
        </w:tc>
        <w:tc>
          <w:tcPr>
            <w:tcW w:w="9620" w:type="dxa"/>
            <w:vAlign w:val="bottom"/>
            <w:gridSpan w:val="27"/>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Executive Compensation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9620" w:type="dxa"/>
            <w:vAlign w:val="bottom"/>
            <w:gridSpan w:val="27"/>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 Transactions, and Director Independence</w:t>
              </w:r>
            </w:hyperlink>
          </w:p>
        </w:tc>
        <w:tc>
          <w:tcPr>
            <w:tcW w:w="23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9620" w:type="dxa"/>
            <w:vAlign w:val="bottom"/>
            <w:gridSpan w:val="27"/>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Principal Accountant Fees and Services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55</w:t>
            </w: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180" w:type="dxa"/>
            <w:vAlign w:val="bottom"/>
            <w:gridSpan w:val="12"/>
            <w:shd w:val="clear" w:color="auto" w:fill="CCEEFF"/>
          </w:tcPr>
          <w:p>
            <w:pPr>
              <w:jc w:val="center"/>
              <w:ind w:right="4460"/>
              <w:spacing w:after="0" w:line="17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IV</w:t>
              </w:r>
            </w:hyperlink>
          </w:p>
        </w:tc>
        <w:tc>
          <w:tcPr>
            <w:tcW w:w="640" w:type="dxa"/>
            <w:vAlign w:val="bottom"/>
            <w:shd w:val="clear" w:color="auto" w:fill="CCEEFF"/>
          </w:tcPr>
          <w:p>
            <w:pPr>
              <w:spacing w:after="0"/>
              <w:rPr>
                <w:sz w:val="17"/>
                <w:szCs w:val="17"/>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15.</w:t>
            </w:r>
          </w:p>
        </w:tc>
        <w:tc>
          <w:tcPr>
            <w:tcW w:w="3160" w:type="dxa"/>
            <w:vAlign w:val="bottom"/>
            <w:tcBorders>
              <w:top w:val="single" w:sz="8" w:color="CCEEFF"/>
              <w:bottom w:val="single" w:sz="8" w:color="0000EE"/>
            </w:tcBorders>
            <w:gridSpan w:val="11"/>
          </w:tcPr>
          <w:p>
            <w:pPr>
              <w:spacing w:after="0" w:line="17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Exhibits and Financial Statement Schedules</w:t>
              </w:r>
            </w:hyperlink>
          </w:p>
        </w:tc>
        <w:tc>
          <w:tcPr>
            <w:tcW w:w="1280" w:type="dxa"/>
            <w:vAlign w:val="bottom"/>
            <w:tcBorders>
              <w:top w:val="single" w:sz="8" w:color="CCEEFF"/>
            </w:tcBorders>
            <w:gridSpan w:val="4"/>
          </w:tcPr>
          <w:p>
            <w:pPr>
              <w:spacing w:after="0"/>
              <w:rPr>
                <w:sz w:val="15"/>
                <w:szCs w:val="15"/>
                <w:color w:val="auto"/>
              </w:rPr>
            </w:pPr>
          </w:p>
        </w:tc>
        <w:tc>
          <w:tcPr>
            <w:tcW w:w="720" w:type="dxa"/>
            <w:vAlign w:val="bottom"/>
            <w:tcBorders>
              <w:top w:val="single" w:sz="8" w:color="0000EE"/>
            </w:tcBorders>
            <w:gridSpan w:val="6"/>
          </w:tcPr>
          <w:p>
            <w:pPr>
              <w:spacing w:after="0"/>
              <w:rPr>
                <w:sz w:val="15"/>
                <w:szCs w:val="15"/>
                <w:color w:val="auto"/>
              </w:rPr>
            </w:pPr>
          </w:p>
        </w:tc>
        <w:tc>
          <w:tcPr>
            <w:tcW w:w="446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55</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REFERENCES TO OUR COMPANY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Throughout this Form 10-K, the words “we,” “us,” “our,” the “Company” and “Microbot” refer to Microbot Medical Inc., including our directly and indirectly wholly-owned subsidiaries and, unless the context otherwise requires, the historical business, financial statements and operations of Microbot are of Microbot Medical Ltd., an Israeli corporation (“Microbot Israel”) which became a wholly-owned subsidiary of the Company on November 28, 2016.</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summary of the principal risks that could adversely affect our business, operations, and financial results. A more thorough discussion of these and other risks are listed under the section entitled “Risk Factors” commencing on page 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ind w:left="660" w:hanging="328"/>
        <w:spacing w:after="0" w:line="274"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Microbot has a limited operating history, which may make it difficult to evaluate the prospects for the Company’s future viability.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Microbot may need additional funding. If Microbot is unable to raise capital when needed, it could be forced to delay, reduce or eliminate its product development programs or commercialization efforts.</w:t>
      </w:r>
    </w:p>
    <w:p>
      <w:pPr>
        <w:ind w:left="660" w:hanging="328"/>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epidemic of the coronavirus disease is ongoing and may result in significant disruptions to our clinical trials or other business operations, which could have a material adverse effect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Unsuccessful animal studies, clinical trials or procedures relating to product candidates under development could have a material adverse effect on Microbot’s prospects.</w:t>
      </w:r>
    </w:p>
    <w:p>
      <w:pPr>
        <w:spacing w:after="0" w:line="1" w:lineRule="exact"/>
        <w:rPr>
          <w:rFonts w:ascii="Arial" w:cs="Arial" w:eastAsia="Arial" w:hAnsi="Arial"/>
          <w:sz w:val="18"/>
          <w:szCs w:val="18"/>
          <w:color w:val="auto"/>
        </w:rPr>
      </w:pPr>
    </w:p>
    <w:p>
      <w:pPr>
        <w:ind w:left="660" w:hanging="328"/>
        <w:spacing w:after="0" w:line="182" w:lineRule="auto"/>
        <w:tabs>
          <w:tab w:leader="none" w:pos="66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color w:val="auto"/>
        </w:rPr>
        <w:t>Microbot’s business depends heavily on the success of its lead product candidates,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SCS. If Microbot is unable to commercialize the LIBERTY or SCS, or experiences significant delays in doing so, Microbot’s business will be materially harmed.</w:t>
      </w:r>
    </w:p>
    <w:p>
      <w:pPr>
        <w:spacing w:after="0" w:line="1" w:lineRule="exact"/>
        <w:rPr>
          <w:rFonts w:ascii="Arial" w:cs="Arial" w:eastAsia="Arial" w:hAnsi="Arial"/>
          <w:sz w:val="36"/>
          <w:szCs w:val="36"/>
          <w:color w:val="auto"/>
          <w:vertAlign w:val="superscript"/>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Microbot’s ability to expand its technology platforms for other uses, including endovascular neurosurgery other than for the treatment of hydrocephalus, may be limited.</w:t>
      </w: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may disagree with Microbot’s determination that the SCS is a Class II device or that the chosen predicate device (or any predicate device) is appropriate for a substantial equivalence comparison to the SCS.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Microbot’s CardioSert technology is subject to a buy-back clause which, if triggered, could cause us to lose rights to the technology and delay or curtail the development of our products.</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commercial opportunity for SCS, LIBERTY and any other commercial products that may be developed by Microbot is smaller than Microbot anticipates, Microbot’s future revenue from SCS, LIBERTY and such other products will be adversely affected and Microbot’s business will suffer.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will be unlikely to buy the SCS, LIBERTY or any other product candidates unless Microbot can demonstrate that they can be produced for sale to consumers at attractive prices.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will rely on third party design houses for the redesign of the CardioSert guidewire to other specific indications.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has relied on, and intends to continue to rely on, third-party manufacturers to produce its product candidates.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Microbot’s product candidates are not considered to be a safe and effective alternative to existing technologies, Microbot will not be commercially successful.</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may be subject to penalties and may be precluded from marketing its product candidates if Microbot fails to comply with extensive governmental regulations.</w:t>
      </w: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outcome studies for the SCS may not provide sufficient data to make Microbot’s product candidates the standard of care.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Microbot products may in the future be subject to mandatory product recalls that could harm its reputation, business and financial results.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Microbot could be exposed to significant liability claims if Microbot is unable to obtain insurance at acceptable costs and adequate levels or otherwise protect itself against potential product liability claims.</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Microbot’s research and development efforts are uncertain and there can be no assurance of the commercial success of Microbot’s product candidates.</w:t>
      </w:r>
    </w:p>
    <w:p>
      <w:pPr>
        <w:ind w:left="660" w:right="2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Microbot fails to retain certain of its key personnel and attract and retain additional qualified personnel, Microbot might not be able to pursue its growth strategy effectively.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ind w:left="660" w:hanging="328"/>
        <w:spacing w:after="0" w:line="28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Microbot’s right to develop and commercialize the SCS and TipCAT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Microbot may not meet its product candidates’ development and commercialization objectives in a timely manner or at all.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litigation and infringement claims could cause Microbot to incur significant expenses or prevent Microbot from selling certain of its product candidates.</w:t>
      </w:r>
    </w:p>
    <w:p>
      <w:pPr>
        <w:ind w:left="660" w:hanging="328"/>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Microbot has facilities located in Israel, and therefore, political conditions in Israel may affect Microbot’s operations and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relations could limit Microbot’s ability to sell or buy internationally.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Israel’s economy may become unstable.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rate fluctuations between the U.S. dollar and the NIS currencies may negatively affect Microbot’s operating costs.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Funding and other benefits provided by Israeli government programs may be terminated or reduced in the future and the terms of such funding may have a significant impact on future corporate decisions.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Some of Microbot’s employees and officers are obligated to perform military reserve duty in Israel.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may be difficult to enforce a non-Israeli judgment against Microbot or its officers and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ind w:left="660" w:hanging="328"/>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do not expect to pay cash dividends on our common stock.</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ind w:left="660" w:right="2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litigation, which may divert management’s attention and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Raising additional capital may cause dilution to the Company’s investors, restrict its operations or require it to relinquish rights to its technologies or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strategy in part relies on identifying, acquiring and developing complementary technologies and products, which entails risks which could negatively affect our business, operations and financial condition.</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Microbot operations in international markets involve inherent risks that Microbot may not be able to control.</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Microbot’s financial results may be affected by fluctuations in exchange rates and Microbot’s current currency hedging strategy may not be sufficient to counter such fluctuations.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for our Common Stock may be volatile.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issuance of shares upon exercise of outstanding warrants and options could cause immediate and substantial dilution to existing stockholders.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certain CardioSert assets, are comprised of proprietary innovative technologies. Using the ViRob platform, Microbot is currently developing the Self-Cleaning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47 issued/allowed patents and 29 patent applications pending worldwide.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(CardioSert) Technology</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8,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Our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r>
        <w:rPr>
          <w:rFonts w:ascii="Arial" w:cs="Arial" w:eastAsia="Arial" w:hAnsi="Arial"/>
          <w:sz w:val="29"/>
          <w:szCs w:val="29"/>
          <w:i w:val="1"/>
          <w:iCs w:val="1"/>
          <w:color w:val="auto"/>
          <w:vertAlign w:val="superscript"/>
        </w:rPr>
        <w:t>®</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the CardioSert platform or possibly other guidewire/microcatheter technologies.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is being designed to streamline Cath-lab procedures with tools that combines guidewire and microcatheter into a single device. With control over tip curvature and stiffness for maneuverability and access – and without the need for constant tool exchanges – when integrated into the LIBERTY device, the device may drastically reduce procedure time and costs while enhancing the operator experience.</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CSF Management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replaced with a cerebral shunt, a fully internalized, long-term treatment for hydrocephalus.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Minimally Invasive Robot-Assisted Endovascular Interventions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Today, there are only a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capital expenditures.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believes that with its portfolio of CardioSert and LIBERTY technologies, it is well-positioned to explore and develop such technologies as neurovascular access devices, with a focus on improving the ease and access and enhancing the safety of endovascular interventions.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Pipeline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Self-Cleaning Shunt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SCS device is designed to act as the ventricular catheter portion of a CSF shunt system that is used to treat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Microbot has completed the development of an SCS prototype and is currently continuing the safety testing, general proof of concept testing and performance testing for the device, which Microbot began in mid-2013. In May 2018, Microbot announced the results of two pre-clinical studies assessing the SCS, an in-vitro study and a small animal study. The in-vitro study, which was performed at Wayne State University by Dr. Carolyn Harris, supports the SCS’s potential as a viable technology for preventing occlusion in shunts used to treat hydrocephalus. The first stage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Following the completion of the first stage initial studies, Microbot commenced a follow-up study to further evaluate the safety of the SCS. The follow-up study was also conducted by leading hydrocephalus experts at Washington University. The study, included a larger sample size compared to the initial studies and the primary and secondary endpoints were to validate the safety of the activated SCS in-vivo (animal) models. In that in-vivo study the major finding was that the SCS system is as safe to use as currently marketed devices. The study also mentions, that in the animal model, contact of the shunt with the choroid plexus is impossible to avoid and that it may lead to shunt obstruction due to hemorrhage of this highly vascular structure.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 w:name="page10"/>
    <w:bookmarkEnd w:id="9"/>
    <w:p>
      <w:pPr>
        <w:jc w:val="both"/>
        <w:spacing w:after="0" w:line="274" w:lineRule="auto"/>
        <w:rPr>
          <w:sz w:val="20"/>
          <w:szCs w:val="20"/>
          <w:color w:val="auto"/>
        </w:rPr>
      </w:pPr>
      <w:r>
        <w:rPr>
          <w:rFonts w:ascii="Arial" w:cs="Arial" w:eastAsia="Arial" w:hAnsi="Arial"/>
          <w:sz w:val="17"/>
          <w:szCs w:val="17"/>
          <w:color w:val="auto"/>
        </w:rPr>
        <w:t>In parallel with the in-vivo study, Microbot also contracted with Envigo CRS Israel, a leading provider of non-clinical contract research services, to conduct an in-vitro study designed to evaluate the operational performance of the SCS. Human brain glioblastoma cells were used in order to assess</w:t>
      </w:r>
    </w:p>
    <w:p>
      <w:pPr>
        <w:jc w:val="both"/>
        <w:spacing w:after="0" w:line="209" w:lineRule="auto"/>
        <w:rPr>
          <w:sz w:val="20"/>
          <w:szCs w:val="20"/>
          <w:color w:val="auto"/>
        </w:rPr>
      </w:pPr>
      <w:r>
        <w:rPr>
          <w:rFonts w:ascii="Arial" w:cs="Arial" w:eastAsia="Arial" w:hAnsi="Arial"/>
          <w:sz w:val="18"/>
          <w:szCs w:val="18"/>
          <w:color w:val="auto"/>
        </w:rPr>
        <w:t>performance of the SCS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in a test system with accelerated cell growth, accumulation and obstruction rates. In 2018, Microbot and Envigo conducted an in-vitro trial that its final conclusion was:</w:t>
      </w:r>
    </w:p>
    <w:p>
      <w:pPr>
        <w:spacing w:after="0" w:line="20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significant cell growth and accumulation were seen in the non-operating SCS™ group after 30 days, the shunt openings remained clear in the constantly operating SCS™ group, with little to no cell attachment on the robotic cleaning mechanism (the ViRob™ system) and on the shunt openings.</w:t>
      </w:r>
    </w:p>
    <w:p>
      <w:pPr>
        <w:spacing w:after="0" w:line="12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SCS™ was further validated in a broader follow-up in-vitro study which commenced in July 2019 and concluded on August 14, 2019 and clearly demonstrated that the SCS™ prevented shunt occlusions under the parameters of that study. This follow-up study was also conducted by Envigo CRS Israel using Human brain glioblastoma cells Specifically, the study demonstrated:</w:t>
      </w:r>
    </w:p>
    <w:p>
      <w:pPr>
        <w:spacing w:after="0" w:line="18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Significant cell growth and accumulation in a non-operating SCS™ as well as in a standard of care ventricular catheters (control group).</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significant inhibition in cell growth in daily (5-10 minutes) or weekly (up to 2 hours over the week) operating regimes of the SCS™, with little cell attachment on the ViRob mechanism.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effectiveness of the SCS™ device in preventing cells blockage as compare to standard of care surgical ventricular catheters.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further investigate the efficacy of the SCS™, Microbot conducted a follow-up in-vitro study at Wayne State University. The study included a larger sample size compared to the initial study and the primary and secondary end points aimed to validate the efficacy of the SCS in comparison to commercially available devices. After careful analysis of the results the final conclusion was that the data from this study did not reveal statistically significant differences between the study’s groups.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used the findings of the second stage of the animal study combined with additional experimental data that was acquired in the past year for initial regulatory FDA pre-submissions.</w:t>
      </w:r>
    </w:p>
    <w:p>
      <w:pPr>
        <w:spacing w:after="0" w:line="174"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On January 27, 2021, we announced the completion of successful discussions with the FDA, for the SCS</w:t>
      </w:r>
      <w:r>
        <w:rPr>
          <w:rFonts w:ascii="Arial" w:cs="Arial" w:eastAsia="Arial" w:hAnsi="Arial"/>
          <w:sz w:val="29"/>
          <w:szCs w:val="29"/>
          <w:color w:val="auto"/>
          <w:vertAlign w:val="superscript"/>
        </w:rPr>
        <w:t>TM</w:t>
      </w:r>
      <w:r>
        <w:rPr>
          <w:rFonts w:ascii="Arial" w:cs="Arial" w:eastAsia="Arial" w:hAnsi="Arial"/>
          <w:sz w:val="18"/>
          <w:szCs w:val="18"/>
          <w:color w:val="auto"/>
        </w:rPr>
        <w:t>. After review of Microbot existing pre-clinical data, the FDA’s feedback will allow us to apply for the EFS (Early Feasibility Study) without further animal studies.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expect to continue to work with the FDA towards finalizing the SCS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design, and to incorporate their feedback prior to submitting the IDE to seek authorization to begin the EFS clinical trial. While there can be no assurance that the FDA will approve the EFS study, the agency’s recent feedback indicates that the agency will be receptive to allowing a first-in-human study to proceed based on existing data. After completing the EFS, we would then seek FDA input on the device design as finalized through the EFS process in a subsequent IDE filing for approval of a clinical study proposal. Consequently, the timeline for the submission of the IDE for First-in-Human clinical trial under the EFS is expected to commence in the first quarter of 2023.</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spite of the above, there is still a possibility that Microbot may conduct clinical trials if they are requested by the FDA or if Microbot decides that the data from such trials would improve the marketability of the product candidate.</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proposed indication for use of the SCS™ device would be for the treatment of hydrocephalus and/or NPH as a component of commercially available shunt systems.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Currently, Microbot is not pursuing the development of the TipCAT as a colonoscopy tool due to its focus on the neurosurgical and endovascular intervention spaces, and as such it is currently exploring the use of the TipCAT for minimally invasive neurosurgical and endovascular applications to complement its other technologies.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the One &amp; Done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tool or possibly other guidewire/microcatheter technologies. LIBERTY is being designed to have the following attributes:</w:t>
      </w:r>
    </w:p>
    <w:p>
      <w:pPr>
        <w:spacing w:after="0" w:line="3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Compact size - Eliminates the need for large capital equipment in dedicated cath-lab rooms with dedicated staff.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Fully disposable - To our knowledge, the first and only fully disposable, robotic system for endovascular procedures.</w:t>
      </w:r>
    </w:p>
    <w:p>
      <w:pPr>
        <w:spacing w:after="0" w:line="228" w:lineRule="exact"/>
        <w:rPr>
          <w:rFonts w:ascii="Arial" w:cs="Arial" w:eastAsia="Arial" w:hAnsi="Arial"/>
          <w:sz w:val="18"/>
          <w:szCs w:val="18"/>
          <w:color w:val="auto"/>
        </w:rPr>
      </w:pPr>
    </w:p>
    <w:p>
      <w:pPr>
        <w:jc w:val="both"/>
        <w:ind w:left="660" w:hanging="328"/>
        <w:spacing w:after="0" w:line="212" w:lineRule="auto"/>
        <w:tabs>
          <w:tab w:leader="none" w:pos="6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Streamlines Cath-lab procedures - Compatible with Microbot’s unique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or possibly other guidewire/microcatheter technologies, that combines guidewire and microcatheter into a single device. The “One &amp; Done” tool, when integrated into the system, is expected to provide full control over tip curvature and stiffness for maneuverability and access without the need for constant tool exchanges, while enhancing the operator experience.</w:t>
      </w:r>
    </w:p>
    <w:p>
      <w:pPr>
        <w:spacing w:after="0" w:line="206" w:lineRule="exact"/>
        <w:rPr>
          <w:rFonts w:ascii="Arial" w:cs="Arial" w:eastAsia="Arial" w:hAnsi="Arial"/>
          <w:sz w:val="36"/>
          <w:szCs w:val="36"/>
          <w:color w:val="auto"/>
          <w:vertAlign w:val="superscript"/>
        </w:rPr>
      </w:pPr>
    </w:p>
    <w:p>
      <w:pPr>
        <w:ind w:left="660" w:hanging="328"/>
        <w:spacing w:after="0" w:line="186" w:lineRule="auto"/>
        <w:tabs>
          <w:tab w:leader="none" w:pos="660" w:val="left"/>
        </w:tabs>
        <w:numPr>
          <w:ilvl w:val="0"/>
          <w:numId w:val="10"/>
        </w:numPr>
        <w:rPr>
          <w:rFonts w:ascii="Arial" w:cs="Arial" w:eastAsia="Arial" w:hAnsi="Arial"/>
          <w:sz w:val="36"/>
          <w:szCs w:val="36"/>
          <w:color w:val="auto"/>
          <w:vertAlign w:val="superscript"/>
        </w:rPr>
      </w:pPr>
      <w:r>
        <w:rPr>
          <w:rFonts w:ascii="Arial" w:cs="Arial" w:eastAsia="Arial" w:hAnsi="Arial"/>
          <w:sz w:val="18"/>
          <w:szCs w:val="18"/>
          <w:color w:val="auto"/>
        </w:rPr>
        <w:t>State of the art maneuverability - Provides linear, rotational and tip control of its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when integrated into the system, as well as linear motion for an additional “over the wire” device.</w:t>
      </w:r>
    </w:p>
    <w:p>
      <w:pPr>
        <w:spacing w:after="0" w:line="203" w:lineRule="exact"/>
        <w:rPr>
          <w:rFonts w:ascii="Arial" w:cs="Arial" w:eastAsia="Arial" w:hAnsi="Arial"/>
          <w:sz w:val="36"/>
          <w:szCs w:val="36"/>
          <w:color w:val="auto"/>
          <w:vertAlign w:val="superscript"/>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Compatibility with a wide range of commercially-available guidewires, microcatheters and guide-catheters.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Enhanced operator safety and comfort - Reduces exposure to ionizing radiation and the need for heavy lead vests otherwise to be worn during procedures, as well as reducing the exposure to Hospital Acquired Infections (HAI).</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 of use - LIBERTY’s intuitive remote controls simplify advanced procedures while shortening the physician’s learning curve.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Telemedicine compatible - Capable of tele-catheterization, carried out remotely by highly trained specialists.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continuing our feasibility animal trials with respect to the LIBERTY device, with a planned pre-submission to the FDA as early as the first quarter of 2022, and planned submission to the FDA in the first half of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goal is to generate sales of its products, once they have received regulatory approval, by establishing SCS, LIBERTY and additional devices from its technological platforms, as the standard-of-care in the eyes of doctors, surgeons, patients and medical facilities, as well as getting the support of payors and insurance companies. Microbot believes that it can achieve this objective by working with hospitals to demonstrate the key benefits of its products. Microbot’s strategy includes the following key elements:</w:t>
      </w:r>
    </w:p>
    <w:p>
      <w:pPr>
        <w:spacing w:after="0" w:line="183" w:lineRule="exact"/>
        <w:rPr>
          <w:sz w:val="20"/>
          <w:szCs w:val="20"/>
          <w:color w:val="auto"/>
        </w:rPr>
      </w:pPr>
    </w:p>
    <w:p>
      <w:pPr>
        <w:jc w:val="both"/>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Continue to refine existing product candidates and develop additional micro-robotic solutions</w:t>
      </w:r>
      <w:r>
        <w:rPr>
          <w:rFonts w:ascii="Arial" w:cs="Arial" w:eastAsia="Arial" w:hAnsi="Arial"/>
          <w:sz w:val="18"/>
          <w:szCs w:val="18"/>
          <w:color w:val="auto"/>
        </w:rPr>
        <w:t>. As Microbot prepares to bring its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through pre-clinical and clinical trials, if necessary, and eventually to market, it continues to focus on improving its product candidates to respond to clinical data and patient and physician feedback. Microbot also expects to continue to innovate in the micro-robotics field by continuing to find ways of using its technology to solve unmet needs, with the overarching goal of providing a safer, more effective and more efficient surgical environment for patients and physicians.</w:t>
      </w:r>
    </w:p>
    <w:p>
      <w:pPr>
        <w:spacing w:after="0" w:line="183"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Establish and leverage relationships with key institutions and leading clinicians</w:t>
      </w:r>
      <w:r>
        <w:rPr>
          <w:rFonts w:ascii="Arial" w:cs="Arial" w:eastAsia="Arial" w:hAnsi="Arial"/>
          <w:sz w:val="17"/>
          <w:szCs w:val="17"/>
          <w:color w:val="auto"/>
        </w:rPr>
        <w:t>. Microbot’s objective will be to maintain clinical focus with</w:t>
      </w:r>
      <w:r>
        <w:rPr>
          <w:rFonts w:ascii="Arial" w:cs="Arial" w:eastAsia="Arial" w:hAnsi="Arial"/>
          <w:sz w:val="17"/>
          <w:szCs w:val="17"/>
          <w:b w:val="1"/>
          <w:bCs w:val="1"/>
          <w:color w:val="auto"/>
        </w:rPr>
        <w:t xml:space="preserve"> </w:t>
      </w:r>
      <w:r>
        <w:rPr>
          <w:rFonts w:ascii="Arial" w:cs="Arial" w:eastAsia="Arial" w:hAnsi="Arial"/>
          <w:sz w:val="17"/>
          <w:szCs w:val="17"/>
          <w:color w:val="auto"/>
        </w:rPr>
        <w:t>leading hospitals and clinics so as to establish the SCS, LIBERTY, as well as other future products, as the standard of care in such institutions for their respective procedures. Microbot also expects to identify key clinicians with the relevant specialties (for instance, neurosurgery or interventional radiology) with the expectation that such clinical focus will accelerate the adoption of its candidate products.</w:t>
      </w:r>
    </w:p>
    <w:p>
      <w:pPr>
        <w:spacing w:after="0" w:line="164" w:lineRule="exact"/>
        <w:rPr>
          <w:rFonts w:ascii="Arial" w:cs="Arial" w:eastAsia="Arial" w:hAnsi="Arial"/>
          <w:sz w:val="17"/>
          <w:szCs w:val="17"/>
          <w:color w:val="auto"/>
        </w:rPr>
      </w:pPr>
    </w:p>
    <w:p>
      <w:pPr>
        <w:jc w:val="both"/>
        <w:ind w:left="660" w:hanging="328"/>
        <w:spacing w:after="0" w:line="314"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Continuously invest in research and development</w:t>
      </w:r>
      <w:r>
        <w:rPr>
          <w:rFonts w:ascii="Arial" w:cs="Arial" w:eastAsia="Arial" w:hAnsi="Arial"/>
          <w:sz w:val="16"/>
          <w:szCs w:val="16"/>
          <w:color w:val="auto"/>
        </w:rPr>
        <w:t>. Microbot’s most significant expense has historically been research and development,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Microbot expects that this will continue in the foreseeable future, including expenses it expects to incur to improve on its prototype products in order to respond to clinical data, to develop additional applications using its technologies and to develop future product candidates.</w:t>
      </w:r>
    </w:p>
    <w:p>
      <w:pPr>
        <w:spacing w:after="0" w:line="141" w:lineRule="exact"/>
        <w:rPr>
          <w:rFonts w:ascii="Arial" w:cs="Arial" w:eastAsia="Arial" w:hAnsi="Arial"/>
          <w:sz w:val="16"/>
          <w:szCs w:val="16"/>
          <w:color w:val="auto"/>
        </w:rPr>
      </w:pPr>
    </w:p>
    <w:p>
      <w:pPr>
        <w:jc w:val="both"/>
        <w:ind w:left="660" w:hanging="328"/>
        <w:spacing w:after="0" w:line="28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Explore partnerships for the introduction of Microbot’s products</w:t>
      </w:r>
      <w:r>
        <w:rPr>
          <w:rFonts w:ascii="Arial" w:cs="Arial" w:eastAsia="Arial" w:hAnsi="Arial"/>
          <w:sz w:val="17"/>
          <w:szCs w:val="17"/>
          <w:color w:val="auto"/>
        </w:rPr>
        <w:t>. Microbot intends to focus its marketing and sales efforts initially on</w:t>
      </w:r>
      <w:r>
        <w:rPr>
          <w:rFonts w:ascii="Arial" w:cs="Arial" w:eastAsia="Arial" w:hAnsi="Arial"/>
          <w:sz w:val="17"/>
          <w:szCs w:val="17"/>
          <w:b w:val="1"/>
          <w:bCs w:val="1"/>
          <w:color w:val="auto"/>
        </w:rPr>
        <w:t xml:space="preserve"> </w:t>
      </w:r>
      <w:r>
        <w:rPr>
          <w:rFonts w:ascii="Arial" w:cs="Arial" w:eastAsia="Arial" w:hAnsi="Arial"/>
          <w:sz w:val="17"/>
          <w:szCs w:val="17"/>
          <w:color w:val="auto"/>
        </w:rPr>
        <w:t>pursuing collaborations with global medical device companies that have established sales and distribution networks. Microbot will seek to enter collaborations and partnerships with strategic players that offer synergies with Microbot’s product candidates and expertise.</w:t>
      </w:r>
    </w:p>
    <w:p>
      <w:pPr>
        <w:spacing w:after="0" w:line="157" w:lineRule="exact"/>
        <w:rPr>
          <w:rFonts w:ascii="Arial" w:cs="Arial" w:eastAsia="Arial" w:hAnsi="Arial"/>
          <w:sz w:val="17"/>
          <w:szCs w:val="17"/>
          <w:color w:val="auto"/>
        </w:rPr>
      </w:pPr>
    </w:p>
    <w:p>
      <w:pPr>
        <w:jc w:val="both"/>
        <w:ind w:left="660" w:hanging="328"/>
        <w:spacing w:after="0" w:line="26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Seek additional IP and technologies to complement and strengthen Microbot’s current IP portfolio</w:t>
      </w:r>
      <w:r>
        <w:rPr>
          <w:rFonts w:ascii="Arial" w:cs="Arial" w:eastAsia="Arial" w:hAnsi="Arial"/>
          <w:sz w:val="18"/>
          <w:szCs w:val="18"/>
          <w:color w:val="auto"/>
        </w:rPr>
        <w:t>. Microbot intends to continue exploring</w:t>
      </w:r>
      <w:r>
        <w:rPr>
          <w:rFonts w:ascii="Arial" w:cs="Arial" w:eastAsia="Arial" w:hAnsi="Arial"/>
          <w:sz w:val="18"/>
          <w:szCs w:val="18"/>
          <w:b w:val="1"/>
          <w:bCs w:val="1"/>
          <w:color w:val="auto"/>
        </w:rPr>
        <w:t xml:space="preserve"> </w:t>
      </w:r>
      <w:r>
        <w:rPr>
          <w:rFonts w:ascii="Arial" w:cs="Arial" w:eastAsia="Arial" w:hAnsi="Arial"/>
          <w:sz w:val="18"/>
          <w:szCs w:val="18"/>
          <w:color w:val="auto"/>
        </w:rPr>
        <w:t>new technologies, IP and know-how to add to its current portfolio through licensing, mergers and/or acquisitions and to allow Microbot to enter new spaces and strengthen its overall product portfolio.</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SCS Opportunities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SCS is designed to prevent shunt occlusions in hydrocephalus and NPH patients who have undergone or are undergoing the surgical insertion of a shunt system. For purposes of its marketing strategy, Microbot has split the market for shunt systems into two sub-markets:</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Primary shunt placement;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Shunt replacement.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SCS device is universal (meaning that it is designed to be attachable to any valve on the market); therefore, Microbot’s initial go-to-market strategy is the development of strategic partnerships with leading global medical device companies with ready sales and distribution channels. Outside of a strategic partnership, it is most likely that Microbot’s SCS product will be initially used in shunt replacement surgeries to replace occluded ventricular catheters. Accordingly, Microbot intends to establish key hospital and clinic relationships that will allow it to diffuse the technology among experts and other stakeholders. Microbot is also planning to apply for the SCS device to be covered under the current reimbursement codes in the United States for use in hydrocephalus and NPH shunt procedures.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 Opportunities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is currently exploring the use of the TipCAT for minimally invasive neurological and endovascular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(CardioSert) Opportunities</w:t>
      </w:r>
    </w:p>
    <w:p>
      <w:pPr>
        <w:spacing w:after="0" w:line="139"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Microbot is currently exploring the integration of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technology into the LIBERTY endovascular robotic system for a range of potential applications in the cardiovascular, peripheral vascular and neurovascular spaces.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Opportunities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LIBERTY endovascular robotic system is being designed to remotely maneuver guidewires, microcatheters and over-the-wire devices within the body’s vasculature. The device is being designed to be the size of a hand-held personal device and to be fully disposable and affordable. We are aiming</w:t>
      </w:r>
    </w:p>
    <w:p>
      <w:pPr>
        <w:jc w:val="both"/>
        <w:spacing w:after="0" w:line="234" w:lineRule="auto"/>
        <w:rPr>
          <w:sz w:val="20"/>
          <w:szCs w:val="20"/>
          <w:color w:val="auto"/>
        </w:rPr>
      </w:pPr>
      <w:r>
        <w:rPr>
          <w:rFonts w:ascii="Arial" w:cs="Arial" w:eastAsia="Arial" w:hAnsi="Arial"/>
          <w:sz w:val="16"/>
          <w:szCs w:val="16"/>
          <w:color w:val="auto"/>
        </w:rPr>
        <w:t>LIBERTY to be capable of supporting whole-endovascular procedures by providing solutions which would be based in part on the One &amp; Done</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proprietary technology or possibly other guidewire/microcatheter technologies. With control over tip curvature and stiffness for maneuverability and access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and without the need for constant tool exchanges –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when integrated into the system, is expected to drastically reduce the procedure time and costs, while enhancing the operator experience. We believe LIBERTY’s addressable markets are the Interventional Cardiology, Interventional Radiology and Interventional Neuroradiology markets.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 Competitive Landscape</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Several academic research groups, such as at the New Jersey Institute of Technology, are currently researching sensing and obstruction-resistant catheter designs, and the Smart Sensors and Integrated Microsystems (SSIM) Program at Wayne State University has publicized that it is engaging in smart shunt development activity. However, based in part on its knowledge of the patented technologies, Microbot believes that these technologies are still early in the research and development cycle. Although we believe the SCS may face direct competition from Anuncia Inc., a spin-off of Alycone Lifesciences Inc., which received a CE Mark and FDA 510k clearance for the Alivio ReFlow™ Ventricular System for the treatment of hydrocephalus, the commercialization status of the device is not clear. The SCS also faces non-direct competition from Aqueduct Neurosciences, Inc., which we believe is developing a non-</w:t>
      </w:r>
    </w:p>
    <w:p>
      <w:pPr>
        <w:spacing w:after="0" w:line="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shunt, electro-mechanical technology platform to control the draining of cerebrospinal fluid, and from Cerevasc Inc., which is developing the eShunt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System that aims to eliminate the need for passing a rigid catheter through cerebral cortex and subcortical white matter.</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does not expect its SCS device to directly compete against shunt systems currently available in the market. The SCS device is designed to replace a component of existing shunt systems and is expected to be an aftermarket purchase that would be used to modify existing products by the end user. However, there can be no assurance that Microbot’s product candidate will be accepted by the shunt market as an alternative component.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TipCAT Competitive Landscape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Microbot has not at this time completed its evaluation of the current competitive landscape in the endovascular space for potential uses of the TipCAT.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(CardioSert) Competitive Landscape</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Competition includes moveable-core guidewires from companies such as Boston Scientific and Rapid Medical, and steerable and deflectable sheaths and catheters from companies such as Bendit Technologies, Agile Devices and Merit Medical. To our knowledge, the CardioSert device is the only device that combines an inner moveable guidewire and an outer microcatheter, with the ability to control the shape and stiffness of the distal tip in a continuous, gradual manner, and intends to compete on that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Competitive Landscape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the main competitor to the LIBERTY system is the CorPath GRX vascular robotics system by Corindus Vascular Robotics, a Siemens Healthineers company. The CorPath GRX system has FDA approvals for percutaneous coronary interventions (PCI) and peripheral vascular interventions (PVI) and is pending an approval for neurovascular interventions. Other competitors include Robocath (CE Marked for PCI only) and Hansen Medical (a J&amp;J Company with FDA approval for PVI). We believe these systems have drawbacks, such as limited maneuverability, the requirement to exchange and use multiple expensive surgical tools, being cumbersome to set-up and operate, and requiring significant capital expenditures. We further believe that these systems have captured a marginal market share to date.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many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SCS and TipCAT are based on technological platforms licensed from The Technion Research and Development Foundation Ltd., or TRDF, as further discussed below. The LIBERTY platform core technology is co-owned by Microbot and TRDF. The One &amp; Done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device is based on technologies acquired by Microbot from CardioSert. Microbot plans to develop other medical-robotic solutions through internal research and development, to strengthen its intellectual property position, and to continue exploring strategic collaborations and accretive acquisition opportunities. Microbot currently holds an intellectual property portfolio of 47 patents issued/allowed and 29 patent applications pending worldwide. It also has registered trademarks in Israel, Europe and the US relating to its LIBERTY platform, and also has trademarks relating to its proprietary Microbot Medical tradename and logo registered in Israel, Europe, and the UK, and pending in the US and China, in addition to having registered trademarks for the “One &amp; Done” name in Israel, allowed in Europe and pending in the US, UK, China, and Japan.</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jc w:val="both"/>
        <w:spacing w:after="0" w:line="291" w:lineRule="auto"/>
        <w:rPr>
          <w:sz w:val="20"/>
          <w:szCs w:val="20"/>
          <w:color w:val="auto"/>
        </w:rPr>
      </w:pPr>
      <w:r>
        <w:rPr>
          <w:rFonts w:ascii="Arial" w:cs="Arial" w:eastAsia="Arial" w:hAnsi="Arial"/>
          <w:sz w:val="16"/>
          <w:szCs w:val="16"/>
          <w:color w:val="auto"/>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Microbot’s issued U.S. patents, which cover Microbot’s product candidates, will expire between 2026 and 2040, not including any patent term adjustments that may be available. Issued patents outside of the United States directed to Microbot’s product candidates will expire between 2026 and 2036.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the Technion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Pursuant to the terms of the license agreement, in order to maintain the license with respect to each platform, Microbot must use commercially reasonable efforts to develop products covered by the license, including meeting certain agreed upon development milestones. The milestones for both SCS and TipCAT include commencing first in human clinical trials by December 2021. Failure to meet any development milestone will give TRDF the right to terminate the license with respect to the technology underlying the missed milestone.</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partial consideration for the grant of the licenses under the agreement, Microbot issued a number of shares to TRDF equal to 3% of its issued and outstanding shares at such time on a fully diluted basis. Such shares were initially subject to antidilution protections but are no longer subject to adjustment. In addition, as partial consideration for the licenses granted, Microbot agreed to pay TRDF royalties of between 1.5% and 3.0% of net sales of products covered by the licenses, subject to certain reductions, and certain percentages of amounts received by Microbot in the event of sublicensing.</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case of termination of the license by Microbot without cause or by TRDF for cause, TRDF has the right to receive a non-exclusive license from Microbot with respect to improvements to the licensed technologies made by Microbot. In such cases, TRDF would pay a royalty of 10% of the income received by TRDF in connection its sublicensing of such patent right and related intellectual property. If the license from TRDF were to be terminated with respect with either of the technology platforms underlying the SCS or the TipCAT, Microbot would no longer be able to continue its development of the related product candidate. However, Microbot believes that its current intellectual property portfolio, and its ongoing efforts to expand into other micro-robotic surgical technologies, will give it the flexibility to shift its resources towards developing and commercializing related products.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licensed SCS and TipCAT technologies, the LIBERTY platform, which was invented by employees of Microbot together with Professor Moshe Shoham of the Technion, in his capacity as a consultant to Microbot, is co-owned by Microbot and TRDF, and a process is being conducted for establishing the LIBERTY platform as a “Joint Invention” in accordance with the terms of the License Agreement. Once the Joint Invention is established, Microbot will have to pay TRDF royalties of between 1.5% and 3.0% of net sales of products covered by this Joint Invention.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objectives of Microbot’s research and development efforts are to continue to introduce incremental enhancements to the capabilities of its candidate products and to advance the development of proposed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Microbot has obtained grants from the Israeli Innovation Authority (“IIA”) for participation in research and development activities since 2013 through 2021. During this time, Microbot has received grant revenues of approximately $1,500,000. In return, Microbot is obligated to pay royalties amounting to 3%-3.5% of its future sales up to the amount of the grant. The grant is linked to the exchange rate of the dollar to the New Israeli Shekel and bears interest of USD LIBOR per annum.</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Microbot expects to continue to access government funding in the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fiscal year ended December 31, 2021 and 2020, respectively, Microbot incurred research and development expenses of approximately $6,153,000 compared to approximately $3,396,000.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has already made plans to develop a second version of its SCS device that will have an embedded controller and battery, initially to support its animal trials. This alternative design will allow the cleaning mechanism to be automatically activated, without the need for the patient’s involvement in the activation process.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has completed the development of an SCS prototype and is currently continuing the safety testing, general proof of concept testing and performance testing for the device, which Microbot began in mid-2013. In May 2018, Microbot previously announced the results of two pre-clinical studies assessing the SCS, an in-vitro study and a small animal study. The in-vitro study, which was performed at Wayne State University, supports the SCS’s potential as a viable technology for preventing occlusion in shunts used to treat hydrocephalus. The animal study designed to assess the safety profile of the SCS, which was performed at Washington University School of Medicine in St. Louis, met the primary goal to determine the safety of the SCS device that aims to prevent obstruction in CSF catheters. Since the completion of these initial studies, Microbot conducted a follow-up study to further evaluate the safety of the SCS. The follow-up study was also conducted by leading hydrocephalus experts at Washington University and Wayne State University. The study included a larger sample size compared to the initial studies and the primary and secondary endpoints seek to validate the safety and efficacy of the SCS that will be activated in both in-vitro (lab) and in-vivo (animal) models. In that in-vivo study, the major finding was that the SCS system is as safe to use as currently marketed devices.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conjunction with conducting the follow-up study, Microbot also contracted with Envigo CRS Israel, to conduct an in-vitro study designed to evaluate the operational performance of the SCS. The first Envigo study that was conducted in 2018 used human brain glioblastoma cells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in-vitro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four weeks and then exposed to an activated SCS device. We believe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SCS was further validated in a broader follow-up in-vitro lab study which commenced in July 2019 and concluded on August 14, 2019 and clearly demonstrated the device prevented shunt occlusion under the parameters of that study. This follow-up study was also conducted by Envigo CRS Israel. Human brain glioblastoma cells were used in order to assess performance of the SCS in a test system with accelerated cell growth rate, accumulation and obstruction rates. Specifically, the study demonstrated:</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cell growth and accumulation in a non-operating SCS as well as a standard of care surgical shunt.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inhibition in cell growth in daily (5-10 minutes) or weekly (up to 2 hours over the week) operating SCS with little cell attachment on the robotic brush (ViRob) and on the opening where the robotic brush (ViRob) operates.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effectiveness of the Company’s SCS devices in preventing cells blockage as compare to standard of care surgical shunts.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spacing w:after="0" w:line="259" w:lineRule="auto"/>
        <w:rPr>
          <w:sz w:val="20"/>
          <w:szCs w:val="20"/>
          <w:color w:val="auto"/>
        </w:rPr>
      </w:pPr>
      <w:r>
        <w:rPr>
          <w:rFonts w:ascii="Arial" w:cs="Arial" w:eastAsia="Arial" w:hAnsi="Arial"/>
          <w:sz w:val="18"/>
          <w:szCs w:val="18"/>
          <w:color w:val="auto"/>
        </w:rPr>
        <w:t>The follow-up in vitro (lab) study at Wayne State University included a larger sample size compared to the initial study and the primary and secondary end points seek to validate the efficacy of the SCS while being activated in-vitro (lab). Generally, the data from this study did not reveal statistically significant trends indicating a strong preference for any of the designs tested, including the SCS; therefore, these tests as they stand are inconclusive but have provided us with trends which Microbot may decide to further explore.</w:t>
      </w:r>
    </w:p>
    <w:p>
      <w:pPr>
        <w:spacing w:after="0" w:line="190" w:lineRule="exact"/>
        <w:rPr>
          <w:sz w:val="20"/>
          <w:szCs w:val="20"/>
          <w:color w:val="auto"/>
        </w:rPr>
      </w:pPr>
    </w:p>
    <w:p>
      <w:pPr>
        <w:jc w:val="both"/>
        <w:spacing w:after="0"/>
        <w:rPr>
          <w:sz w:val="20"/>
          <w:szCs w:val="20"/>
          <w:color w:val="auto"/>
        </w:rPr>
      </w:pPr>
      <w:r>
        <w:rPr>
          <w:rFonts w:ascii="Arial" w:cs="Arial" w:eastAsia="Arial" w:hAnsi="Arial"/>
          <w:sz w:val="16"/>
          <w:szCs w:val="16"/>
          <w:color w:val="auto"/>
        </w:rPr>
        <w:t>After submitting the existing data to the FDA, on January 27, 2021 we announced the completion of successful discussions with the FDA, for the SCS</w:t>
      </w:r>
      <w:r>
        <w:rPr>
          <w:rFonts w:ascii="Arial" w:cs="Arial" w:eastAsia="Arial" w:hAnsi="Arial"/>
          <w:sz w:val="26"/>
          <w:szCs w:val="26"/>
          <w:color w:val="auto"/>
          <w:vertAlign w:val="superscript"/>
        </w:rPr>
        <w:t>TM</w:t>
      </w:r>
      <w:r>
        <w:rPr>
          <w:rFonts w:ascii="Arial" w:cs="Arial" w:eastAsia="Arial" w:hAnsi="Arial"/>
          <w:sz w:val="16"/>
          <w:szCs w:val="16"/>
          <w:color w:val="auto"/>
        </w:rPr>
        <w:t>. After review of our existing pre-clinical data, the FDA’s feedback will allow us to apply for the EFS. We expect to continue to work with the FDA towards</w:t>
      </w:r>
    </w:p>
    <w:p>
      <w:pPr>
        <w:jc w:val="both"/>
        <w:spacing w:after="0" w:line="231" w:lineRule="auto"/>
        <w:rPr>
          <w:sz w:val="20"/>
          <w:szCs w:val="20"/>
          <w:color w:val="auto"/>
        </w:rPr>
      </w:pPr>
      <w:r>
        <w:rPr>
          <w:rFonts w:ascii="Arial" w:cs="Arial" w:eastAsia="Arial" w:hAnsi="Arial"/>
          <w:sz w:val="18"/>
          <w:szCs w:val="18"/>
          <w:color w:val="auto"/>
        </w:rPr>
        <w:t>finalizing the SCS</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design, and to incorporate their feedback prior to submitting the IDE to seek authorization to begin the EFS clinical trial. While there can be no assurance that the FDA will approve the EFS study, the agency’s recent feedback indicates that the agency will be receptive to allowing a first-in-human study to proceed based on existing data. After completing the EFS, we would then seek FDA input on the device design as finalized through the EFS process in a subsequent IDE filing for approval of a clinical study proposal. Consequently, the timeline for the submission of the IDE for First-in-Human clinical trial under the EFS is expected to commence in the first quarter of 2023.</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the FDA agreed that the SCS is suitable to apply for an EFS program, we can give no assurance that the FDA will agree that an EFS is warranted, in which case we will have to re-commence animal trials or otherwise re-evaluate the FDA approval process, which could delay and hinder our ability to commercialize the SCS device.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LIBERTY prototype system was tested at our laboratories in an in-vitro silicone model, using off-the-shelf guidewires and microcatheters, and showing an ability to successfully provide linear and rotational movements of the guidewires and linear motion of the microcatheters. We also conducted a single preliminary animal trial with the LIBERTY prototype.</w:t>
      </w:r>
    </w:p>
    <w:p>
      <w:pPr>
        <w:spacing w:after="0" w:line="18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The LIBERTY prototype is designed to control the One &amp; Done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tool; however, the One &amp; Done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tool is not currently expected to be integrated into the next version of the LIBERTY device. Additionally, we are exploring and evaluating additional innovative guidewire/microcatheter technologies to be integrated and combined with the LIBERTY robotic platform to further enhance the performance of the system.</w:t>
      </w:r>
    </w:p>
    <w:p>
      <w:pPr>
        <w:spacing w:after="0" w:line="206" w:lineRule="exact"/>
        <w:rPr>
          <w:sz w:val="20"/>
          <w:szCs w:val="20"/>
          <w:color w:val="auto"/>
        </w:rPr>
      </w:pPr>
    </w:p>
    <w:p>
      <w:pPr>
        <w:jc w:val="both"/>
        <w:spacing w:after="0" w:line="203" w:lineRule="auto"/>
        <w:rPr>
          <w:sz w:val="20"/>
          <w:szCs w:val="20"/>
          <w:color w:val="auto"/>
        </w:rPr>
      </w:pPr>
      <w:r>
        <w:rPr>
          <w:rFonts w:ascii="Arial" w:cs="Arial" w:eastAsia="Arial" w:hAnsi="Arial"/>
          <w:sz w:val="18"/>
          <w:szCs w:val="18"/>
          <w:color w:val="auto"/>
        </w:rPr>
        <w:t>Since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was originally designed for chronic total occlusion, we are currently working with subcontractors and guidewire design-houses to perfect the performance of the One &amp; Done</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tool to the indication that will be selected for the LIBERTY platform. These may include procedures in the peripheral, coronary or neurovascular spaces.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has not yet established a sales, marketing or product distribution infrastructure for its product candidates, which are still in development stages. Microbot plans to access the U.S. markets with its initial device offerings through strategic partnerships but may develop its own focused, specialized sales force or distribution channels once it has several commercialized products in its portfolio. Microbot has not yet developed a commercial strategy outside of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spacing w:after="0" w:line="12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keeping procedures;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marketing.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are numerous FDA regulatory requirements governing the approval or clearance and subsequent commercial marketing of Microbot’s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timely submission of product listing and establishment registration information, along with associated establishment user fees;</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 or indication;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clearance or approval of product modifications that could significantly affect the safety or effectiveness of the device or that would constitute a major change in intended use;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adequate use of the Corrective and Preventive Actions process to identify and correct or prevent significant systemic failures of products or processes or in trends which suggest same;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notices of correction or removal and recall regulations.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spacing w:after="0" w:line="187" w:lineRule="exact"/>
        <w:rPr>
          <w:sz w:val="20"/>
          <w:szCs w:val="20"/>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 of comprehensive product description and indications for use;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Comprehensive review of predicate devices and development of data supporting the new product’s substantial equivalence to one or more predicate devices;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appropriate and required, certain types of clinical trials (IDE submission and approval may be required for conducting a clinical trial in the US).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clinical evidence is necessary because non-clinical or animal testing is unavailable or inadequate to provide the information needed to advance device development, an Early Feasibility Study (EFS) for a limited clinical investigation of the device may be applicable and which we are evaluating with respect to the SCS device. If the FDA agrees to the EFS approach in general, we will work to finalize the design of the device, to resolve any questions from the FDA, and to incorporate the FDA’s feedback prior to submitting the IDE to seek authorization to begin the EFS clinical trial. After completing the EFS study, we will then seek FDA input on the device design as finalized through the EFS process in a subsequent IDE filing for approval of a pivotal clinical study proposal.</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spacing w:after="0" w:line="184" w:lineRule="exact"/>
        <w:rPr>
          <w:sz w:val="20"/>
          <w:szCs w:val="20"/>
          <w:color w:val="auto"/>
        </w:rPr>
      </w:pPr>
    </w:p>
    <w:p>
      <w:pPr>
        <w:jc w:val="both"/>
        <w:ind w:left="980" w:hanging="648"/>
        <w:spacing w:after="0" w:line="311" w:lineRule="auto"/>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ind w:left="980" w:hanging="648"/>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510(k) clearance letter from the FDA will authorize commercial marketing of the device for one or more specific indications for use.</w:t>
      </w:r>
    </w:p>
    <w:p>
      <w:pPr>
        <w:spacing w:after="0" w:line="236" w:lineRule="exact"/>
        <w:rPr>
          <w:rFonts w:ascii="Arial" w:cs="Arial" w:eastAsia="Arial" w:hAnsi="Arial"/>
          <w:sz w:val="17"/>
          <w:szCs w:val="17"/>
          <w:color w:val="auto"/>
        </w:rPr>
      </w:pPr>
    </w:p>
    <w:p>
      <w:pPr>
        <w:jc w:val="both"/>
        <w:ind w:left="980" w:hanging="648"/>
        <w:spacing w:after="0" w:line="25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spacing w:after="0" w:line="194" w:lineRule="exact"/>
        <w:rPr>
          <w:rFonts w:ascii="Arial" w:cs="Arial" w:eastAsia="Arial" w:hAnsi="Arial"/>
          <w:sz w:val="18"/>
          <w:szCs w:val="18"/>
          <w:color w:val="auto"/>
        </w:rPr>
      </w:pPr>
    </w:p>
    <w:p>
      <w:pPr>
        <w:jc w:val="both"/>
        <w:ind w:left="980" w:hanging="648"/>
        <w:spacing w:after="0" w:line="25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spacing w:after="0" w:line="194"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Microbot receives a Not Substantially Equivalent determination for either of its device candidates in response to a 510(k) submission, the Microbot device may still be eligible for the 510(k) de-novo classification process.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Microbot is currently evaluating whether it is appropriate for it to seek 510(k) clearance, given the technological features of the SCS device and the FDA’s recent announcements about enhancing the 510(k) process to further ensure safety and efficacy. However, the Company believes that given the similarities between the SCS and some cleared predicate devices, there is a reasonable likelihood that a de novo application might be acceptable to the FDA.</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Europe</w:t>
      </w:r>
      <w:r>
        <w:rPr>
          <w:rFonts w:ascii="Arial" w:cs="Arial" w:eastAsia="Arial" w:hAnsi="Arial"/>
          <w:sz w:val="18"/>
          <w:szCs w:val="18"/>
          <w:color w:val="auto"/>
        </w:rPr>
        <w:t>. The primary regulatory body in Europe is the European Union, or E.U., which consists of 27 member states and has a coordinated system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medical devices.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commercialize medical devices in the European Union, a CE Mark certificate is needed. This certification verifies that a device meets all regulatory requirements for medical devices, which will soon change under the new Medical Devices Regulation (MDR 2017/745). The CE approval process in Europe is summarized below:</w:t>
      </w:r>
    </w:p>
    <w:p>
      <w:pPr>
        <w:spacing w:after="0" w:line="184"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obtain CE Marking certification, comply with European Commission Regulation (EU) No. 2017/745, commonly known as the Medical Device Regulation (MDR).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 a Person Responsible for regulatory compliance. Determine classification of device - Class I (self-certified); Class I (sterile, measuring or reusable surgical instrument); Class IIa, Class IIb, or Class III.</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all devices except Class I (self-certified),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p>
      <w:pPr>
        <w:spacing w:after="0" w:line="186"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Prepare a CE Technical File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p>
      <w:pPr>
        <w:spacing w:after="0" w:line="18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all devices except Class I (self-certified), the QMS and Technical File or Design Dossier must be audited by a Notified Body, a third party accredited by European authorities to audit medical device companies and products.</w:t>
      </w:r>
    </w:p>
    <w:p>
      <w:pPr>
        <w:spacing w:after="0" w:line="170"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p>
      <w:pPr>
        <w:spacing w:after="0" w:line="1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Prepare a Declaration of Conformity, a legally binding document prepared by the manufacturer stating that the device is in compliance with the applicable European requirements. At this time, the CE Marking may be affixed.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Register the device and its Unique Device Identifier (UDI) in the EUDAMED database. UDI must be on label and associated with the regulatory documents.</w:t>
      </w:r>
    </w:p>
    <w:p>
      <w:pPr>
        <w:spacing w:after="0" w:line="17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Israel</w:t>
      </w:r>
      <w:r>
        <w:rPr>
          <w:rFonts w:ascii="Arial" w:cs="Arial" w:eastAsia="Arial" w:hAnsi="Arial"/>
          <w:sz w:val="18"/>
          <w:szCs w:val="18"/>
          <w:color w:val="auto"/>
        </w:rPr>
        <w:t>. Israel’s Medical Devices Law generally requires the registration of all medical products with the Ministry of Health, or MOH, Registrar as a</w:t>
      </w:r>
      <w:r>
        <w:rPr>
          <w:rFonts w:ascii="Arial" w:cs="Arial" w:eastAsia="Arial" w:hAnsi="Arial"/>
          <w:sz w:val="18"/>
          <w:szCs w:val="18"/>
          <w:b w:val="1"/>
          <w:bCs w:val="1"/>
          <w:color w:val="auto"/>
        </w:rPr>
        <w:t xml:space="preserve"> </w:t>
      </w:r>
      <w:r>
        <w:rPr>
          <w:rFonts w:ascii="Arial" w:cs="Arial" w:eastAsia="Arial" w:hAnsi="Arial"/>
          <w:sz w:val="18"/>
          <w:szCs w:val="18"/>
          <w:color w:val="auto"/>
        </w:rPr>
        <w:t>precondition for production and distribution in Israel. Special exemptions may apply under limited circumstances and for purposes such as the provision of essential medical treatment, research and development of the medical device, and personal use, among others.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Registration of medical devices requires the submission of an application to the Ministry of Health Medical Institutions and Devices Licensing Department, or AMAR. An application for the registration of a medical device includes the following:</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and address of the manufacturer, and of the importer as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Description of the intended use of the medical device and of its medical indications;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Technical details of the medical device and of its components, and in the event that the device or the components are not new, information should be provided on the date or renovation;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Certificate attesting to the safety of the device, issued by a competent authority of one of the following countries: Australia, Canada, European Community (EC), Member States (MSs), Israel, Japan, or the United States;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on any risk which may be associated with the use of the device (including precautionary measures to be taken);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Instructions for use of the device in Hebrew; the MOH may allow the instructions to be in English for certain devices;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Details of the standards to which the device complies;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Description of the technical and maintenance services, including periodic checks and inspections;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Declaration, as appropriate: of the local manufacturer/importer, and of the foreign manufacturer.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spacing w:after="0" w:line="18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Reside and maintain a place of business in Israel and serve as the regulatory representative.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Respond to questions from AMAR concerning the registered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 adverse events to AMAR.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Renew the registration on time to keep the market approval active.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color w:val="auto"/>
        </w:rPr>
        <w:t>Comply with post-marketing requirements, including reporting of adverse and unexpected events occurring in Israel or in other countries where the device is in use.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Getting a device listed on Israel’s four major Sick Funds (health insurance entities) is also necessary in order for Israeli hospitals and health care providers to order such products.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Chief Executive Officer, President and Chairman, Harel Gadot, along with 3 full-time employees, are based in Microbot’s U.S. office located in Hingham, Massachusetts. Additionally, Microbot currently has 17 full-time employees based in its office located in Yokneam, Israel. These employees oversee day-to-day operations of the Company supporting management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Financial Position and Need for Additional Capital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 has incurred significant operating losses since its inception and expects to incur significant losses for the foreseeable future as Microbot continues its preclinical and clinical development programs for its existing product candidates, primarily the SCS and LIBERTY devices;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SCS, LIBERTY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is a development-stage medical device company and currently generates no revenue from product sales, and may never be able to commercialize SCS, LIBERTY, TipCAT or other future product candidates. Microbot does not currently have the required approvals or clearances to market or test in humans the SCS, LIBERTY, TipCAT,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Microbot has a limited operating history, which may make it difficult to evaluate the prospects for the Company’s future viability.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and preparing for pre-clinical and clinical trials of the SCS, LIBERTY and TipCAT.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need additional funding. If Microbot is unable to raise capital when needed, it could be forced to delay, reduce or eliminate its product development programs or commercialization efforts.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date, Microbot has funded its operations primarily through offerings of debt and equity securities, grants and loans.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Microbot expects the research and development expenses of the Company to increase substantially in future periods as it conducts pre-clinical studies in large animals and potentially clinical trials for its product candidates, and especially if it initiates additional research programs for future product candidates, including LIBERTY.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Annual Report on Form 10-K.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intends to continue to opportunistically strengthen its balance sheet by raising additional funds through equity offerings, including possibly through its existing At-the-Market offering, or otherwise in order to meet expected future liquidity needs, including the introduction of the SCS device into the hydrocephalus and NPH market, and the introduction of LIBERTY. The Company’s future capital requirements, generally, will depend on many factors, including:</w:t>
      </w:r>
    </w:p>
    <w:p>
      <w:pPr>
        <w:spacing w:after="0" w:line="1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outcomes of the product candidates’ regulatory reviews, subsequent approvals or clearances, or other regulatory actions;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final outcome of the Company’s existing lawsuit with Empery and Hudson Bay;</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design, duration and any potential delays of the clinical trials that could be conducted at the FDA’s request using Microbot’s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new and existing businesses, product candidates and technologies;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to maintain, expand and defend the scope of Microbot’s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costs to secure or establish sales, marketing and commercial manufacturing capabilities or arrangements with third parties regarding same;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need and ability to hire additional management and scientific and medical personnel;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to operate as a public company in the United States.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right="20"/>
        <w:spacing w:after="0" w:line="282" w:lineRule="auto"/>
        <w:rPr>
          <w:sz w:val="20"/>
          <w:szCs w:val="20"/>
          <w:color w:val="auto"/>
        </w:rPr>
      </w:pPr>
      <w:r>
        <w:rPr>
          <w:rFonts w:ascii="Arial" w:cs="Arial" w:eastAsia="Arial" w:hAnsi="Arial"/>
          <w:sz w:val="18"/>
          <w:szCs w:val="18"/>
          <w:b w:val="1"/>
          <w:bCs w:val="1"/>
          <w:color w:val="auto"/>
        </w:rPr>
        <w:t>An epidemic of the coronavirus disease is ongoing and may result in significant disruptions to our clinical trials or other business operations, which could have a material adverse effect on our business.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epidemic of the coronavirus disease is ongoing throughout the world. Although we have not yet commenced clinical trials, in the event the pandemic is continuing when we are prepared to commence such trials, the coronavirus disease may cause significant delays and disruptions to our clinical trials and our interactions with the FDA. If the patients involved with any such clinical trials become infected with the coronavirus disease, we may have more AEs and deaths in our clinical trials as a result. We may also face difficulties enrolling patients in our clinical trials if the patient populations that are eligible for our clinical trials are impacted by the coronavirus disease. Additionally, if our clinical trial patients are unable to travel to our clinical trial sites as a result of quarantines or other restrictions resulting from the coronavirus disease, we may experience higher drop-out rates or delays in our clinical trials, and some patients may not be able to comply with clinical trial protocols if quarantines impede patient movement or interrupt healthcare services, which could impact our ability to determine the efficacy or safety of our SCS or LIBERTY device. Site initiation and patient enrollment may also be delayed due to prioritization of hospital resources toward the coronavirus disease outbreak.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travel restrictions and expanded screenings have been implemented worldwide in an effort to contain the coronavirus disease. As such, we and our contract research organizations may be unable to visit our trial sites and monitor the data from our trials on timely basis. Our employees may also face travel restrictions, which would impact our business. Furthermore, some of our manufacturers and suppliers are in Europe and may be impacted by port closures and other restrictions resulting from the coronavirus outbreak, which may disrupt our supply chain or limit our ability to obtain sufficient materials for our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ultimate impact of the coronavirus disease outbreak or a similar health epidemic is highly uncertain and subject to change, and we cannot presently predict the scope and severity of any further potential business shutdowns or disruptions, but if we or any of the third parties with whom we engage, including the suppliers, clinical trial sites, contract research organizations, regulators, including the FDA health care providers and other third parties with whom we conduct business, were to experience shutdowns or other business disruptions, our ability to conduct our business and operations could be materially and negatively impacted, which could prevent or delay us from obtaining approval for our SCS and LIBERTY devices.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Development and Commercialization of Microbot’s Product Candidates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Unsuccessful animal studies, clinical trials or procedures relating to product candidates under development could have a material adverse effect on Microbot’s prospects.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 Specifically, the interim data of our animal trial with respect to the SCS device suggests that the animal trial results are inconclusive to assess safety. As a result, we have submitted the existing data to the FDA as part of a pre-submission meeting and we intend to apply for a limited clinical investigation of the device known as an Early Feasibility Study (EFS).</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Failure to successfully complete these studies, or any similar studies with respect to any of our other product candidates, in a timely and cost-effective manner could have a material adverse effect on Microbot’s prospects with respect to the SCS device or such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b w:val="1"/>
          <w:bCs w:val="1"/>
          <w:i w:val="1"/>
          <w:iCs w:val="1"/>
          <w:color w:val="auto"/>
        </w:rPr>
        <w:t>Microbot’s business depends heavily on the success of its lead product candidates, the SCS and LIBERTY. If Microbot is unable to commercialize the SCS or LIBERTY, or experiences significant delays in doing so, Microbot’s business will be materially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stated above, we applied for an EFS for the SCS device and the FDA agreed that the SCS is suitable to apply for the submission of the IDE for the EFS program. After completing the EFS, we would then seek FDA input on the device design as finalized through the EFS process in a subsequent IDE filing for approval of a clinical study proposal. Consequently, the timeline for the submission of the IDE for First-In-Human clinical trials under the EFS is expected to commence in the first quarter of 2023.</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after all necessary clinical and performance data supporting the safety and effectiveness of the SCS or LIBERTY devices, or any other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device and/or the LIBERTY device, or any of our other product candidates from time to time. The success of commercializing any of our product candidates, include the SCS and LIBERTY devices, will depend on a number of factors, including the following:</w:t>
      </w:r>
    </w:p>
    <w:p>
      <w:pPr>
        <w:spacing w:after="0" w:line="19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additional capital;</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the SCS device, approval of the FDA to participate in an EFS program and/or successful completion of animal studies and, if necessary, additional human clinical trials (beyond the EFS trials) and the collection of sufficient data to demonstrate that the device is safe and effective for its intended use;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respect to all of our product candidates, successful completion of animal studies and, if necessary, human clinical trials and the collection of sufficient data to demonstrate that the device is safe and effective for its intended use;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marketing approvals or clearances from the FDA and other applicable regulatory authorities;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one or more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protecting Microbot’s rights in its intellectual property portfolio;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generating commercial sales, if and when approved, whether alone or in collaboration with other entities;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acceptance of our product candidates, if and when commercially launched, by the medical community, patients and third-party payors;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effectively competing with existing and competitive products on the market and any new competing products that may enter the market;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quality and an acceptable safety profile of our products following clearance or approval.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Microbot does not achieve one or more of these factors in a timely manner or at all, it could experience significant delays or an inability to successfully commercialize the SCS, LIBERTY or any other product candidate, which would materially harm its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ability to expand its technology platforms for other uses, including endovascular neurosurgery other than for the treatment of hydrocephalus, may be limited.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spending time working with experts in the field, Microbot has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spacing w:after="0" w:line="311" w:lineRule="auto"/>
        <w:rPr>
          <w:sz w:val="20"/>
          <w:szCs w:val="20"/>
          <w:color w:val="auto"/>
        </w:rPr>
      </w:pPr>
      <w:r>
        <w:rPr>
          <w:rFonts w:ascii="Arial" w:cs="Arial" w:eastAsia="Arial" w:hAnsi="Arial"/>
          <w:sz w:val="16"/>
          <w:szCs w:val="16"/>
          <w:b w:val="1"/>
          <w:bCs w:val="1"/>
          <w:i w:val="1"/>
          <w:iCs w:val="1"/>
          <w:color w:val="auto"/>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spacing w:after="0" w:line="14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Although Microbot has identified a predicate device for its lead product candidate, the SCS, which it intended to use in its 510(k) application, it may determine that a 510(k) de novo application is more appropriate for the SCS. If the Company determines to proceed with the 510(k) application and the FDA agrees with the Company’s determination, the SCS will be classified by the FDA as Class II and eligible for marketing pursuant to FDA clearance through the 510(k) application. However, in light of recent initiatives by the FDA relating to safety, efficacy and the inconclusive results of the animal and laboratory trial,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or any other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Thus, the addition of one or more mandatory clinical trials to the development timeline for the SCS, LIBERTY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LIBERTY or any other product candidate, depending on their nature, scope and applicability. Microbot and its business, financial condition and operating results could be materially and adversely affected as a result of any such costs, delays or uncertainty.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may disagree with Microbot’s determination that the SCS is a Class II device or that the chosen predicate device (or any predicate device) is appropriate for a substantial equivalence comparison to the SCS.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the Company intended to submit a 501(k) application for the SCS, the Company is now considering that the FDA may determine that the SCS is a Class III device because there is no appropriate predicate device for substantial equivalence comparison, which would require Microbot to submit a De Novo classification request or an application for premarket approval (“PMA”). Both De Novo requests and PMA applications require applicants to prepare information and data about device safety and efficacy in addition to the 510(k) requirements, including a benefit-risk analysis, a discussion of proposed general and special controls to eliminate or mitigate device risks, and additional testing data. PMA applications almost always require data from human clinical studies, and while De Novo requests do not require human clinical study data, in most cases, such data is necessary to demonstrate that the FDA can appropriately classify the device as Class II.</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87" w:lineRule="auto"/>
        <w:rPr>
          <w:sz w:val="20"/>
          <w:szCs w:val="20"/>
          <w:color w:val="auto"/>
        </w:rPr>
      </w:pPr>
      <w:r>
        <w:rPr>
          <w:rFonts w:ascii="Arial" w:cs="Arial" w:eastAsia="Arial" w:hAnsi="Arial"/>
          <w:sz w:val="16"/>
          <w:szCs w:val="16"/>
          <w:color w:val="auto"/>
        </w:rPr>
        <w:t>Any type of clinical study performed in humans (including the EFS)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 Thus, the addition of one or more mandatory clinical trials to the development timeline for the SCS would significantly increase the costs associated with developing and commercializing the product and delay the timing of U.S. regulatory authorization.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if Microbot is required to submit a De Novo request or PMA application instead of a 510(k), the FDA review process may take significantly more time. While the FDA commits to reviewing 510(k)s in 90 days, the review period for De Novo requests and PMA applications is 150 days and 180 days, respectively. After an initial review of our De Novo request or PMA application, the FDA may request additional information or data which can significantly delay an ultimate decision on our submission.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Thus, submitting a De Novo request or PMA application for the SCS would significantly increase the costs associated with developing and commercializing the product and delay the timing of U.S. regulatory authorization. Microbot and its business, financial condition and operating results could be materially and adversely affected as a result of any such costs or delays.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Microbot’s CardioSert technology is subject to a buy-back clause which, if triggered, could cause us to lose rights to the technology and delay or curtail the development of our products.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Agreement we entered into in January 2018 to acquire the CardioSert technology, we are required to meet certain commercialization deadlines or CardioSert may terminate the agreement and buy back the technology for $1.00, subject to certain limited exceptions. The next such commercialization deadline is in 2022. At this time, we can give no assurance that we will meet the commercialization deadlines.</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Failure to meet the applicable commercialization deadlines and any resulting sale back of the technology to CardioSert could materially adversely affect our ability to develop and commercialize, or materially delay the development and commercialization of, our planned LIBERTY device.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Microbot has no prior experience in conducting clinical trials and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commercial opportunity for SCS, LIBERTY and any other commercial products that may be developed by Microbot is smaller than Microbot anticipates, Microbot’s future revenue from SCS, LIBERTY and such other products will be adversely affected and Microbot’s business will suffer.</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size of the commercial opportunities in any of Microbot’s target markets is smaller than it anticipates, Microbot may not be able to achieve profitability and growth. For instance, Microbot is developing SCS as a device for the treatment of hydrocephalus and NPH. It is difficult to predict the penetration, future growth rate or size of the market for Microbot’s product candidate.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17"/>
          <w:szCs w:val="17"/>
          <w:color w:val="auto"/>
        </w:rPr>
        <w:t>The commercial success of the SCS, LIBERTY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Customers will be unlikely to buy the SCS, LIBERTY or any other product candidates unless Microbot can demonstrate that they can be produced for sale to consumers at attractive prices.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date, Microbot has focused primarily on research and development of the first generation versions of the SCS, as well as initial development of the LIBERTY device.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will rely on third party design houses for the redesign of the CardioSert guidewire to other specific indications.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CardioSert Guidewire was originally designed for treating chronic total occlusions, the design will need to be modified to treat other indications. As we do not specialize in the design of guidewires and microcatheters, Microbot is currently working with two leading third party design houses that specialize in this type of design. Such designs may require several design and regulatory iterations prolonging the product release and certification, which could delay the commercialization of our planned LIBERTY device.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relied on, and intends to continue to rely on, third-party manufacturers to produce its product candidates.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spacing w:after="0" w:line="18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supply availability resulting from capacity, internal operational problems or scheduling constraints of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regulatory non-compliance or other violations by the third-party manufacturer that could result in quality assurance;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manufacturing agreements by third parties because of various factors beyond Microbot’s control;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manufacturing agreements by third parties for various reasons beyond Microbot’s control, at a time that is costly or inconvenient to Microbot.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auto"/>
        </w:rPr>
        <w:t>Additionally, the existing design of the CardioSert device was produced in very low quantities by the seller of the technology. Accordingly, the scaling-up to high volume production may require significant changes to the existing design and production methods. These changes are currently being carried out by two leading third party companies that specialize in design and high volume production of guidewires and microcatheters. These design changes/modifications may have significant negative implications in price and time to market of the CardioSert system.</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product candidates are not considered to be a safe and effective alternative to existing technologies, Microbot will not be commercially successful.</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SCS, LIBERTY and TipCAT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SCS, LIBERTY or TipCAT.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becoming increasingly price sensitive.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 may be subject to penalties and may be precluded from marketing its product candidates if Microbot fails to comply with extensive governmental regulations.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Microbot’s product offerings are used across diverse healthcare settings, they will be affected to varying degrees by the different payment systems.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outcome studies for the SCS and LIBERTY may not provide sufficient data to make such product candidates the standard of care.</w:t>
      </w: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Microbot’s business plan with respect to the SCS and LIBERTY relies on the broad adoption by surgeons of the products for their respective planned applications. For instance, although Microbot believes the occurrence of shunt occlusion complications is well known among physicians practicing in the relevant medical fields, SCS may be adopted for replacement shunt surgeries only. Neurosurgeons may adopt SCS for primary shunt placement procedures only upon additional clinical studies with longer follow up periods, if at all. It may also be necessary to provide outcome studies on the preventative capabilities of the SCS in order to convince the medical community of its safety and efficacy.</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Clinical studies may not show an advantage in SCS or LIBERTY based procedures in a timely manner, or at all, and outcome studies have not been designed at this time, and may be too large and too costly for Microbot to conduct. Both situations could prevent broad adoption of the SCS and LIBERTY and materially impact Microbot’s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Microbot products may in the future be subject to mandatory product recalls that could harm its reputation, business and financial results.</w:t>
      </w:r>
    </w:p>
    <w:p>
      <w:pPr>
        <w:spacing w:after="0" w:line="23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spacing w:after="0" w:line="16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detention or seizure of Microbot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refusing or delaying requests for 510(k) clearance or premarket approval of new products or modified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withdrawing 510(k) clearances or other types of regulatory authorizations -that have already been granted;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refusing to grant export approval for Microbot products;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spacing w:after="0" w:line="277" w:lineRule="auto"/>
        <w:rPr>
          <w:sz w:val="20"/>
          <w:szCs w:val="20"/>
          <w:color w:val="auto"/>
        </w:rPr>
      </w:pPr>
      <w:r>
        <w:rPr>
          <w:rFonts w:ascii="Arial" w:cs="Arial" w:eastAsia="Arial" w:hAnsi="Arial"/>
          <w:sz w:val="18"/>
          <w:szCs w:val="18"/>
          <w:b w:val="1"/>
          <w:bCs w:val="1"/>
          <w:i w:val="1"/>
          <w:iCs w:val="1"/>
          <w:color w:val="auto"/>
        </w:rPr>
        <w:t>If Microbot’s future commercialized products cause or contribute to a death or a serious injury, Microbot will be subject to Medical Device Reporting regulations, which can result in voluntary corrective actions or agency enforcement actions.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Microbot could be exposed to significant liability claims if Microbot is unable to obtain insurance at acceptable costs and adequate levels or otherwise protect itself against potential product liability claims.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results of Microbot’s research and development efforts are uncertain and there can be no assurance of the commercial success of Microbot’s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retain certain of its key personnel and attract and retain additional qualified personnel, Microbot might not be able to pursue its growth strategy effectively.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Microbot is dependent on its senior management, in particular Harel Gadot, Microbot’s Chairman, President and Chief Executive Officer.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Microbot does not carry, and does not intend to carry, any key man life insurance policies on any of its existing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International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Microbot fails to obtain regulatory clearances in other countries for its product candidates under development, Microbot will not be able to commercialize these product candidates in those countries.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for Microbot to market its product candidates in countries other than the United States, it must comply with the safety and quality regulations in such countries.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jc w:val="both"/>
        <w:spacing w:after="0" w:line="269" w:lineRule="auto"/>
        <w:rPr>
          <w:sz w:val="20"/>
          <w:szCs w:val="20"/>
          <w:color w:val="auto"/>
        </w:rPr>
      </w:pPr>
      <w:r>
        <w:rPr>
          <w:rFonts w:ascii="Arial" w:cs="Arial" w:eastAsia="Arial" w:hAnsi="Arial"/>
          <w:sz w:val="17"/>
          <w:szCs w:val="17"/>
          <w:color w:val="auto"/>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Microbot’s Intellectual Property</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Microbot’s right to develop and commercialize the SCS and TipCAT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p>
      <w:pPr>
        <w:spacing w:after="0" w:line="14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Microbot entered into a license agreement with Technion Research and Development Foundation Ltd., or TRDF, in 2012 pursuant to which Microbot obtained an exclusive, worldwide, royalty-bearing, sub-licensable license to certain patents and inventions relating to the SCS and TipCAT technology platforms.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with respect a particular technology in the event Microbot fails to meet a development milestone associated with such technology. Therefore, the failure to meet development milestones may lead to a complete termination of the applicable license agreement and result in Microbot ceasing its development efforts for the applicable product candidate. The milestones for both SCS and TipCAT include commencing first in human clinical trials by December 2021. Failure to meet any development milestone will give TRDF the right to terminate the license with respect to the technology underlying the missed milestone. TRDF has previously demonstrated flexibility with respect to amending the terms of the license to extend the milestone dates, although we can give no assurance at this time that TRDF will continue to be so flexible with respect to amending the terms of the license.</w:t>
      </w:r>
    </w:p>
    <w:p>
      <w:pPr>
        <w:spacing w:after="0" w:line="1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TRDF were to terminate the license agreement or if Microbot was to otherwise lose the ability to exploit the licensed patents, Microbot’s competitive advantage could be reduced or terminated, and Microbot will likely not be able to find a source to replace the licensed technology.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if there is any future dispute between Microbot and TRDF regarding the respective parties’ rights under the license agreement, Microbot’s ability to develop and commercialize the SCS and TipCAT may be materially harmed.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Microbot may not meet its product candidates’ development and commercialization objectives in a timely manner or at all.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infringement claims could cause Microbot to incur significant expenses or prevent Microbot from selling certain of its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patent and other proprietary rights and failing to protect such rights or to be successful in litigation related to such rights may result in Microbot’s payment of significant monetary damages or impact offerings in its product portfolios.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Operations in 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has facilities located in Israel, and therefore, political conditions in Israel may affect Microbot’s operations and results.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has facilities located in Israel. In addition, one of its seven directors, its Chief Technology Officer, Chief Medical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Political relations could limit Microbot’s ability to sell or buy internationally.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Israel’s economy may become unstable.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and the NIS currencies may negatively affect Microbot’s operating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jc w:val="both"/>
        <w:spacing w:after="0" w:line="311" w:lineRule="auto"/>
        <w:rPr>
          <w:sz w:val="20"/>
          <w:szCs w:val="20"/>
          <w:color w:val="auto"/>
        </w:rPr>
      </w:pPr>
      <w:r>
        <w:rPr>
          <w:rFonts w:ascii="Arial" w:cs="Arial" w:eastAsia="Arial" w:hAnsi="Arial"/>
          <w:sz w:val="16"/>
          <w:szCs w:val="16"/>
          <w:color w:val="auto"/>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Funding and other benefits provided by Israeli government programs may be terminated or reduced in the future and the terms of such funding may have a significant impact on future corporate decisions.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Microbot’s research and development efforts from inception until now have been financed in part through such Israeli Innovation Authority royalty bearing grants in an aggregate amount of approximately $1,500,000 through December 31, 2021. 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Microbot’s employees and officers are obligated to perform military reserve duty in Israel.</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may be difficult to enforce a non-Israeli judgment against Microbot or its officers and directors.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Relating to Microbot’s Securities, Governance and Other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cash dividends on our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we will retain our earnings, if any, for future growth and therefore do not anticipate paying cash dividends on our Common Stock in the future. Investors seeking cash dividends should not invest in our Common Stock for that purpose.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Anti-takeover provisions in the Company’s charter and bylaws under Delaware law may prevent or frustrate attempts by stockholders to change the board of directors or current management and could make a third-party acquisition of the Company difficult.</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litigation, which may divert management’s attention and have a material adverse effect on our business, financial condition and results of operations.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seeks rescission of the SPA and return of the Plaintiffs’ $6.75 million purchase price with respect to the Financing.</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the Company’s investors, restrict its operations or require it to relinquish rights to its technologies or product candidates.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Until such time, if ever, as the Company can generate substantial product revenues, it expects to finance its cash needs through a combination of equity offerings, including through its existing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LIBERTY and other products that it is seeking to develop or commercialize with respect to its other product candidates in the future.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LIBERTY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strategy in part relies on identifying, acquiring and developing complementary technologies and products, which entails risks which could negatively affect our business,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may pursue other acquisitions of businesses and technologies. Acquisitions entail numerous risks, including:</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the integration of acquired operations, services and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achieve expected synergies;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assumption of unknown material liabilities of acquired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of acquired intangible assets, which could reduce future reported earnings;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loss of clients or key employees of acquired companies;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dilution to existing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8"/>
          <w:szCs w:val="18"/>
          <w:color w:val="auto"/>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Microbot operations in international markets involve inherent risks that Microbot may not be able to control.</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spacing w:after="0" w:line="18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macroeconomic conditions affecting geographies where Microbot intends to do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closing of international borders, including as a result of biohazards or pandemics;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costs of doing business in certain foreign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infringement claims on foreign patents, copyrights or trademark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operations across disparate geographic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associated with enforcing agreements and intellectual property rights through foreign legal systems;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 protection measures and other regulatory requirements, which affect Microbot’s ability to import or export its product candidates from or to various countries;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unexpected changes in legal and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military conflict, terrorist activities, natural disasters and medical epidemics;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Microbot’s ability to recruit and retain channel partners in foreign jurisdictions.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Microbot’s financial results may be affected by fluctuations in exchange rates and Microbot’s current currency hedging strategy may not be sufficient to counter such fluctuations.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The market price for our Common Stock may be volatile.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or annual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financial or operational estimates or projections;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conditions in markets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similar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acquisitions, strategic partnerships, joint ventures or capital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intellectual property position;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or political conditions in the United States, Israel or elsewhere.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issuance of shares upon exercise of outstanding warrants and options could cause immediate and substantial dilution to existing stockholders.</w:t>
      </w:r>
    </w:p>
    <w:p>
      <w:pPr>
        <w:spacing w:after="0" w:line="26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issuance of shares upon exercise of warrants and options could result in substantial dilution to the interests of other stockholders since the holders of such securities may ultimately convert and sell the full amount issuable on conversion.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Description of Property.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Microbot’s principal executive office is located at 25 Recreation Drive, Unit 108, Hingham, MA 02043.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Resulting from 2017 Financing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Management is unable to assess the likelihood that we will succeed at trial with respect to the SPA or the Financing, having previously lost another lawsuit with respect to the Financing.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jc w:val="both"/>
        <w:ind w:right="20"/>
        <w:spacing w:after="0" w:line="311" w:lineRule="auto"/>
        <w:rPr>
          <w:sz w:val="20"/>
          <w:szCs w:val="20"/>
          <w:color w:val="auto"/>
        </w:rPr>
      </w:pPr>
      <w:r>
        <w:rPr>
          <w:rFonts w:ascii="Arial" w:cs="Arial" w:eastAsia="Arial" w:hAnsi="Arial"/>
          <w:sz w:val="16"/>
          <w:szCs w:val="16"/>
          <w:color w:val="auto"/>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6, 2020, we filed a motion for judgment on the pleadings with respect to our 16(b) claim against Mona, together with a motion to dismiss Mona’s 10(b) counterclaim.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17, 2020, the Court issued a Memorandum Decision &amp; Order that, among other things, granted Alliance’s summary judgment motion. Our Section 16(b) claim against Mona remained pending following the Court’s dismissal of the 16(b) claim against Alliance.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2020, the Magistrate Judge issued a Report &amp; Recommendation, which recommended that: (i) judgment of $484,614.30 be entered in our favor on our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30, 2021, the Court issued an Order adopting the Magistrate Judge’s Report &amp; Recommendation; and on March 31, 2021, the Clerk entered Judgement against Joseph Mona and in favor of Microbot in the amount of $484,614.30. On April 27, 2021, Mona filed an appeal of the Court’s Judgment, which is pending before the U.S. Court of Appeals for the Second Circuit.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May 3, 2021, Microbot obtained a writ of execution to enforce the Judgment against Mona, given Mona’s failure to post a bond or other security in the full amount of the Judgment pending the appeal as required by the Federal Rules of Civil Procedure. On May 7, 2021, Microbot filed a motion to permit the registration of the Judgment in districts outside the Southern District of New York in which Mona may have assets available to satisfy the Judgment.</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2021, the Magistrate issued an order permitting Mona to file an Amended Counterclaim Complaint, and rejected our request to execute on the Judgment. We filed a response to Mona’s amended counterclaim on July 21, 2021, and are pursuing a renewed motion to execute on the Judgment and dismiss the counterclaim in view of case deficiencies revealed during discovery. A settlement conference has been scheduled in April 2022 with respect to Mona’s 10(b) counterclaim.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“MBOT” since November 29, 2016. Prior to that, our common stock was traded under the symbol “STEM.”</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29, 2022, there were approximately 121 holders of record of our common stock, and the closing sales price of our common stock as reported on the NASDAQ Capital Market was $5.77.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Equity Compensation Plan Information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about shares of our common stock that may be issued upon the exercise of options under all of our existing compensation plans as of December 31, 2021.</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Category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Equity compensation plans approved by security holders:</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2017 Equity Incentive Plan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2020 Omnibus Performance Award Plan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Equity compensation plans not approved by security holders: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Microbot Israel Employee Stock Option Plan(1)</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(2)</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tcPr>
          <w:p>
            <w:pPr>
              <w:spacing w:after="0"/>
              <w:rPr>
                <w:sz w:val="18"/>
                <w:szCs w:val="18"/>
                <w:color w:val="auto"/>
              </w:rPr>
            </w:pPr>
          </w:p>
        </w:tc>
      </w:tr>
      <w:tr>
        <w:trPr>
          <w:trHeight w:val="216"/>
        </w:trPr>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securities to be</w:t>
            </w:r>
          </w:p>
        </w:tc>
        <w:tc>
          <w:tcPr>
            <w:tcW w:w="12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tcPr>
          <w:p>
            <w:pPr>
              <w:spacing w:after="0"/>
              <w:rPr>
                <w:sz w:val="18"/>
                <w:szCs w:val="18"/>
                <w:color w:val="auto"/>
              </w:rPr>
            </w:pPr>
          </w:p>
        </w:tc>
      </w:tr>
      <w:tr>
        <w:trPr>
          <w:trHeight w:val="216"/>
        </w:trPr>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issued upon</w:t>
            </w:r>
          </w:p>
        </w:tc>
        <w:tc>
          <w:tcPr>
            <w:tcW w:w="120" w:type="dxa"/>
            <w:vAlign w:val="bottom"/>
          </w:tcPr>
          <w:p>
            <w:pPr>
              <w:spacing w:after="0"/>
              <w:rPr>
                <w:sz w:val="18"/>
                <w:szCs w:val="18"/>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3"/>
              </w:rPr>
              <w:t>exercise</w:t>
            </w:r>
          </w:p>
        </w:tc>
        <w:tc>
          <w:tcPr>
            <w:tcW w:w="1240" w:type="dxa"/>
            <w:vAlign w:val="bottom"/>
          </w:tcPr>
          <w:p>
            <w:pPr>
              <w:spacing w:after="0"/>
              <w:rPr>
                <w:sz w:val="18"/>
                <w:szCs w:val="18"/>
                <w:color w:val="auto"/>
              </w:rPr>
            </w:pPr>
          </w:p>
        </w:tc>
      </w:tr>
      <w:tr>
        <w:trPr>
          <w:trHeight w:val="216"/>
        </w:trPr>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exercise of</w:t>
            </w:r>
          </w:p>
        </w:tc>
        <w:tc>
          <w:tcPr>
            <w:tcW w:w="1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price of</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outstanding</w:t>
            </w:r>
          </w:p>
        </w:tc>
        <w:tc>
          <w:tcPr>
            <w:tcW w:w="1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options,</w:t>
            </w:r>
          </w:p>
        </w:tc>
        <w:tc>
          <w:tcPr>
            <w:tcW w:w="12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5"/>
              </w:rPr>
              <w:t>options,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warrants and</w:t>
            </w:r>
          </w:p>
        </w:tc>
        <w:tc>
          <w:tcPr>
            <w:tcW w:w="12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warrants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1"/>
              </w:rPr>
              <w:t>available for</w:t>
            </w:r>
          </w:p>
        </w:tc>
      </w:tr>
      <w:tr>
        <w:trPr>
          <w:trHeight w:val="241"/>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rights</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and rights</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future issuance</w:t>
            </w:r>
          </w:p>
        </w:tc>
      </w:tr>
      <w:tr>
        <w:trPr>
          <w:trHeight w:val="634"/>
        </w:trPr>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531,299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10.48</w:t>
            </w:r>
          </w:p>
        </w:tc>
        <w:tc>
          <w:tcPr>
            <w:tcW w:w="1240" w:type="dxa"/>
            <w:vAlign w:val="bottom"/>
          </w:tcPr>
          <w:p>
            <w:pPr>
              <w:jc w:val="right"/>
              <w:spacing w:after="0"/>
              <w:rPr>
                <w:sz w:val="20"/>
                <w:szCs w:val="20"/>
                <w:color w:val="auto"/>
              </w:rPr>
            </w:pPr>
            <w:r>
              <w:rPr>
                <w:rFonts w:ascii="Arial" w:cs="Arial" w:eastAsia="Arial" w:hAnsi="Arial"/>
                <w:sz w:val="18"/>
                <w:szCs w:val="18"/>
                <w:color w:val="auto"/>
              </w:rPr>
              <w:t>92,419</w:t>
            </w:r>
          </w:p>
        </w:tc>
      </w:tr>
      <w:tr>
        <w:trPr>
          <w:trHeight w:val="230"/>
        </w:trPr>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326,426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7.86</w:t>
            </w:r>
          </w:p>
        </w:tc>
        <w:tc>
          <w:tcPr>
            <w:tcW w:w="1240" w:type="dxa"/>
            <w:vAlign w:val="bottom"/>
          </w:tcPr>
          <w:p>
            <w:pPr>
              <w:jc w:val="right"/>
              <w:spacing w:after="0"/>
              <w:rPr>
                <w:sz w:val="20"/>
                <w:szCs w:val="20"/>
                <w:color w:val="auto"/>
              </w:rPr>
            </w:pPr>
            <w:r>
              <w:rPr>
                <w:rFonts w:ascii="Arial" w:cs="Arial" w:eastAsia="Arial" w:hAnsi="Arial"/>
                <w:sz w:val="18"/>
                <w:szCs w:val="18"/>
                <w:color w:val="auto"/>
              </w:rPr>
              <w:t>1,094,226</w:t>
            </w:r>
          </w:p>
        </w:tc>
      </w:tr>
      <w:tr>
        <w:trPr>
          <w:trHeight w:val="418"/>
        </w:trPr>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61,577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1"/>
        </w:trPr>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77, 846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4.20</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997,148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1,186,645</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-1165225</wp:posOffset>
            </wp:positionV>
            <wp:extent cx="713232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-882650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-607695</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-334010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661" w:right="339" w:bottom="1440" w:gutter="0" w:footer="0" w:header="0"/>
          <w:type w:val="continuous"/>
        </w:sectPr>
      </w:pPr>
    </w:p>
    <w:p>
      <w:pPr>
        <w:spacing w:after="0" w:line="69" w:lineRule="exact"/>
        <w:rPr>
          <w:sz w:val="20"/>
          <w:szCs w:val="20"/>
          <w:color w:val="auto"/>
        </w:rPr>
      </w:pPr>
    </w:p>
    <w:p>
      <w:pPr>
        <w:jc w:val="both"/>
        <w:ind w:left="340" w:hanging="332"/>
        <w:spacing w:after="0" w:line="25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p>
      <w:pPr>
        <w:spacing w:after="0" w:line="2" w:lineRule="exact"/>
        <w:rPr>
          <w:rFonts w:ascii="Arial" w:cs="Arial" w:eastAsia="Arial" w:hAnsi="Arial"/>
          <w:sz w:val="18"/>
          <w:szCs w:val="18"/>
          <w:color w:val="auto"/>
        </w:rPr>
      </w:pPr>
    </w:p>
    <w:p>
      <w:pPr>
        <w:jc w:val="both"/>
        <w:ind w:left="340" w:hanging="332"/>
        <w:spacing w:after="0" w:line="25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options were originally issued by Microbot Israel to MEDX Ventures Group LLC, of which Mr. Gadot is the Chief Executive Officer, Company Group Chairman and majority equity owner, and represented the right to purchase an aggregate of 403,592 of Microbot Israel’s ordinary shares. As of the effective time of the Merger, such options were retroactively adjusted to reflect the Merger and now represent the right to purchase shares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41" w:name="page42"/>
    <w:bookmarkEnd w:id="41"/>
    <w:p>
      <w:pPr>
        <w:jc w:val="both"/>
        <w:spacing w:after="0" w:line="233"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(including certain CardioSert assets), are comprised of proprietary innovative technologies. Using the ViRob platform, Microbot is currently developing the Self-Cleaning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patent portfolio of 47 issued/allowed patents and 29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One &amp; Done</w:t>
      </w:r>
      <w:r>
        <w:rPr>
          <w:rFonts w:ascii="Arial" w:cs="Arial" w:eastAsia="Arial" w:hAnsi="Arial"/>
          <w:sz w:val="29"/>
          <w:szCs w:val="29"/>
          <w:i w:val="1"/>
          <w:iCs w:val="1"/>
          <w:color w:val="auto"/>
          <w:vertAlign w:val="superscript"/>
        </w:rPr>
        <w:t>TM</w:t>
      </w:r>
      <w:r>
        <w:rPr>
          <w:rFonts w:ascii="Arial" w:cs="Arial" w:eastAsia="Arial" w:hAnsi="Arial"/>
          <w:sz w:val="18"/>
          <w:szCs w:val="18"/>
          <w:i w:val="1"/>
          <w:iCs w:val="1"/>
          <w:color w:val="auto"/>
        </w:rPr>
        <w:t xml:space="preserve"> (CardioSert) Technology</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The CardioSert tool is now trademarked as “One &amp; Done</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when used with its “One &amp; Done” capabilities, based in part on the CardioSert platform or possibly other guidewire/microcatheter technologies.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42" w:name="page43"/>
    <w:bookmarkEnd w:id="42"/>
    <w:p>
      <w:pPr>
        <w:jc w:val="both"/>
        <w:spacing w:after="0" w:line="279" w:lineRule="auto"/>
        <w:rPr>
          <w:sz w:val="20"/>
          <w:szCs w:val="20"/>
          <w:color w:val="auto"/>
        </w:rPr>
      </w:pPr>
      <w:r>
        <w:rPr>
          <w:rFonts w:ascii="Arial" w:cs="Arial" w:eastAsia="Arial" w:hAnsi="Arial"/>
          <w:sz w:val="17"/>
          <w:szCs w:val="17"/>
          <w:color w:val="auto"/>
        </w:rPr>
        <w:t>On December 22, 2021, we entered into a strategic collaboration agreement for technology co-development with Stryker Corporation, acting through its Neurovascular Division. Pursuant to the agreement, the collaborative development program between Stryker and us aims to integrate certain of Stryker’s instruments with our LIBERTY Robotic System to address certain neurovascular procedures. The activities contemplated by the Agreement shall be specified in one or more development plans derived from the terms and conditions set forth in the Agreement.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consist primarily of the costs associated with management salaries and benefits, professional fees for accounting, auditing, consulting and legal services, and allocated overhead expenses.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Microbot expects that its general and administrative expenses will increase over the long-term, even if a period-to-period comparison may show a decrease,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Management records and discloses legal contingencies in accordance with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the fair value of certain of its financial instruments on a recurring basis.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(unadjusted) in active markets for identical assets and liabilities.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key components of Microbot’s results of operations for the years ended December 31, 2021 and 2020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250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0"/>
              </w:rPr>
              <w:t>For the Years Ended</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b w:val="1"/>
                <w:bCs w:val="1"/>
                <w:color w:val="auto"/>
                <w:w w:val="90"/>
              </w:rPr>
              <w:t>December 31,</w:t>
            </w:r>
          </w:p>
        </w:tc>
        <w:tc>
          <w:tcPr>
            <w:tcW w:w="46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r>
      <w:tr>
        <w:trPr>
          <w:trHeight w:val="216"/>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(6,153)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(3,396)</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(5,204)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(5,693)</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Financing income (expenses), net</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Microbot’s research and development expenses were approximately $6,153,000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2021, compared to approximately $3,396,000 for the same period in 2020. The increase in research and development expenses of approximately $2,757,000 in 2021 as compared to 2020 was primarily due to increased salaries and recruitment of employees, professional services and material expenses relating to the LIBERTY project. Microbot expects its research and development expenses to continue to increase over time as Microbot advances its development programs and begins pre-clinical and clinical trials for the SCS, LIBERTY and TipCAT research programs.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were approximately $5,204,000 for the year ended December 31, 2021,</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approximately $5,693,000 for the same period in 2020. The decrease in general and administrative expenses of approximately $489,000 in 2021 as compared to 2020 was primarily due to decreased salaries, share-based compensation and government fees of $885,000, partially offset by an increase of $396,000 in insurance costs and professional services. Microbot believes its general and administrative expenses may increase over time as it advances its programs, requiring additional investments in headcount, facilities and other general and administrative operating activities to support its growth, and as it continues to incur expenses associated with public-company compliance.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Financing (income) Expenses</w:t>
      </w:r>
      <w:r>
        <w:rPr>
          <w:rFonts w:ascii="Arial" w:cs="Arial" w:eastAsia="Arial" w:hAnsi="Arial"/>
          <w:sz w:val="17"/>
          <w:szCs w:val="17"/>
          <w:color w:val="auto"/>
        </w:rPr>
        <w:t>. Financing income were approximately $44,000 for the year ended December 31, 2021, consisting of the reversal of</w:t>
      </w:r>
      <w:r>
        <w:rPr>
          <w:rFonts w:ascii="Arial" w:cs="Arial" w:eastAsia="Arial" w:hAnsi="Arial"/>
          <w:sz w:val="17"/>
          <w:szCs w:val="17"/>
          <w:i w:val="1"/>
          <w:iCs w:val="1"/>
          <w:color w:val="auto"/>
        </w:rPr>
        <w:t xml:space="preserve"> </w:t>
      </w:r>
      <w:r>
        <w:rPr>
          <w:rFonts w:ascii="Arial" w:cs="Arial" w:eastAsia="Arial" w:hAnsi="Arial"/>
          <w:sz w:val="17"/>
          <w:szCs w:val="17"/>
          <w:color w:val="auto"/>
        </w:rPr>
        <w:t>$131,000 of other liability stemming from our 2016 merger with StemCells, offset by exchange rate expenses of $87,000, compared to net financial expenses of approximately $80,000 for the same period in 2020, consisting of approximately $80,000 in interest payments related to the appeal of our Sabby litigation as well as $70,000 exchange rate expenses and net interest, offset by $70,000 capital gain.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Microbot has incurred losses since inception and negative cash flows from operating activities for the years ended December 31, 2021 and 2020. As of December 31, 2021 and 2020, respectively, Microbot had a net working capital of approximately $13,895,000 and $23,908,000,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continues to incur costs associated with being a public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has funded its operations through the issuance of capital stock, grants from the Israeli Innovation Authority, and convertible debt. Since inception (November 2010) through December 31, 2021, Microbot has raised net cash proceeds of approximately $54,770,000, and incurred a total cumulative loss of approximately $55,593,000. Microbot returned $3,375,000 (before interest) of such proceeds to an investor as a result of an adverse outcome in a litigation that concluded in the first quarter of 2020, and is now subject to an additional lawsuit seeking the return of an additional $6,750,000 of such proceeds. This litigation is in its early stages and we cannot project what the eventual outcome will be, though management is vigorously defending its position that no return of capital is warranted.</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2021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spacing w:after="0" w:line="255" w:lineRule="auto"/>
        <w:rPr>
          <w:sz w:val="20"/>
          <w:szCs w:val="20"/>
          <w:color w:val="auto"/>
        </w:rPr>
      </w:pPr>
      <w:r>
        <w:rPr>
          <w:rFonts w:ascii="Arial" w:cs="Arial" w:eastAsia="Arial" w:hAnsi="Arial"/>
          <w:sz w:val="18"/>
          <w:szCs w:val="18"/>
          <w:color w:val="auto"/>
        </w:rPr>
        <w:t>To date, we have not generated revenues from our operations. As of December 31, 2021, we had unrestricted cash, cash equivalents and marketable securities of approximately $15,492,000, excluding encumbered cash, which management believes is sufficient to fund our operations for more than 12 months from the date of this Annual Report on Form 10-K and sufficient to fund our operations necessary to continue development activities of our current proposed products with flexibility to adjust our costs to the cash needed for the next 12 months. However, in the event we are unsuccessful in our current litigation discussed above, pursuant to which certain investors are seeking the return of $6,750,000 in proceeds we received from them in a 2017 stock offering, we may have funds for less than 12 months.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Israeli Innovation Authority. Microbot intends to also raise capital through future issuances of debt and/or equity securities, including through its existing and as-yet-unused At-the-Market offering or registered offerings under its existing Registration Statement on Form S-3 for up to $75 million of securities, which it may draw down from time to time. These issuances may be opportunistic and even if the Company has enough funds at such time for operations for more than 12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net cash flow activity for each of the periods presented (in thousands):</w:t>
      </w:r>
    </w:p>
    <w:p>
      <w:pPr>
        <w:spacing w:after="0" w:line="221"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1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626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operating activities</w:t>
            </w:r>
          </w:p>
        </w:tc>
        <w:tc>
          <w:tcPr>
            <w:tcW w:w="1160" w:type="dxa"/>
            <w:vAlign w:val="bottom"/>
            <w:shd w:val="clear" w:color="auto" w:fill="CCEEFF"/>
          </w:tcPr>
          <w:p>
            <w:pPr>
              <w:jc w:val="right"/>
              <w:ind w:right="100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(9,354)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00" w:type="dxa"/>
            <w:vAlign w:val="bottom"/>
            <w:gridSpan w:val="2"/>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cash flows from investing activities</w:t>
            </w:r>
          </w:p>
        </w:tc>
        <w:tc>
          <w:tcPr>
            <w:tcW w:w="116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3,200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(2,768)</w:t>
            </w:r>
          </w:p>
        </w:tc>
      </w:tr>
      <w:tr>
        <w:trPr>
          <w:trHeight w:val="25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financing activities</w:t>
            </w:r>
          </w:p>
        </w:tc>
        <w:tc>
          <w:tcPr>
            <w:tcW w:w="1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(3,375)</w:t>
            </w:r>
          </w:p>
        </w:tc>
      </w:tr>
      <w:tr>
        <w:trPr>
          <w:trHeight w:val="216"/>
        </w:trPr>
        <w:tc>
          <w:tcPr>
            <w:tcW w:w="62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decrease in cash and cash equivalents</w:t>
            </w:r>
          </w:p>
        </w:tc>
        <w:tc>
          <w:tcPr>
            <w:tcW w:w="1160" w:type="dxa"/>
            <w:vAlign w:val="bottom"/>
            <w:tcBorders>
              <w:top w:val="single" w:sz="8" w:color="auto"/>
            </w:tcBorders>
          </w:tcPr>
          <w:p>
            <w:pPr>
              <w:jc w:val="right"/>
              <w:ind w:right="100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(13,395</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operating activities for the year ended December 31, 2021 was approximately $9,354,000, compared to $7,252,000 in 2020. The increase was from higher net losses in 2021, mostly related to increase in research and development relating to LIBERTY.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from investing activities increased in 2021 compared to 2020 primarily from the net purchases of marketable securities.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flows from financing activities decreased in 2021 due primarily to a 2020 return of $3,375,000 of capital to investors as a result of the adverse outcome of litigation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Microbot’s cash and cash equivalents as of December 31, 2021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jc w:val="both"/>
        <w:spacing w:after="0" w:line="296" w:lineRule="auto"/>
        <w:rPr>
          <w:sz w:val="20"/>
          <w:szCs w:val="20"/>
          <w:color w:val="auto"/>
        </w:rPr>
      </w:pPr>
      <w:r>
        <w:rPr>
          <w:rFonts w:ascii="Arial" w:cs="Arial" w:eastAsia="Arial" w:hAnsi="Arial"/>
          <w:sz w:val="16"/>
          <w:szCs w:val="16"/>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Inflation generally affects Microbot by increasing its research and development expenses. Microbot does not believe that inflation and changing prices had a significant impact on its results of operations for any periods presented herein, but may have a significant, adverse impact in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and supplementary data required by this item are included in this Annual Report on Form 10-K immediately following Part IV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Disclosure Controls and Procedures</w:t>
      </w:r>
      <w:r>
        <w:rPr>
          <w:rFonts w:ascii="Arial" w:cs="Arial" w:eastAsia="Arial" w:hAnsi="Arial"/>
          <w:sz w:val="17"/>
          <w:szCs w:val="17"/>
          <w:color w:val="auto"/>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2021. Based on that review and evaluation, the Chief Executive Officer and Chief Financial Officer, along with the management of the Company, have determined that as of December 31, 2021,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Management’s Annual Report on Internal Control Over Financial Reporting.</w:t>
      </w:r>
      <w:r>
        <w:rPr>
          <w:rFonts w:ascii="Arial" w:cs="Arial" w:eastAsia="Arial" w:hAnsi="Arial"/>
          <w:sz w:val="16"/>
          <w:szCs w:val="16"/>
          <w:color w:val="auto"/>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2021, and have concluded that, as of December 31, 2021, our internal control over financial reporting was effective.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currently have seven directors serving on our Board. The following table lists the names, ages and positions of the individuals who serve as directors of the Company, as of March 29,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7420" w:type="dxa"/>
            <w:vAlign w:val="bottom"/>
          </w:tcPr>
          <w:p>
            <w:pPr>
              <w:ind w:left="34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7"/>
                <w:szCs w:val="17"/>
                <w:color w:val="auto"/>
              </w:rPr>
            </w:pPr>
          </w:p>
        </w:tc>
        <w:tc>
          <w:tcPr>
            <w:tcW w:w="7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Yoseph Bornstein(1)(3)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Scott Burell(1)(2)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Martin Madden(1)(3)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Prattipati Laxminarain(2)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Aileen Stockburger(3)</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Tal Wenderow(2)</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 of Corporate Governance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 classified Board, with each of our directors serving a staggered three-year term. The following table shows the current composition of the three classes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Class I Directors (terms scheduled to expire in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Martin Madden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Tal Wenderow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 Directors (term scheduled to expire in 2023):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Scott Burell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Aileen Stockburger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Class III Directors (term scheduled to expire in 2024):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Yoseph Bornstein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Prattipati Laxminarain</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Harel Gadot</w:t>
      </w:r>
      <w:r>
        <w:rPr>
          <w:rFonts w:ascii="Arial" w:cs="Arial" w:eastAsia="Arial" w:hAnsi="Arial"/>
          <w:sz w:val="17"/>
          <w:szCs w:val="17"/>
          <w:color w:val="auto"/>
        </w:rPr>
        <w:t>, became President, Chief Executive Officer and Chairman of the Company’s Board following the consummation of the merger of C&amp;RD</w:t>
      </w:r>
      <w:r>
        <w:rPr>
          <w:rFonts w:ascii="Arial" w:cs="Arial" w:eastAsia="Arial" w:hAnsi="Arial"/>
          <w:sz w:val="17"/>
          <w:szCs w:val="17"/>
          <w:i w:val="1"/>
          <w:iCs w:val="1"/>
          <w:color w:val="auto"/>
        </w:rPr>
        <w:t xml:space="preserve"> </w:t>
      </w:r>
      <w:r>
        <w:rPr>
          <w:rFonts w:ascii="Arial" w:cs="Arial" w:eastAsia="Arial" w:hAnsi="Arial"/>
          <w:sz w:val="17"/>
          <w:szCs w:val="17"/>
          <w:color w:val="auto"/>
        </w:rPr>
        <w:t>Israel Ltd, a wholly owned subsidiary of the Company, with and into Microbot Medical Ltd.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 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6"/>
          <w:szCs w:val="16"/>
          <w:i w:val="1"/>
          <w:iCs w:val="1"/>
          <w:color w:val="auto"/>
        </w:rPr>
        <w:t>Yoseph Bornstein</w:t>
      </w:r>
      <w:r>
        <w:rPr>
          <w:rFonts w:ascii="Arial" w:cs="Arial" w:eastAsia="Arial" w:hAnsi="Arial"/>
          <w:sz w:val="16"/>
          <w:szCs w:val="16"/>
          <w:color w:val="auto"/>
        </w:rPr>
        <w:t>, became a director of the Company following the Merger. Mr. Bornstein is a co-founder of Microbot Israel and has been a member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which supplies the medical device industry, since April 2012, and the Chairman of ASIS Enterprises B.B.G. Ltd., a business development company focusing on creating business ties between Israeli and Japanese entities, since August 2007. Mr. Bornstein is a co-founder and director of XACT Robotics, which is developing a novel platform technology for robotic needle steering in minimally invasive interventional procedures.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He founded in July 2014 ShizimXL Ltd., an international medical device innovation center, and founded in January 2020 ShizimVS Ltd., a digital health innovation center. Mr. Bornstein was nominated in August 2021 to be an external director in Can-fit BioPharma Ltd. (Nasdaq:CANF). The Company believes that Mr. Bornstein is qualified to serve as a member of the Board due to his extensive experience in, and knowledge of, the life sciences industry and international business.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Scott R. Burell</w:t>
      </w:r>
      <w:r>
        <w:rPr>
          <w:rFonts w:ascii="Arial" w:cs="Arial" w:eastAsia="Arial" w:hAnsi="Arial"/>
          <w:sz w:val="17"/>
          <w:szCs w:val="17"/>
          <w:color w:val="auto"/>
        </w:rPr>
        <w:t>, became a director of the Company following the Merger. Since August 1, 2018, Mr. Burell has been the Chief Financial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AIVITA Biomedical, Inc., an Irvine California-based immuno-oncology company focused on the advancement of commercial and clinical-stage programs utilizing curative and regenerative medicines. From November 2006 until its sale to Invitae Corp. (NYSE: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Martin Madden</w:t>
      </w:r>
      <w:r>
        <w:rPr>
          <w:rFonts w:ascii="Arial" w:cs="Arial" w:eastAsia="Arial" w:hAnsi="Arial"/>
          <w:sz w:val="17"/>
          <w:szCs w:val="17"/>
          <w:color w:val="auto"/>
        </w:rPr>
        <w:t>, has been a director of the Company since February 6, 2017. Mr. Madden has held various positions at Johnson &amp; Johnson and its affiliates</w:t>
      </w:r>
      <w:r>
        <w:rPr>
          <w:rFonts w:ascii="Arial" w:cs="Arial" w:eastAsia="Arial" w:hAnsi="Arial"/>
          <w:sz w:val="17"/>
          <w:szCs w:val="17"/>
          <w:i w:val="1"/>
          <w:iCs w:val="1"/>
          <w:color w:val="auto"/>
        </w:rPr>
        <w:t xml:space="preserve"> </w:t>
      </w:r>
      <w:r>
        <w:rPr>
          <w:rFonts w:ascii="Arial" w:cs="Arial" w:eastAsia="Arial" w:hAnsi="Arial"/>
          <w:sz w:val="17"/>
          <w:szCs w:val="17"/>
          <w:color w:val="auto"/>
        </w:rPr>
        <w:t>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Prattipati Laxminarain</w:t>
      </w:r>
      <w:r>
        <w:rPr>
          <w:rFonts w:ascii="Arial" w:cs="Arial" w:eastAsia="Arial" w:hAnsi="Arial"/>
          <w:sz w:val="17"/>
          <w:szCs w:val="17"/>
          <w:color w:val="auto"/>
        </w:rPr>
        <w:t>, has been a director of the Company since December 6, 2017. From April 2006 through October 2017, Mr. Laxminarain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7"/>
          <w:szCs w:val="17"/>
          <w:i w:val="1"/>
          <w:iCs w:val="1"/>
          <w:color w:val="auto"/>
        </w:rPr>
        <w:t xml:space="preserve">Aileen Stockburger </w:t>
      </w:r>
      <w:r>
        <w:rPr>
          <w:rFonts w:ascii="Arial" w:cs="Arial" w:eastAsia="Arial" w:hAnsi="Arial"/>
          <w:sz w:val="17"/>
          <w:szCs w:val="17"/>
          <w:color w:val="auto"/>
        </w:rPr>
        <w:t>was appointed by the Board on March 26, 2020 to fill a vacancy on the Board and to serve as a Class II director of the Company,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She also serve on the Audit Committee and the People, Culture and Remuneration Committee of the Board of Directors of Next Science Limited.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Tal Wenderow </w:t>
      </w:r>
      <w:r>
        <w:rPr>
          <w:rFonts w:ascii="Arial" w:cs="Arial" w:eastAsia="Arial" w:hAnsi="Arial"/>
          <w:sz w:val="16"/>
          <w:szCs w:val="16"/>
          <w:color w:val="auto"/>
        </w:rPr>
        <w:t>was appointed by the Board on July 29, 2020 to fill a vacancy on the Board and to serve as a Class I director of the Company, with a term</w:t>
      </w:r>
      <w:r>
        <w:rPr>
          <w:rFonts w:ascii="Arial" w:cs="Arial" w:eastAsia="Arial" w:hAnsi="Arial"/>
          <w:sz w:val="16"/>
          <w:szCs w:val="16"/>
          <w:i w:val="1"/>
          <w:iCs w:val="1"/>
          <w:color w:val="auto"/>
        </w:rPr>
        <w:t xml:space="preserve"> </w:t>
      </w:r>
      <w:r>
        <w:rPr>
          <w:rFonts w:ascii="Arial" w:cs="Arial" w:eastAsia="Arial" w:hAnsi="Arial"/>
          <w:sz w:val="16"/>
          <w:szCs w:val="16"/>
          <w:color w:val="auto"/>
        </w:rPr>
        <w:t>commencing on August 1, 2020. Since September 2021, Mr. Wenderow serves as the Venture Partner at Genesis MedTech, a global medical device company. Previously, from February 2019, Mr. Wenderow served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are the name, age and other information for our executive officers, as of March 29, 2022.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60" w:type="dxa"/>
            <w:vAlign w:val="bottom"/>
            <w:gridSpan w:val="2"/>
          </w:tcPr>
          <w:p>
            <w:pPr>
              <w:ind w:left="1200"/>
              <w:spacing w:after="0"/>
              <w:rPr>
                <w:sz w:val="20"/>
                <w:szCs w:val="20"/>
                <w:color w:val="auto"/>
              </w:rPr>
            </w:pPr>
            <w:r>
              <w:rPr>
                <w:rFonts w:ascii="Arial" w:cs="Arial" w:eastAsia="Arial" w:hAnsi="Arial"/>
                <w:sz w:val="18"/>
                <w:szCs w:val="18"/>
                <w:b w:val="1"/>
                <w:bCs w:val="1"/>
                <w:color w:val="auto"/>
              </w:rPr>
              <w:t>Name</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7420" w:type="dxa"/>
            <w:vAlign w:val="bottom"/>
          </w:tcPr>
          <w:p>
            <w:pPr>
              <w:ind w:left="34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8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Harel Gadot</w:t>
            </w:r>
          </w:p>
        </w:tc>
        <w:tc>
          <w:tcPr>
            <w:tcW w:w="240" w:type="dxa"/>
            <w:vAlign w:val="bottom"/>
          </w:tcPr>
          <w:p>
            <w:pPr>
              <w:spacing w:after="0"/>
              <w:rPr>
                <w:sz w:val="17"/>
                <w:szCs w:val="17"/>
                <w:color w:val="auto"/>
              </w:rPr>
            </w:pPr>
          </w:p>
        </w:tc>
        <w:tc>
          <w:tcPr>
            <w:tcW w:w="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00" w:type="dxa"/>
            <w:vAlign w:val="bottom"/>
          </w:tcPr>
          <w:p>
            <w:pPr>
              <w:spacing w:after="0"/>
              <w:rPr>
                <w:sz w:val="17"/>
                <w:szCs w:val="17"/>
                <w:color w:val="auto"/>
              </w:rPr>
            </w:pPr>
          </w:p>
        </w:tc>
        <w:tc>
          <w:tcPr>
            <w:tcW w:w="7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Simon Sharon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Chief Technology Officer and General Manager, Microbot Israel</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Eyal Morag</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Chief Medical Officer</w:t>
            </w: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David Ben Naim</w:t>
      </w:r>
      <w:r>
        <w:rPr>
          <w:rFonts w:ascii="Arial" w:cs="Arial" w:eastAsia="Arial" w:hAnsi="Arial"/>
          <w:sz w:val="17"/>
          <w:szCs w:val="17"/>
          <w:color w:val="auto"/>
        </w:rPr>
        <w:t>, became the Company’s part-time Chief Financial Officer following the consummation of the Merger. Mr. Ben Naim is the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manager 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Todos Medical Ltd. (OTC:TOMDF), an Israeli cancer in-vitro-diagnostic company engaging in the development of a series of blood tests for the early detection of a variety of cancers and 3DM Digital Manufacturing Ltd. (TASE:3DM), an Israeli company which operates in the field of plastic polymers industrial 3D printing.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jc w:val="both"/>
        <w:spacing w:after="0" w:line="269" w:lineRule="auto"/>
        <w:rPr>
          <w:sz w:val="20"/>
          <w:szCs w:val="20"/>
          <w:color w:val="auto"/>
        </w:rPr>
      </w:pPr>
      <w:r>
        <w:rPr>
          <w:rFonts w:ascii="Arial" w:cs="Arial" w:eastAsia="Arial" w:hAnsi="Arial"/>
          <w:sz w:val="17"/>
          <w:szCs w:val="17"/>
          <w:i w:val="1"/>
          <w:iCs w:val="1"/>
          <w:color w:val="auto"/>
        </w:rPr>
        <w:t>Simon Sharon</w:t>
      </w:r>
      <w:r>
        <w:rPr>
          <w:rFonts w:ascii="Arial" w:cs="Arial" w:eastAsia="Arial" w:hAnsi="Arial"/>
          <w:sz w:val="17"/>
          <w:szCs w:val="17"/>
          <w:color w:val="auto"/>
        </w:rPr>
        <w:t>, has served as the Company’s Chief Technology Officer since April 2018 and as the General Manager of Microbot Israel since April 2021.</w:t>
      </w:r>
      <w:r>
        <w:rPr>
          <w:rFonts w:ascii="Arial" w:cs="Arial" w:eastAsia="Arial" w:hAnsi="Arial"/>
          <w:sz w:val="17"/>
          <w:szCs w:val="17"/>
          <w:i w:val="1"/>
          <w:iCs w:val="1"/>
          <w:color w:val="auto"/>
        </w:rPr>
        <w:t xml:space="preserve"> </w:t>
      </w:r>
      <w:r>
        <w:rPr>
          <w:rFonts w:ascii="Arial" w:cs="Arial" w:eastAsia="Arial" w:hAnsi="Arial"/>
          <w:sz w:val="17"/>
          <w:szCs w:val="17"/>
          <w:color w:val="auto"/>
        </w:rPr>
        <w:t>From August 2016 to March 2018, Mr. Sharon served as the Chief Technology Officer at MEDX Xelerator, an Israel-based medical device and digital health incubator. He is also a director of XACT Robotics Ltd., a private Israeli company developing a novel platform robotic technology for needle steering in minimally invasive interventional procedures. Mr. Harel Gadot, the Company’s President, CEO and Chairman, is the Chairman of each of XACT and MEDX Xelerator. Prior to this, Mr. Sharon held the position of Chief Operating Officer at Microbot Israel before it became a publicly traded company from February 2013 to August 2016. Prior to joining Microbot Israel, Mr. Sharon was the Vice President of Research &amp; Development with IceCure Medical, a TASE traded company developing a portfolio of cryogenic ablation systems. Prior to IceCure, he held roles of increasing responsibility at Rockwell Automation–Anorad Israel Ltd., a leading linear motor-based, precision positioning equipment manufacturer. Prior to Rockwell, Mr. Sharon was the Research &amp; Development Manager at Disc-O-Tech Medical Technologies Ltd., a private orthopedic venture that was acquired by Kyphon (currently part of Medtronic), and before this was the Research &amp; Development Manager at CI Systems, a worldwide supplier of a wide range of electro-optical test and measurement equipment.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Eyal Morag</w:t>
      </w:r>
      <w:r>
        <w:rPr>
          <w:rFonts w:ascii="Arial" w:cs="Arial" w:eastAsia="Arial" w:hAnsi="Arial"/>
          <w:sz w:val="16"/>
          <w:szCs w:val="16"/>
          <w:color w:val="auto"/>
        </w:rPr>
        <w:t>, has served as the Company’s Chief Medical Officer (“CMO”) since May 2020. As CMO, Dr. Morag leads the development and execution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from March 2017 through May 2020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 of which Mr. Gadot is Chairman.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five meetings during the fiscal year ended December 31, 2021 and acted by unanimous written consent one time.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four meetings during the fiscal year ended December 31, 2021 and acted by unanimous written consent two times.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one time during the fiscal year ended December 31, 2021.</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Oversight and Qualifications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Ethics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Section 16(a) Reports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2021, with the exception of one untimely Form 4 (detailing a single transaction) for each of Messrs. Bornstein, Burell, Madden, Laxminarain and Wenderow and Ms. Stockburger, all Section 16(a) filing requirements applicable to our officers, directors and greater than 10% beneficial owners have been met.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information regarding each element of compensation that was paid or awarded to the named executive officers of the Company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Non-Equity</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Stock</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Option</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Incentive Plan</w:t>
            </w:r>
          </w:p>
        </w:tc>
        <w:tc>
          <w:tcPr>
            <w:tcW w:w="14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Salary</w:t>
            </w: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Bonus</w:t>
            </w:r>
          </w:p>
        </w:tc>
        <w:tc>
          <w:tcPr>
            <w:tcW w:w="9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Awards</w:t>
            </w:r>
          </w:p>
        </w:tc>
        <w:tc>
          <w:tcPr>
            <w:tcW w:w="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7"/>
              </w:rPr>
              <w:t>Compensation</w:t>
            </w:r>
          </w:p>
        </w:tc>
        <w:tc>
          <w:tcPr>
            <w:tcW w:w="16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Compensation</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2360" w:type="dxa"/>
            <w:vAlign w:val="bottom"/>
          </w:tcPr>
          <w:p>
            <w:pPr>
              <w:ind w:left="80"/>
              <w:spacing w:after="0"/>
              <w:rPr>
                <w:sz w:val="20"/>
                <w:szCs w:val="20"/>
                <w:color w:val="auto"/>
              </w:rPr>
            </w:pPr>
            <w:r>
              <w:rPr>
                <w:rFonts w:ascii="Arial" w:cs="Arial" w:eastAsia="Arial" w:hAnsi="Arial"/>
                <w:sz w:val="18"/>
                <w:szCs w:val="18"/>
                <w:b w:val="1"/>
                <w:bCs w:val="1"/>
                <w:color w:val="auto"/>
                <w:w w:val="92"/>
              </w:rPr>
              <w:t>Name and Principal Position</w:t>
            </w:r>
          </w:p>
        </w:tc>
        <w:tc>
          <w:tcPr>
            <w:tcW w:w="18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 (1)</w:t>
            </w:r>
          </w:p>
        </w:tc>
        <w:tc>
          <w:tcPr>
            <w:tcW w:w="140" w:type="dxa"/>
            <w:vAlign w:val="bottom"/>
          </w:tcPr>
          <w:p>
            <w:pPr>
              <w:spacing w:after="0"/>
              <w:rPr>
                <w:sz w:val="20"/>
                <w:szCs w:val="20"/>
                <w:color w:val="auto"/>
              </w:rPr>
            </w:pPr>
          </w:p>
        </w:tc>
        <w:tc>
          <w:tcPr>
            <w:tcW w:w="12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2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w:t>
            </w:r>
          </w:p>
        </w:tc>
        <w:tc>
          <w:tcPr>
            <w:tcW w:w="38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2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Harel Gadot</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300,000(2)</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959,618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1,555,800</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CEO, President &amp; Chairman</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450,000</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270,000(4)</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1,622,446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13,800(3)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2,356,246</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Simon Sharon(4)</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365,472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110,293</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26,106(5)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560,013</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CTO and General Manager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311,216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56,250</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53,069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23,210(5)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443,745</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Eyal Morag(6)</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453,000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91,000</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46,000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23,059(5)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613,059</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243,000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21,622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7,079(5)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271,701</w:t>
            </w:r>
          </w:p>
        </w:tc>
      </w:tr>
      <w:tr>
        <w:trPr>
          <w:trHeight w:val="216"/>
        </w:trPr>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David Ben Naim</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81,754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81,754</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2020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82,242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20,308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jc w:val="both"/>
        <w:ind w:left="340" w:hanging="332"/>
        <w:spacing w:after="0" w:line="28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2021.</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Mr. Gadot’s bonus of $300,000 for the 2021 fiscal year, which amount was actually paid in 2022.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Other Compensation includes Mr. Gadot’s monthly automobile allowance and tax gross-up.</w:t>
      </w:r>
    </w:p>
    <w:p>
      <w:pPr>
        <w:spacing w:after="0" w:line="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Mr. Gadot’s bonus of $270,000 for the 2020 fiscal year, which amount was actually paid in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Sharon commenced employment in April 2018, and was promoted to General Manager of Microbot Israel in April 2021.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Compensation includes the executive’s yearly automobile allowance.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Dr. Morag commenced employment on May 1, 2020. Dr. Morag entered into an Employment Agreement with the Company as of February 18, 2020.</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outstanding equity awards held by each of the named executive officers as of the end of the fiscal year ended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w w:val="98"/>
              </w:rPr>
              <w:t>Option Awards</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Stock Awards</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7"/>
                <w:szCs w:val="17"/>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Incentive</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Incentive</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Plan</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Plan</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Awards:</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Awards:</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Market</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Number</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or Payout</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of</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Unearned</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Unearned</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Market</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Units or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Units or</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Shares</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Units of</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 Units of</w:t>
            </w: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Rights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Rights</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Unexercised</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Option</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Stock That</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Stock That</w:t>
            </w: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That</w:t>
            </w: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That</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4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Expiration</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Have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Have</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Have Not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Have Not</w:t>
            </w:r>
          </w:p>
        </w:tc>
      </w:tr>
      <w:tr>
        <w:trPr>
          <w:trHeight w:val="241"/>
        </w:trPr>
        <w:tc>
          <w:tcPr>
            <w:tcW w:w="2160" w:type="dxa"/>
            <w:vAlign w:val="bottom"/>
            <w:gridSpan w:val="2"/>
          </w:tcPr>
          <w:p>
            <w:pPr>
              <w:ind w:left="800"/>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Exercisable</w:t>
            </w:r>
          </w:p>
        </w:tc>
        <w:tc>
          <w:tcPr>
            <w:tcW w:w="14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Unexercisable</w:t>
            </w:r>
          </w:p>
        </w:tc>
        <w:tc>
          <w:tcPr>
            <w:tcW w:w="1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Not Vested</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Not Vested</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Vested</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Vested</w:t>
            </w:r>
          </w:p>
        </w:tc>
      </w:tr>
      <w:tr>
        <w:trPr>
          <w:trHeight w:val="216"/>
        </w:trPr>
        <w:tc>
          <w:tcPr>
            <w:tcW w:w="2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Harel Gadot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77,846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1/01/2025</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114,497</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9/14/2027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166,666</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2/25/2030</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190,000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8.48</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02/01/2031</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Simon Sharon</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08/13/2028</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10,981</w:t>
            </w: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08/12/2029</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0"/>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Eyal Morag</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13,750</w:t>
            </w:r>
          </w:p>
        </w:tc>
        <w:tc>
          <w:tcPr>
            <w:tcW w:w="1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11,250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7/14/2030</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David Ben Naim</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15.30</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12/28/2027</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ectPr>
          <w:pgSz w:w="11900" w:h="16838" w:orient="portrait"/>
          <w:cols w:equalWidth="0" w:num="1">
            <w:col w:w="11240"/>
          </w:cols>
          <w:pgMar w:left="320" w:top="665" w:right="339" w:bottom="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The Gadot Agreement was amended most recently on January 26, 2022. Mr. Gadot’s annual base salary for 2021 was $500,000, and has been increased to $515,000 for 2022. The salary is reviewed on an annual basis by the Compensation Committee of the Company to determine potential increases taking into account such performance metrics and criteria as established by Mr. Gadot and the Company.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as of January 1, 2020, Mr. Gadot shall also be entitled to receive a target annual cash bonus of up to a maximum amount of 60% of base salary, which maximum amount was paid for the 2021 fiscal year.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Mr. Gadot’s employment is terminated by the Company for cause, Mr. Gadot would be entitled to receive any compensation then due and payable incurred up to the date of termination.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Ben Naim Services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Company shall pay the Service Provider a fixed fee of NIS 22,000, or the equivalent of approximately $7,097 per month based on an exchange rate of $.32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311" w:lineRule="auto"/>
        <w:rPr>
          <w:sz w:val="20"/>
          <w:szCs w:val="20"/>
          <w:color w:val="auto"/>
        </w:rPr>
      </w:pPr>
      <w:r>
        <w:rPr>
          <w:rFonts w:ascii="Arial" w:cs="Arial" w:eastAsia="Arial" w:hAnsi="Arial"/>
          <w:sz w:val="16"/>
          <w:szCs w:val="16"/>
          <w:color w:val="auto"/>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Simon Sharon Employment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entered into an employment agreement, dated as of March 31, 2018 and amended pursuant to a First Amendment to Employment Agreement dated as of April 19, 2021 (as so amended, the “Sharon Agreement”), with Mr. Sharon, to serve as the Company’s Chief Technology Officer and the General Manager of Microbot Israel, on an indefinite basis subject to the termination provisions described in the Sharon Agreement.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terms of the Sharon Agreement, Mr. Sharon will receive in 2022 a combined base salary and overtime payment of NIS72,000 per month. Mr. Sharon is also entitled to receive an annual cash bonus of up to 35% of the annual combined salary and overtime payment, based on certain performance factors established and assessed by the Compensation Committee of the Board of Directors of the Company.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Company or Mr. Sharon may terminate the Sharon Agreement without cause (as defined in the Sharon Agreement) by providing the other party with ninety days prior written notice.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Eyal Morag Employment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entered into an employment agreement (the “Morag Agreement”), as of February 18, 2020, with Dr. Morag, to serve as the Company’s Chief Medical Officer, on an indefinite basis subject to the termination provisions described in the Morag Agreement. The salary is reviewed on an annual basis by the Compensation Committee of the Company to determine potential increases taking into account such performance metrics and criteria as established by the Company. Pursuant to the terms of the Morag Agreement, Dr. Morag shall receive a base salary in 2022 of NIS64,000 per month plus Global Overtime (as defined in the Morag Agreement) of NIS16,000 per month.</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Dr. Morag shall also be entitled to receive a target annual cash bonus, based on certain milestones, of up to a maximum amount of 30% of his annual salary.</w:t>
      </w:r>
    </w:p>
    <w:p>
      <w:pPr>
        <w:spacing w:after="0" w:line="24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Morag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right="20"/>
        <w:spacing w:after="0" w:line="263" w:lineRule="auto"/>
        <w:rPr>
          <w:sz w:val="20"/>
          <w:szCs w:val="20"/>
          <w:color w:val="auto"/>
        </w:rPr>
      </w:pPr>
      <w:r>
        <w:rPr>
          <w:rFonts w:ascii="Arial" w:cs="Arial" w:eastAsia="Arial" w:hAnsi="Arial"/>
          <w:sz w:val="18"/>
          <w:szCs w:val="18"/>
          <w:color w:val="auto"/>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Either the Company or Dr. Morag may terminate the Morag Agreement at its discretion at any time by providing the other party with six months prior written notice of termination (the “Advance Notice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terminate the Morag Agreement “For Cause” (as defined in the Morag Agreement) at any time by written notice without the Advance Notice Period.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Limits on Liability and Indemnification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provide directors and officers insurance for our current directors and officers.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 computed on a similar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The following table summarizes cash and equity-based compensation information for our outside directors, for the year ended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Fees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Nonqualified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earned or</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Non-Equity</w:t>
            </w: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Deferred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paid in</w:t>
            </w:r>
          </w:p>
        </w:tc>
        <w:tc>
          <w:tcPr>
            <w:tcW w:w="1180" w:type="dxa"/>
            <w:vAlign w:val="bottom"/>
            <w:gridSpan w:val="2"/>
          </w:tcPr>
          <w:p>
            <w:pPr>
              <w:ind w:left="22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Option</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Incentive Plan</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6"/>
              </w:rPr>
              <w:t>Compensation</w:t>
            </w: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300" w:type="dxa"/>
            <w:vAlign w:val="bottom"/>
          </w:tcPr>
          <w:p>
            <w:pPr>
              <w:ind w:left="940"/>
              <w:spacing w:after="0"/>
              <w:rPr>
                <w:sz w:val="20"/>
                <w:szCs w:val="20"/>
                <w:color w:val="auto"/>
              </w:rPr>
            </w:pPr>
            <w:r>
              <w:rPr>
                <w:rFonts w:ascii="Arial" w:cs="Arial" w:eastAsia="Arial" w:hAnsi="Arial"/>
                <w:sz w:val="18"/>
                <w:szCs w:val="18"/>
                <w:b w:val="1"/>
                <w:bCs w:val="1"/>
                <w:color w:val="auto"/>
              </w:rPr>
              <w:t>Name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cash</w:t>
            </w: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Awards</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Awards (1)</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9"/>
              </w:rPr>
              <w:t>Compensation</w:t>
            </w:r>
          </w:p>
        </w:tc>
        <w:tc>
          <w:tcPr>
            <w:tcW w:w="12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c>
          <w:tcPr>
            <w:tcW w:w="15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9"/>
              </w:rPr>
              <w:t>Compensation</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r>
      <w:tr>
        <w:trPr>
          <w:trHeight w:val="216"/>
        </w:trPr>
        <w:tc>
          <w:tcPr>
            <w:tcW w:w="2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52,500</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65,267</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Scott Burell</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12,767</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72,767</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Martin Madden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12,767</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72,767</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Prattipati Laxminarain</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45,000</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14,233</w:t>
            </w: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59,233</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Aileen Stockburger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42,500</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18,788</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61,288</w:t>
            </w: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Tal Wenderow</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40,000</w:t>
            </w: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19,412</w:t>
            </w:r>
          </w:p>
        </w:tc>
        <w:tc>
          <w:tcPr>
            <w:tcW w:w="1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59,412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59"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shown do not reflect cash compensation actually received by the director. Instead, the amounts shown are the non-cash aggregate grant date fair values of stock option awards made during the period presented as determined pursuant to U.S. GAAP. The assumptions used to calculate the fair value of stock option awards are described in Note 9 to the Consolidated Financial Statements of the Company included in this Annual Report on Form 10-K for the fiscal year ended December 31,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Mr. Gadot received compensation for his services to the Company as set forth under the summary compensation table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table shows the number of shares of our common stock beneficially owned, as of March 29, 2022, by (i) each of our directors and director nominees,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29, 2022. We calculated percentage ownership in accordance with the rules of the SEC. The percentage of common stock beneficially owned is based on 7,108,133 shares outstanding as of March 29, 2022. In addition, shares issuable pursuant to options or other convertible securities that may be acquired within 60 days of March 29, 2022 are deemed to be issued and outstanding and have been treated as outstanding in calculating and determining the beneficial ownership and percentage ownership of those persons possessing those securities, but not for any other persons.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Percentage of Common</w:t>
            </w:r>
          </w:p>
        </w:tc>
      </w:tr>
      <w:tr>
        <w:trPr>
          <w:trHeight w:val="216"/>
        </w:trPr>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ind w:left="260"/>
              <w:spacing w:after="0"/>
              <w:rPr>
                <w:sz w:val="20"/>
                <w:szCs w:val="20"/>
                <w:color w:val="auto"/>
              </w:rPr>
            </w:pPr>
            <w:r>
              <w:rPr>
                <w:rFonts w:ascii="Arial" w:cs="Arial" w:eastAsia="Arial" w:hAnsi="Arial"/>
                <w:sz w:val="18"/>
                <w:szCs w:val="18"/>
                <w:b w:val="1"/>
                <w:bCs w:val="1"/>
                <w:color w:val="auto"/>
              </w:rPr>
              <w:t>Number of Shares</w:t>
            </w:r>
          </w:p>
        </w:tc>
        <w:tc>
          <w:tcPr>
            <w:tcW w:w="2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Stock Beneficially</w:t>
            </w:r>
          </w:p>
        </w:tc>
      </w:tr>
      <w:tr>
        <w:trPr>
          <w:trHeight w:val="241"/>
        </w:trPr>
        <w:tc>
          <w:tcPr>
            <w:tcW w:w="6740" w:type="dxa"/>
            <w:vAlign w:val="bottom"/>
            <w:tcBorders>
              <w:bottom w:val="single" w:sz="8" w:color="auto"/>
            </w:tcBorders>
          </w:tcPr>
          <w:p>
            <w:pPr>
              <w:ind w:left="2700"/>
              <w:spacing w:after="0"/>
              <w:rPr>
                <w:sz w:val="20"/>
                <w:szCs w:val="20"/>
                <w:color w:val="auto"/>
              </w:rPr>
            </w:pPr>
            <w:r>
              <w:rPr>
                <w:rFonts w:ascii="Arial" w:cs="Arial" w:eastAsia="Arial" w:hAnsi="Arial"/>
                <w:sz w:val="18"/>
                <w:szCs w:val="18"/>
                <w:b w:val="1"/>
                <w:bCs w:val="1"/>
                <w:color w:val="auto"/>
              </w:rPr>
              <w:t>Beneficial Owner</w:t>
            </w:r>
          </w:p>
        </w:tc>
        <w:tc>
          <w:tcPr>
            <w:tcW w:w="2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Beneficially Owned</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EEFF"/>
            </w:tcBorders>
          </w:tcPr>
          <w:p>
            <w:pPr>
              <w:spacing w:after="0"/>
              <w:rPr>
                <w:sz w:val="20"/>
                <w:szCs w:val="20"/>
                <w:color w:val="auto"/>
              </w:rPr>
            </w:pPr>
          </w:p>
        </w:tc>
      </w:tr>
      <w:tr>
        <w:trPr>
          <w:trHeight w:val="256"/>
        </w:trPr>
        <w:tc>
          <w:tcPr>
            <w:tcW w:w="6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Chasing Value Asset Management Inc.</w:t>
            </w:r>
            <w:r>
              <w:rPr>
                <w:rFonts w:ascii="Arial" w:cs="Arial" w:eastAsia="Arial" w:hAnsi="Arial"/>
                <w:sz w:val="29"/>
                <w:szCs w:val="29"/>
                <w:color w:val="auto"/>
                <w:vertAlign w:val="superscript"/>
              </w:rPr>
              <w:t>(1)</w:t>
            </w:r>
          </w:p>
        </w:tc>
        <w:tc>
          <w:tcPr>
            <w:tcW w:w="20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610,657</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8.59%</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Harel Gadot</w:t>
            </w:r>
            <w:r>
              <w:rPr>
                <w:rFonts w:ascii="Arial" w:cs="Arial" w:eastAsia="Arial" w:hAnsi="Arial"/>
                <w:sz w:val="29"/>
                <w:szCs w:val="29"/>
                <w:color w:val="auto"/>
                <w:vertAlign w:val="superscript"/>
              </w:rPr>
              <w:t>(2)</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614,606</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Yoseph Bornstein</w:t>
            </w:r>
            <w:r>
              <w:rPr>
                <w:rFonts w:ascii="Arial" w:cs="Arial" w:eastAsia="Arial" w:hAnsi="Arial"/>
                <w:sz w:val="29"/>
                <w:szCs w:val="29"/>
                <w:color w:val="auto"/>
                <w:vertAlign w:val="superscript"/>
              </w:rPr>
              <w:t>(3)</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255,169</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Scott Burell</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13,141</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Martin Madden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13,141</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David Ben Naim</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Prattipati Laxminarain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13,141</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Aileen Stockburger</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6,963</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Simon Sharon</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23,107</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6940" w:type="dxa"/>
            <w:vAlign w:val="bottom"/>
            <w:gridSpan w:val="2"/>
          </w:tcPr>
          <w:p>
            <w:pPr>
              <w:spacing w:after="0" w:line="256" w:lineRule="exact"/>
              <w:rPr>
                <w:sz w:val="20"/>
                <w:szCs w:val="20"/>
                <w:color w:val="auto"/>
              </w:rPr>
            </w:pPr>
            <w:r>
              <w:rPr>
                <w:rFonts w:ascii="Arial" w:cs="Arial" w:eastAsia="Arial" w:hAnsi="Arial"/>
                <w:sz w:val="18"/>
                <w:szCs w:val="18"/>
                <w:color w:val="auto"/>
              </w:rPr>
              <w:t>Eyal Morag</w:t>
            </w:r>
            <w:r>
              <w:rPr>
                <w:rFonts w:ascii="Arial" w:cs="Arial" w:eastAsia="Arial" w:hAnsi="Arial"/>
                <w:sz w:val="29"/>
                <w:szCs w:val="29"/>
                <w:color w:val="auto"/>
                <w:vertAlign w:val="superscript"/>
              </w:rPr>
              <w:t>(4)</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15,625</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6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Tal Wenderow</w:t>
            </w:r>
            <w:r>
              <w:rPr>
                <w:rFonts w:ascii="Arial" w:cs="Arial" w:eastAsia="Arial" w:hAnsi="Arial"/>
                <w:sz w:val="29"/>
                <w:szCs w:val="29"/>
                <w:color w:val="auto"/>
                <w:vertAlign w:val="superscript"/>
              </w:rPr>
              <w:t>(4)</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6,455</w:t>
            </w:r>
          </w:p>
        </w:tc>
        <w:tc>
          <w:tcPr>
            <w:tcW w:w="2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390"/>
        </w:trPr>
        <w:tc>
          <w:tcPr>
            <w:tcW w:w="694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(10 persons)</w:t>
            </w:r>
            <w:r>
              <w:rPr>
                <w:rFonts w:ascii="Arial" w:cs="Arial" w:eastAsia="Arial" w:hAnsi="Arial"/>
                <w:sz w:val="29"/>
                <w:szCs w:val="29"/>
                <w:color w:val="auto"/>
                <w:vertAlign w:val="superscript"/>
              </w:rPr>
              <w:t>(5)</w:t>
            </w:r>
          </w:p>
        </w:tc>
        <w:tc>
          <w:tcPr>
            <w:tcW w:w="2240" w:type="dxa"/>
            <w:vAlign w:val="bottom"/>
            <w:gridSpan w:val="2"/>
          </w:tcPr>
          <w:p>
            <w:pPr>
              <w:jc w:val="right"/>
              <w:ind w:right="320"/>
              <w:spacing w:after="0"/>
              <w:rPr>
                <w:sz w:val="20"/>
                <w:szCs w:val="20"/>
                <w:color w:val="auto"/>
              </w:rPr>
            </w:pPr>
            <w:r>
              <w:rPr>
                <w:rFonts w:ascii="Arial" w:cs="Arial" w:eastAsia="Arial" w:hAnsi="Arial"/>
                <w:sz w:val="18"/>
                <w:szCs w:val="18"/>
                <w:color w:val="auto"/>
              </w:rPr>
              <w:t>966,348</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jc w:val="both"/>
        <w:ind w:left="340" w:hanging="332"/>
        <w:spacing w:after="0" w:line="255"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a Schedule 13G filed by the reporting person on January 20, 2021, the reporting person has sole voting power over 207,000 shares and sole dispositive power over 610,657 shares. Sheldon D. Liber is the Chief Executive Officer of the reporting person. The address of the principal business office of the reporting person is 2444 Wilshire Boulevard, Suite 300, Santa Monica, California 90403.</w:t>
      </w:r>
    </w:p>
    <w:p>
      <w:pPr>
        <w:spacing w:after="0" w:line="2"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(i) 136,847 shares of our common stock owned by MEDX Ventures Group LLC, (ii) 77,846 shares of our common stock issuable upon the exercise of options granted to MEDX Ventures Group LLC, and (iii) 399,913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jc w:val="both"/>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(i) 242,028 shares of our common stock owned by LSA - Life Science Accelerator Ltd. and (ii) 13,141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options to acquire shares of our common stock.</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shares of our common stock issuable upon the exercise of options as set forth in footnotes (2), (3) and (4).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related party transactions or any other transactions or relationships required to be disclosed pursuant to Item 404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NASDAQ’s listing standards and the Company’s Corporate Governance Guidelines require that the Company’s Board of Directors consist of a majority of independent directors, as determined under the applicable NASDAQ listing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independent members of our Board are Messrs. Bornstein, Burell, Madden, Laxminarain and Wenderow, and Ms. Stockburger.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and Tax Fees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upon the recommendation of the Audit Committee, has selected the independent accounting firm of Brightman Almagor Zohar &amp; Co., a Member of Deloitte Touche Tohmatsu Limited, to audit the accounts of the Company for the year ending December 31,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2021.</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Audit Committee received the following information concerning the fees of the independent accountants for the years ended December 31, 2021 and 2020, has considered whether the provision of these services is compatible with independence of the independent accountants, and concluded that it is:</w:t>
      </w:r>
    </w:p>
    <w:p>
      <w:pPr>
        <w:spacing w:after="0" w:line="120"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60" w:type="dxa"/>
            <w:vAlign w:val="bottom"/>
            <w:tcBorders>
              <w:bottom w:val="single" w:sz="8" w:color="CCEEFF"/>
            </w:tcBorders>
          </w:tcPr>
          <w:p>
            <w:pPr>
              <w:spacing w:after="0"/>
              <w:rPr>
                <w:sz w:val="21"/>
                <w:szCs w:val="21"/>
                <w:color w:val="auto"/>
              </w:rPr>
            </w:pPr>
          </w:p>
        </w:tc>
        <w:tc>
          <w:tcPr>
            <w:tcW w:w="282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8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Tax Fees</w:t>
            </w:r>
          </w:p>
        </w:tc>
        <w:tc>
          <w:tcPr>
            <w:tcW w:w="2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10,250</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9,500</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 (2)</w:t>
            </w:r>
          </w:p>
        </w:tc>
        <w:tc>
          <w:tcPr>
            <w:tcW w:w="2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12,500</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right="2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Audit fees represents fees for the audit of our annual consolidated financial statements and reviews of the interim consolidated financial statements, and review of audit-related SEC filings.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fees related to issuing a comfort letter and Auditor consents.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Audit and tax fees include administrative overhead charges and reimbursement for out-of-pocket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Pre-Approval Policies and Procedures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w:t>
      </w:r>
    </w:p>
    <w:p>
      <w:pPr>
        <w:spacing w:after="0" w:line="15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and Financial Statement Schedules</w:t>
      </w:r>
    </w:p>
    <w:p>
      <w:pPr>
        <w:spacing w:after="0" w:line="229"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The financial statements are filed as part of this Annual Report on Form 10-K commencing on page F-1 and are hereby incorporated by reference.</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financial statement schedules are omitted as they are either not applicable or the information required is presented in the financial statements and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set forth below are filed herewith or incorporated by reference to the location indicated.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16"/>
        </w:trPr>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gridSpan w:val="13"/>
          </w:tcPr>
          <w:p>
            <w:pPr>
              <w:ind w:left="160"/>
              <w:spacing w:after="0"/>
              <w:rPr>
                <w:sz w:val="20"/>
                <w:szCs w:val="20"/>
                <w:color w:val="auto"/>
              </w:rPr>
            </w:pPr>
            <w:r>
              <w:rPr>
                <w:rFonts w:ascii="Arial" w:cs="Arial" w:eastAsia="Arial" w:hAnsi="Arial"/>
                <w:sz w:val="18"/>
                <w:szCs w:val="18"/>
                <w:b w:val="1"/>
                <w:bCs w:val="1"/>
                <w:color w:val="auto"/>
              </w:rPr>
              <w:t>Description of Document</w:t>
            </w:r>
          </w:p>
        </w:tc>
      </w:tr>
      <w:tr>
        <w:trPr>
          <w:trHeight w:val="175"/>
        </w:trPr>
        <w:tc>
          <w:tcPr>
            <w:tcW w:w="980" w:type="dxa"/>
            <w:vAlign w:val="bottom"/>
          </w:tcPr>
          <w:p>
            <w:pPr>
              <w:jc w:val="center"/>
              <w:spacing w:after="0" w:line="17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0120" w:type="dxa"/>
            <w:vAlign w:val="bottom"/>
            <w:tcBorders>
              <w:bottom w:val="single" w:sz="8" w:color="0000EE"/>
            </w:tcBorders>
            <w:gridSpan w:val="24"/>
          </w:tcPr>
          <w:p>
            <w:pPr>
              <w:spacing w:after="0" w:line="176" w:lineRule="exact"/>
              <w:rPr>
                <w:rFonts w:ascii="Arial" w:cs="Arial" w:eastAsia="Arial" w:hAnsi="Arial"/>
                <w:sz w:val="18"/>
                <w:szCs w:val="18"/>
                <w:color w:val="0000EE"/>
                <w:w w:val="94"/>
              </w:rPr>
            </w:pPr>
            <w:hyperlink r:id="rId79">
              <w:r>
                <w:rPr>
                  <w:rFonts w:ascii="Arial" w:cs="Arial" w:eastAsia="Arial" w:hAnsi="Arial"/>
                  <w:sz w:val="18"/>
                  <w:szCs w:val="18"/>
                  <w:color w:val="0000EE"/>
                  <w:w w:val="94"/>
                </w:rPr>
                <w:t>Agreement and Plan of Merger and Reorganization, dated as of August 15, 2016, by and among StemCells, Inc., C&amp;RD Israel Ltd. and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Microbot Medical Ltd. (incorporated by reference to the Company’s Current Report on Form 8-K filed on August 15, 2016).</w:t>
              </w:r>
            </w:hyperlink>
          </w:p>
        </w:tc>
        <w:tc>
          <w:tcPr>
            <w:tcW w:w="1160" w:type="dxa"/>
            <w:vAlign w:val="bottom"/>
            <w:gridSpan w:val="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r:id="rId80">
              <w:r>
                <w:rPr>
                  <w:rFonts w:ascii="Arial" w:cs="Arial" w:eastAsia="Arial" w:hAnsi="Arial"/>
                  <w:sz w:val="18"/>
                  <w:szCs w:val="18"/>
                  <w:color w:val="0000EE"/>
                  <w:w w:val="94"/>
                </w:rPr>
                <w:t>Restated Certificate of Incorporation of the Company (incorporated by reference to the Company’s Annual Report on Form 10-K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fiscal year ended December 31, 2006 and filed on March 15, 2007).</w:t>
              </w:r>
            </w:hyperlink>
          </w:p>
        </w:tc>
        <w:tc>
          <w:tcPr>
            <w:tcW w:w="5260" w:type="dxa"/>
            <w:vAlign w:val="bottom"/>
            <w:gridSpan w:val="1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Certificate of Amendment to the Restated Certificate of Incorporation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Report on Form 8-K filed on November 29, 2016).</w:t>
              </w:r>
            </w:hyperlink>
          </w:p>
        </w:tc>
        <w:tc>
          <w:tcPr>
            <w:tcW w:w="6480" w:type="dxa"/>
            <w:vAlign w:val="bottom"/>
            <w:gridSpan w:val="1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8-K filed on September 4,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Amended and Restated By-Laws of the Company (incorporated by reference to the Company’s Current Report on Form 8-K filed on May 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83">
              <w:r>
                <w:rPr>
                  <w:rFonts w:ascii="Arial" w:cs="Arial" w:eastAsia="Arial" w:hAnsi="Arial"/>
                  <w:sz w:val="18"/>
                  <w:szCs w:val="18"/>
                  <w:color w:val="0000EE"/>
                  <w:w w:val="86"/>
                </w:rPr>
                <w:t>2016).</w:t>
              </w:r>
            </w:hyperlink>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17"/>
                <w:szCs w:val="17"/>
                <w:color w:val="auto"/>
              </w:rPr>
            </w:pPr>
          </w:p>
        </w:tc>
        <w:tc>
          <w:tcPr>
            <w:tcW w:w="94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Certificate of Elimination (incorporated by reference to the Company’s Current Report on Form 8-K filed on December 12, 2018).</w:t>
              </w:r>
            </w:hyperlink>
          </w:p>
        </w:tc>
        <w:tc>
          <w:tcPr>
            <w:tcW w:w="740" w:type="dxa"/>
            <w:vAlign w:val="bottom"/>
            <w:gridSpan w:val="5"/>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Certificate of Amendment to the Restated Certificate of Incorporation (incorporated by reference to the Company’s Current Report on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8-K filed on September 11, 2019).</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Amendment to Section 5 of the Amended and Restated By-Laws of the Company (incorporated by reference to the Company’s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86">
              <w:r>
                <w:rPr>
                  <w:rFonts w:ascii="Arial" w:cs="Arial" w:eastAsia="Arial" w:hAnsi="Arial"/>
                  <w:sz w:val="18"/>
                  <w:szCs w:val="18"/>
                  <w:color w:val="0000EE"/>
                  <w:w w:val="92"/>
                </w:rPr>
                <w:t>Report on Form 8-K filed on May 3, 2021).</w:t>
              </w:r>
            </w:hyperlink>
          </w:p>
        </w:tc>
        <w:tc>
          <w:tcPr>
            <w:tcW w:w="7000" w:type="dxa"/>
            <w:vAlign w:val="bottom"/>
            <w:gridSpan w:val="16"/>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Form of Series A Warrant (incorporated by reference to the Registrant’s Current Report on Form 8-K filed on December 16, 2016).</w:t>
              </w:r>
            </w:hyperlink>
          </w:p>
        </w:tc>
        <w:tc>
          <w:tcPr>
            <w:tcW w:w="68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w w:val="98"/>
              </w:rPr>
            </w:pPr>
            <w:hyperlink r:id="rId88">
              <w:r>
                <w:rPr>
                  <w:rFonts w:ascii="Arial" w:cs="Arial" w:eastAsia="Arial" w:hAnsi="Arial"/>
                  <w:sz w:val="18"/>
                  <w:szCs w:val="18"/>
                  <w:color w:val="0000EE"/>
                  <w:w w:val="98"/>
                </w:rPr>
                <w:t>Form of Series B Warrant (incorporated by reference to the Company’s Current Report on Form 8-K filed on December 16, 2016).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7"/>
                <w:szCs w:val="17"/>
                <w:color w:val="auto"/>
              </w:rPr>
            </w:pPr>
          </w:p>
        </w:tc>
        <w:tc>
          <w:tcPr>
            <w:tcW w:w="946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Form of Wainwright Warrant (incorporated by reference to the Registrant’s Current Report on Form 8-K filed on January 16, 2019)</w:t>
              </w:r>
            </w:hyperlink>
          </w:p>
        </w:tc>
        <w:tc>
          <w:tcPr>
            <w:tcW w:w="680" w:type="dxa"/>
            <w:vAlign w:val="bottom"/>
            <w:gridSpan w:val="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w w:val="97"/>
              </w:rPr>
            </w:pPr>
            <w:hyperlink r:id="rId90">
              <w:r>
                <w:rPr>
                  <w:rFonts w:ascii="Arial" w:cs="Arial" w:eastAsia="Arial" w:hAnsi="Arial"/>
                  <w:sz w:val="18"/>
                  <w:szCs w:val="18"/>
                  <w:color w:val="0000EE"/>
                  <w:w w:val="97"/>
                </w:rPr>
                <w:t>Form of Wainwright Warrant (incorporated by reference to the Registrant’s Current Report on Form 8-K filed on January 17, 2019).</w:t>
              </w:r>
            </w:hyperlink>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Form of Warrant (incorporated by reference to the Registrant’s Current Report on Form 8-K filed on January 25, 2019).</w:t>
              </w:r>
            </w:hyperlink>
          </w:p>
        </w:tc>
        <w:tc>
          <w:tcPr>
            <w:tcW w:w="880" w:type="dxa"/>
            <w:vAlign w:val="bottom"/>
            <w:tcBorders>
              <w:top w:val="single" w:sz="8" w:color="0000EE"/>
            </w:tcBorders>
            <w:gridSpan w:val="6"/>
          </w:tcPr>
          <w:p>
            <w:pPr>
              <w:spacing w:after="0"/>
              <w:rPr>
                <w:sz w:val="17"/>
                <w:szCs w:val="17"/>
                <w:color w:val="auto"/>
              </w:rPr>
            </w:pPr>
          </w:p>
        </w:tc>
        <w:tc>
          <w:tcPr>
            <w:tcW w:w="640" w:type="dxa"/>
            <w:vAlign w:val="bottom"/>
            <w:gridSpan w:val="3"/>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17"/>
                <w:szCs w:val="17"/>
                <w:color w:val="auto"/>
              </w:rPr>
            </w:pPr>
          </w:p>
        </w:tc>
        <w:tc>
          <w:tcPr>
            <w:tcW w:w="8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Form of Warrant (incorporated by reference to the Registrant’s Current Report on Form 8-K filed on December 27, 2019).</w:t>
              </w:r>
            </w:hyperlink>
          </w:p>
        </w:tc>
        <w:tc>
          <w:tcPr>
            <w:tcW w:w="132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7"/>
                <w:szCs w:val="17"/>
                <w:color w:val="auto"/>
              </w:rPr>
            </w:pPr>
          </w:p>
        </w:tc>
        <w:tc>
          <w:tcPr>
            <w:tcW w:w="95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Form of Wainwright Warrants (incorporated by reference to the Registrant’s Current Report on Form 8-K filed on January 25, 2019).</w:t>
              </w:r>
            </w:hyperlink>
          </w:p>
        </w:tc>
        <w:tc>
          <w:tcPr>
            <w:tcW w:w="560" w:type="dxa"/>
            <w:vAlign w:val="bottom"/>
            <w:gridSpan w:val="2"/>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17"/>
                <w:szCs w:val="17"/>
                <w:color w:val="auto"/>
              </w:rPr>
            </w:pPr>
          </w:p>
        </w:tc>
        <w:tc>
          <w:tcPr>
            <w:tcW w:w="882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Form of Warrant (incorporated by reference to the Registrant’s Current Report on Form 8-K filed on December 30, 2019).</w:t>
              </w:r>
            </w:hyperlink>
          </w:p>
        </w:tc>
        <w:tc>
          <w:tcPr>
            <w:tcW w:w="1320" w:type="dxa"/>
            <w:vAlign w:val="bottom"/>
            <w:gridSpan w:val="7"/>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17"/>
                <w:szCs w:val="17"/>
                <w:color w:val="auto"/>
              </w:rPr>
            </w:pPr>
          </w:p>
        </w:tc>
        <w:tc>
          <w:tcPr>
            <w:tcW w:w="880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95">
              <w:r>
                <w:rPr>
                  <w:rFonts w:ascii="Arial" w:cs="Arial" w:eastAsia="Arial" w:hAnsi="Arial"/>
                  <w:sz w:val="18"/>
                  <w:szCs w:val="18"/>
                  <w:color w:val="0000EE"/>
                  <w:w w:val="91"/>
                </w:rPr>
                <w:t>Form of Warrant (incorporated by reference to the Registrant’s Current Report on Form 8-K filed on December 31, 2019).</w:t>
              </w:r>
            </w:hyperlink>
          </w:p>
        </w:tc>
        <w:tc>
          <w:tcPr>
            <w:tcW w:w="1340" w:type="dxa"/>
            <w:vAlign w:val="bottom"/>
            <w:gridSpan w:val="8"/>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4.10</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r:id="rId96">
              <w:r>
                <w:rPr>
                  <w:rFonts w:ascii="Arial" w:cs="Arial" w:eastAsia="Arial" w:hAnsi="Arial"/>
                  <w:sz w:val="18"/>
                  <w:szCs w:val="18"/>
                  <w:color w:val="0000EE"/>
                  <w:w w:val="95"/>
                </w:rPr>
                <w:t>Description of the Company’s Securities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r:id="rId96">
              <w:r>
                <w:rPr>
                  <w:rFonts w:ascii="Arial" w:cs="Arial" w:eastAsia="Arial" w:hAnsi="Arial"/>
                  <w:sz w:val="18"/>
                  <w:szCs w:val="18"/>
                  <w:color w:val="0000EE"/>
                  <w:w w:val="88"/>
                </w:rPr>
                <w:t>ended December 31, 2019).</w:t>
              </w:r>
            </w:hyperlink>
          </w:p>
        </w:tc>
        <w:tc>
          <w:tcPr>
            <w:tcW w:w="8140" w:type="dxa"/>
            <w:vAlign w:val="bottom"/>
            <w:gridSpan w:val="20"/>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w w:val="97"/>
              </w:rPr>
            </w:pPr>
            <w:hyperlink r:id="rId97">
              <w:r>
                <w:rPr>
                  <w:rFonts w:ascii="Arial" w:cs="Arial" w:eastAsia="Arial" w:hAnsi="Arial"/>
                  <w:sz w:val="18"/>
                  <w:szCs w:val="18"/>
                  <w:color w:val="0000EE"/>
                  <w:w w:val="97"/>
                </w:rPr>
                <w:t>Form of Indemnification Agreement, between the Company and each of its Directors and Officers (incorporated by reference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Company’s Current Report on Form 8-K filed on November 29, 2016).</w:t>
              </w:r>
            </w:hyperlink>
          </w:p>
        </w:tc>
        <w:tc>
          <w:tcPr>
            <w:tcW w:w="50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10.2*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Employment Agreement with Harel Gadot (incorporated by reference to the Company’s Current Report on Form 8-K filed on November 29,</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98">
              <w:r>
                <w:rPr>
                  <w:rFonts w:ascii="Arial" w:cs="Arial" w:eastAsia="Arial" w:hAnsi="Arial"/>
                  <w:sz w:val="18"/>
                  <w:szCs w:val="18"/>
                  <w:color w:val="0000EE"/>
                  <w:w w:val="86"/>
                </w:rPr>
                <w:t>2016).</w:t>
              </w:r>
            </w:hyperlink>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10.3*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r:id="rId99">
              <w:r>
                <w:rPr>
                  <w:rFonts w:ascii="Arial" w:cs="Arial" w:eastAsia="Arial" w:hAnsi="Arial"/>
                  <w:sz w:val="18"/>
                  <w:szCs w:val="18"/>
                  <w:color w:val="0000EE"/>
                  <w:w w:val="94"/>
                </w:rPr>
                <w:t>Services Agreement with DBN Finance Services Ltd. (incorporated by reference to the Company’s Current Report on Form 8-K filed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November 29, 2016).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100">
              <w:r>
                <w:rPr>
                  <w:rFonts w:ascii="Arial" w:cs="Arial" w:eastAsia="Arial" w:hAnsi="Arial"/>
                  <w:sz w:val="18"/>
                  <w:szCs w:val="18"/>
                  <w:color w:val="0000EE"/>
                  <w:w w:val="93"/>
                </w:rPr>
                <w:t>License Agreement, dated June 20, 2012, by and between Technion Research and Development Foundation, and Microbot Medical Ltd.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00">
              <w:r>
                <w:rPr>
                  <w:rFonts w:ascii="Arial" w:cs="Arial" w:eastAsia="Arial" w:hAnsi="Arial"/>
                  <w:sz w:val="18"/>
                  <w:szCs w:val="18"/>
                  <w:color w:val="0000EE"/>
                  <w:w w:val="91"/>
                </w:rPr>
                <w:t>(incorporated by reference to the Company’s Annual Report on Form 10-K for the fiscal year ended December 31, 2016 and filed on March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21, 2017).</w:t>
              </w:r>
            </w:hyperlink>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10.5*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Form of Stock Option Agreement under the Microbot Medical Inc. 2017 Equity Incentive Plan (incorporated by reference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Quarterly Report on Form 10-Q for the Quarter ended September 30, 2017, filed on November 14, 2017).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gridSpan w:val="8"/>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gridSpan w:val="3"/>
            <w:shd w:val="clear" w:color="auto" w:fill="0000EE"/>
          </w:tcPr>
          <w:p>
            <w:pPr>
              <w:spacing w:after="0" w:line="20" w:lineRule="exact"/>
              <w:rPr>
                <w:sz w:val="1"/>
                <w:szCs w:val="1"/>
                <w:color w:val="auto"/>
              </w:rPr>
            </w:pPr>
          </w:p>
        </w:tc>
        <w:tc>
          <w:tcPr>
            <w:tcW w:w="25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Agreement, dated January 4, 2018, by and between CardioSert Ltd. and Microbot Medical Ltd. (incorporated by reference to the Company’s</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Current Report on Form 8-K filed on January 8, 2018).</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gridSpan w:val="8"/>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180" w:type="dxa"/>
            <w:vAlign w:val="bottom"/>
            <w:gridSpan w:val="13"/>
          </w:tcPr>
          <w:p>
            <w:pPr>
              <w:spacing w:after="0" w:line="20" w:lineRule="exact"/>
              <w:rPr>
                <w:sz w:val="1"/>
                <w:szCs w:val="1"/>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10.7*</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103">
              <w:r>
                <w:rPr>
                  <w:rFonts w:ascii="Arial" w:cs="Arial" w:eastAsia="Arial" w:hAnsi="Arial"/>
                  <w:sz w:val="18"/>
                  <w:szCs w:val="18"/>
                  <w:color w:val="0000EE"/>
                  <w:w w:val="92"/>
                </w:rPr>
                <w:t>Employment Agreement with Dr. Eyal Morag (incorporated by reference to the Registrant’s Annual Report on Form 10-K for the fiscal year</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ended December 31, 2019 filed on April 14, 2020).</w:t>
              </w:r>
            </w:hyperlink>
          </w:p>
        </w:tc>
        <w:tc>
          <w:tcPr>
            <w:tcW w:w="6440" w:type="dxa"/>
            <w:vAlign w:val="bottom"/>
            <w:gridSpan w:val="14"/>
          </w:tcPr>
          <w:p>
            <w:pPr>
              <w:spacing w:after="0"/>
              <w:rPr>
                <w:sz w:val="17"/>
                <w:szCs w:val="17"/>
                <w:color w:val="auto"/>
              </w:rPr>
            </w:pPr>
          </w:p>
        </w:tc>
      </w:tr>
      <w:tr>
        <w:trPr>
          <w:trHeight w:val="196"/>
        </w:trPr>
        <w:tc>
          <w:tcPr>
            <w:tcW w:w="980" w:type="dxa"/>
            <w:vAlign w:val="bottom"/>
          </w:tcPr>
          <w:p>
            <w:pPr>
              <w:jc w:val="center"/>
              <w:spacing w:after="0" w:line="196" w:lineRule="exact"/>
              <w:rPr>
                <w:sz w:val="20"/>
                <w:szCs w:val="20"/>
                <w:color w:val="auto"/>
              </w:rPr>
            </w:pPr>
            <w:r>
              <w:rPr>
                <w:rFonts w:ascii="Arial" w:cs="Arial" w:eastAsia="Arial" w:hAnsi="Arial"/>
                <w:sz w:val="18"/>
                <w:szCs w:val="18"/>
                <w:color w:val="auto"/>
                <w:w w:val="95"/>
              </w:rPr>
              <w:t>10.8*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r:id="rId104">
              <w:r>
                <w:rPr>
                  <w:rFonts w:ascii="Arial" w:cs="Arial" w:eastAsia="Arial" w:hAnsi="Arial"/>
                  <w:sz w:val="18"/>
                  <w:szCs w:val="18"/>
                  <w:color w:val="0000EE"/>
                  <w:w w:val="93"/>
                </w:rPr>
                <w:t>Microbot Medical Inc. 2017 Equity Incentive Plan (incorporated by reference to Exhibit A of the Company’s Definitive Proxy Statement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5"/>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Schedule 14A filed on August 11, 2017).</w:t>
              </w:r>
            </w:hyperlink>
          </w:p>
        </w:tc>
      </w:tr>
      <w:tr>
        <w:trPr>
          <w:trHeight w:val="460"/>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940" w:type="dxa"/>
            <w:vAlign w:val="bottom"/>
            <w:tcBorders>
              <w:top w:val="single" w:sz="8" w:color="0000EE"/>
              <w:bottom w:val="single" w:sz="8" w:color="auto"/>
            </w:tcBorders>
            <w:gridSpan w:val="7"/>
          </w:tcPr>
          <w:p>
            <w:pPr>
              <w:spacing w:after="0"/>
              <w:rPr>
                <w:sz w:val="24"/>
                <w:szCs w:val="24"/>
                <w:color w:val="auto"/>
              </w:rPr>
            </w:pPr>
          </w:p>
        </w:tc>
        <w:tc>
          <w:tcPr>
            <w:tcW w:w="19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0" w:name="page61"/>
    <w:bookmarkEnd w:id="60"/>
    <w:p>
      <w:pPr>
        <w:spacing w:after="0" w:line="1"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5"/>
              </w:rPr>
              <w:t>10.9*</w:t>
            </w:r>
          </w:p>
        </w:tc>
        <w:tc>
          <w:tcPr>
            <w:tcW w:w="10140" w:type="dxa"/>
            <w:vAlign w:val="bottom"/>
            <w:tcBorders>
              <w:bottom w:val="single" w:sz="8" w:color="0000EE"/>
            </w:tcBorders>
            <w:gridSpan w:val="15"/>
          </w:tcPr>
          <w:p>
            <w:pPr>
              <w:spacing w:after="0"/>
              <w:rPr>
                <w:rFonts w:ascii="Arial" w:cs="Arial" w:eastAsia="Arial" w:hAnsi="Arial"/>
                <w:sz w:val="18"/>
                <w:szCs w:val="18"/>
                <w:color w:val="0000EE"/>
                <w:w w:val="93"/>
              </w:rPr>
            </w:pPr>
            <w:hyperlink r:id="rId105">
              <w:r>
                <w:rPr>
                  <w:rFonts w:ascii="Arial" w:cs="Arial" w:eastAsia="Arial" w:hAnsi="Arial"/>
                  <w:sz w:val="18"/>
                  <w:szCs w:val="18"/>
                  <w:color w:val="0000EE"/>
                  <w:w w:val="93"/>
                </w:rPr>
                <w:t>Microbot Medical Inc. 2020 Omnibus Performance Award Plan (incorporated by reference to Exhibit A of the Company’s definitive Proxy</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Statement on Schedule 14A filed on July 31, 2020)</w:t>
              </w:r>
            </w:hyperlink>
          </w:p>
        </w:tc>
      </w:tr>
      <w:tr>
        <w:trPr>
          <w:trHeight w:val="20"/>
        </w:trPr>
        <w:tc>
          <w:tcPr>
            <w:tcW w:w="9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10.10*</w:t>
            </w:r>
          </w:p>
        </w:tc>
        <w:tc>
          <w:tcPr>
            <w:tcW w:w="10140" w:type="dxa"/>
            <w:vAlign w:val="bottom"/>
            <w:gridSpan w:val="15"/>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Form of Restricted Stock Unit Award Agreement under the Microbot Medical Inc. 2020 Omnibus Performance Award Plan (incorporated by</w:t>
              </w:r>
            </w:hyperlink>
          </w:p>
        </w:tc>
      </w:tr>
      <w:tr>
        <w:trPr>
          <w:trHeight w:val="196"/>
        </w:trPr>
        <w:tc>
          <w:tcPr>
            <w:tcW w:w="940" w:type="dxa"/>
            <w:vAlign w:val="bottom"/>
          </w:tcPr>
          <w:p>
            <w:pPr>
              <w:spacing w:after="0"/>
              <w:rPr>
                <w:sz w:val="17"/>
                <w:szCs w:val="17"/>
                <w:color w:val="auto"/>
              </w:rPr>
            </w:pPr>
          </w:p>
        </w:tc>
        <w:tc>
          <w:tcPr>
            <w:tcW w:w="101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reference to Exhibit 4.2 of the registration Statement on Form S-8 of the Company filed on November 25, 2020)</w:t>
              </w:r>
            </w:hyperlink>
          </w:p>
        </w:tc>
        <w:tc>
          <w:tcPr>
            <w:tcW w:w="2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2"/>
              </w:rPr>
              <w:t>10.11*</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07">
              <w:r>
                <w:rPr>
                  <w:rFonts w:ascii="Arial" w:cs="Arial" w:eastAsia="Arial" w:hAnsi="Arial"/>
                  <w:sz w:val="18"/>
                  <w:szCs w:val="18"/>
                  <w:color w:val="0000EE"/>
                  <w:w w:val="93"/>
                </w:rPr>
                <w:t>Form of NQO Award Agreement under the Microbot Medical Ltd. 2020 Omnibus Performance Award Plan (incorporated by reference to</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Exhibit 4.3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10.12*</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Form of Restricted Stock Award Agreement under the Microbot Medical Ltd. 2020 Omnibus Performance Award Plan (incorporated by</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reference to Exhibit 4.4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10.13*</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Form of SAR Award Agreement under the Microbot Medical Ltd. 2020 Omnibus Performance Award Plan (incorporated by reference to</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Exhibit 4.5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10.14*</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r:id="rId110">
              <w:r>
                <w:rPr>
                  <w:rFonts w:ascii="Arial" w:cs="Arial" w:eastAsia="Arial" w:hAnsi="Arial"/>
                  <w:sz w:val="18"/>
                  <w:szCs w:val="18"/>
                  <w:color w:val="0000EE"/>
                  <w:w w:val="94"/>
                </w:rPr>
                <w:t>Form of ISO Award Agreement under the Microbot Medical Ltd. 2020 Omnibus Performance Award Plan (incorporated by reference to</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Exhibit 4.6 of the registration Statement on Form S-8 of the Company filed on November 25, 2020)</w:t>
              </w:r>
            </w:hyperlink>
          </w:p>
        </w:tc>
      </w:tr>
      <w:tr>
        <w:trPr>
          <w:trHeight w:val="20"/>
        </w:trPr>
        <w:tc>
          <w:tcPr>
            <w:tcW w:w="9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10.15*</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11">
              <w:r>
                <w:rPr>
                  <w:rFonts w:ascii="Arial" w:cs="Arial" w:eastAsia="Arial" w:hAnsi="Arial"/>
                  <w:sz w:val="18"/>
                  <w:szCs w:val="18"/>
                  <w:color w:val="0000EE"/>
                  <w:w w:val="92"/>
                </w:rPr>
                <w:t>Employment Agreement, as of March 31, 2018, with Simon Sharon (incorporated by reference to Exhibit 10.1 of the Company’s Form 8-K</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filed on April 7, 2021)</w:t>
              </w:r>
            </w:hyperlink>
          </w:p>
        </w:tc>
      </w:tr>
      <w:tr>
        <w:trPr>
          <w:trHeight w:val="20"/>
        </w:trPr>
        <w:tc>
          <w:tcPr>
            <w:tcW w:w="94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5"/>
              </w:rPr>
              <w:t>10.16*</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112">
              <w:r>
                <w:rPr>
                  <w:rFonts w:ascii="Arial" w:cs="Arial" w:eastAsia="Arial" w:hAnsi="Arial"/>
                  <w:sz w:val="18"/>
                  <w:szCs w:val="18"/>
                  <w:color w:val="0000EE"/>
                  <w:w w:val="93"/>
                </w:rPr>
                <w:t>First Amendment to Employment Agreement, dated as of April 19, 2021, with Simon Sharon (incorporated by reference to Exhibit 10.1 of</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the Company’s Form 8-K filed on April 22, 2021)</w:t>
              </w:r>
            </w:hyperlink>
          </w:p>
        </w:tc>
      </w:tr>
      <w:tr>
        <w:trPr>
          <w:trHeight w:val="20"/>
        </w:trPr>
        <w:tc>
          <w:tcPr>
            <w:tcW w:w="9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88"/>
              </w:rPr>
              <w:t>10.17</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9"/>
              </w:rPr>
            </w:pPr>
            <w:hyperlink r:id="rId113">
              <w:r>
                <w:rPr>
                  <w:rFonts w:ascii="Arial" w:cs="Arial" w:eastAsia="Arial" w:hAnsi="Arial"/>
                  <w:sz w:val="18"/>
                  <w:szCs w:val="18"/>
                  <w:color w:val="0000EE"/>
                  <w:w w:val="99"/>
                </w:rPr>
                <w:t>At the Market Offering Agreement, dated June 10, 2021, by and between Microbot Medical Inc. and H.C. Wainwright &amp; Co., LLC</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(incorporated by reference to Exhibit 10.1 of the Company’s Form 8-K filed on June 10, 2021)</w:t>
              </w:r>
            </w:hyperlink>
          </w:p>
        </w:tc>
      </w:tr>
      <w:tr>
        <w:trPr>
          <w:trHeight w:val="20"/>
        </w:trPr>
        <w:tc>
          <w:tcPr>
            <w:tcW w:w="9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40" w:type="dxa"/>
            <w:vAlign w:val="bottom"/>
          </w:tcPr>
          <w:p>
            <w:pPr>
              <w:jc w:val="center"/>
              <w:ind w:right="190"/>
              <w:spacing w:after="0" w:line="196" w:lineRule="exact"/>
              <w:rPr>
                <w:sz w:val="20"/>
                <w:szCs w:val="20"/>
                <w:color w:val="auto"/>
              </w:rPr>
            </w:pPr>
            <w:r>
              <w:rPr>
                <w:rFonts w:ascii="Arial" w:cs="Arial" w:eastAsia="Arial" w:hAnsi="Arial"/>
                <w:sz w:val="18"/>
                <w:szCs w:val="18"/>
                <w:color w:val="auto"/>
                <w:w w:val="98"/>
              </w:rPr>
              <w:t>10.18**</w:t>
            </w:r>
          </w:p>
        </w:tc>
        <w:tc>
          <w:tcPr>
            <w:tcW w:w="10140" w:type="dxa"/>
            <w:vAlign w:val="bottom"/>
            <w:gridSpan w:val="15"/>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Strategic Collaboration Agreement for Technology Co-Development with Stryker Corporation, acting through its Neurovascular Division</w:t>
              </w:r>
            </w:hyperlink>
          </w:p>
        </w:tc>
      </w:tr>
      <w:tr>
        <w:trPr>
          <w:trHeight w:val="196"/>
        </w:trPr>
        <w:tc>
          <w:tcPr>
            <w:tcW w:w="94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(incorporated by reference to Exhibit 10.1 of the Company’s Form 8-K filed on December 27, 2021)</w:t>
              </w:r>
            </w:hyperlink>
          </w:p>
        </w:tc>
        <w:tc>
          <w:tcPr>
            <w:tcW w:w="28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21.1</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Subsidiaries of the Company (incorporated by reference to the Company’s Annual Report on Form 10-K for the fiscal year ended December</w:t>
              </w:r>
            </w:hyperlink>
          </w:p>
        </w:tc>
      </w:tr>
      <w:tr>
        <w:trPr>
          <w:trHeight w:val="196"/>
        </w:trPr>
        <w:tc>
          <w:tcPr>
            <w:tcW w:w="940" w:type="dxa"/>
            <w:vAlign w:val="bottom"/>
          </w:tcPr>
          <w:p>
            <w:pPr>
              <w:spacing w:after="0"/>
              <w:rPr>
                <w:sz w:val="17"/>
                <w:szCs w:val="17"/>
                <w:color w:val="auto"/>
              </w:rPr>
            </w:pPr>
          </w:p>
        </w:tc>
        <w:tc>
          <w:tcPr>
            <w:tcW w:w="28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31, 2016 and filed on March 21, 2017).</w:t>
              </w:r>
            </w:hyperlink>
          </w:p>
        </w:tc>
        <w:tc>
          <w:tcPr>
            <w:tcW w:w="7300" w:type="dxa"/>
            <w:vAlign w:val="bottom"/>
            <w:gridSpan w:val="10"/>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23.1</w:t>
            </w:r>
          </w:p>
        </w:tc>
        <w:tc>
          <w:tcPr>
            <w:tcW w:w="43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Consent of Independent Registered Public Accounting Firm</w:t>
              </w:r>
            </w:hyperlink>
          </w:p>
        </w:tc>
        <w:tc>
          <w:tcPr>
            <w:tcW w:w="5820" w:type="dxa"/>
            <w:vAlign w:val="bottom"/>
            <w:gridSpan w:val="6"/>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31.1</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87">
              <w:r>
                <w:rPr>
                  <w:rFonts w:ascii="Arial" w:cs="Arial" w:eastAsia="Arial" w:hAnsi="Arial"/>
                  <w:sz w:val="18"/>
                  <w:szCs w:val="18"/>
                  <w:color w:val="0000EE"/>
                  <w:w w:val="91"/>
                </w:rPr>
                <w:t>Certification Pursuant to Securities Exchange Act Rule 13(a)-14(a), as Adopted Pursuant to Section 302 of the Sarbanes-Oxley Act of 2002</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(Harel Gadot, Chief Executive Officer)</w:t>
              </w:r>
            </w:hyperlink>
          </w:p>
        </w:tc>
      </w:tr>
      <w:tr>
        <w:trPr>
          <w:trHeight w:val="20"/>
        </w:trPr>
        <w:tc>
          <w:tcPr>
            <w:tcW w:w="9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31.2</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Certification Pursuant to Securities Exchange Act Rule 13(a)-14(a), as Adopted Pursuant to Section 302 of the Sarbanes-Oxley Act of 2002</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(David Ben Naim, Chief Financial Officer)</w:t>
              </w:r>
            </w:hyperlink>
          </w:p>
        </w:tc>
      </w:tr>
      <w:tr>
        <w:trPr>
          <w:trHeight w:val="20"/>
        </w:trPr>
        <w:tc>
          <w:tcPr>
            <w:tcW w:w="9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32.1</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Certification Pursuant to 18 U.S.C. Section 1350, As Adopted Pursuant to Section 906 of the Sarbanes-Oxley Act of 2002 (Harel Gadot,</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Chief Executive Officer)</w:t>
              </w:r>
            </w:hyperlink>
          </w:p>
        </w:tc>
      </w:tr>
      <w:tr>
        <w:trPr>
          <w:trHeight w:val="20"/>
        </w:trPr>
        <w:tc>
          <w:tcPr>
            <w:tcW w:w="94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Arial" w:cs="Arial" w:eastAsia="Arial" w:hAnsi="Arial"/>
                <w:sz w:val="18"/>
                <w:szCs w:val="18"/>
                <w:color w:val="auto"/>
                <w:w w:val="91"/>
              </w:rPr>
              <w:t>32.2</w:t>
            </w:r>
          </w:p>
        </w:tc>
        <w:tc>
          <w:tcPr>
            <w:tcW w:w="101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Certification Pursuant to 18 U.S.C. Section 1350, As Adopted Pursuant to Section 906 of the Sarbanes-Oxley Act of 2002 (David Ben</w:t>
              </w:r>
            </w:hyperlink>
          </w:p>
        </w:tc>
      </w:tr>
      <w:tr>
        <w:trPr>
          <w:trHeight w:val="196"/>
        </w:trPr>
        <w:tc>
          <w:tcPr>
            <w:tcW w:w="940" w:type="dxa"/>
            <w:vAlign w:val="bottom"/>
          </w:tcPr>
          <w:p>
            <w:pPr>
              <w:spacing w:after="0"/>
              <w:rPr>
                <w:sz w:val="17"/>
                <w:szCs w:val="17"/>
                <w:color w:val="auto"/>
              </w:rPr>
            </w:pPr>
          </w:p>
        </w:tc>
        <w:tc>
          <w:tcPr>
            <w:tcW w:w="10140" w:type="dxa"/>
            <w:vAlign w:val="bottom"/>
            <w:gridSpan w:val="15"/>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Naim, Chief Financial Officer)</w:t>
              </w:r>
            </w:hyperlink>
          </w:p>
        </w:tc>
      </w:tr>
      <w:tr>
        <w:trPr>
          <w:trHeight w:val="20"/>
        </w:trPr>
        <w:tc>
          <w:tcPr>
            <w:tcW w:w="94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7920" w:type="dxa"/>
            <w:vAlign w:val="bottom"/>
            <w:gridSpan w:val="12"/>
          </w:tcPr>
          <w:p>
            <w:pPr>
              <w:spacing w:after="0" w:line="20" w:lineRule="exact"/>
              <w:rPr>
                <w:sz w:val="1"/>
                <w:szCs w:val="1"/>
                <w:color w:val="auto"/>
              </w:rPr>
            </w:pPr>
          </w:p>
        </w:tc>
      </w:tr>
      <w:tr>
        <w:trPr>
          <w:trHeight w:val="222"/>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2"/>
              </w:rPr>
              <w:t>101.INS</w:t>
            </w:r>
          </w:p>
        </w:tc>
        <w:tc>
          <w:tcPr>
            <w:tcW w:w="10140" w:type="dxa"/>
            <w:vAlign w:val="bottom"/>
            <w:gridSpan w:val="15"/>
          </w:tcPr>
          <w:p>
            <w:pPr>
              <w:spacing w:after="0"/>
              <w:rPr>
                <w:sz w:val="20"/>
                <w:szCs w:val="20"/>
                <w:color w:val="auto"/>
              </w:rPr>
            </w:pPr>
            <w:r>
              <w:rPr>
                <w:rFonts w:ascii="Arial" w:cs="Arial" w:eastAsia="Arial" w:hAnsi="Arial"/>
                <w:sz w:val="18"/>
                <w:szCs w:val="18"/>
                <w:color w:val="auto"/>
                <w:w w:val="91"/>
              </w:rPr>
              <w:t>Inline XBRL Instance - The instance document does not appear in the Interactive Data File because its XBRL tags are embedded within the</w:t>
            </w:r>
          </w:p>
        </w:tc>
      </w:tr>
      <w:tr>
        <w:trPr>
          <w:trHeight w:val="216"/>
        </w:trPr>
        <w:tc>
          <w:tcPr>
            <w:tcW w:w="940" w:type="dxa"/>
            <w:vAlign w:val="bottom"/>
          </w:tcPr>
          <w:p>
            <w:pPr>
              <w:spacing w:after="0"/>
              <w:rPr>
                <w:sz w:val="18"/>
                <w:szCs w:val="18"/>
                <w:color w:val="auto"/>
              </w:rPr>
            </w:pPr>
          </w:p>
        </w:tc>
        <w:tc>
          <w:tcPr>
            <w:tcW w:w="10140" w:type="dxa"/>
            <w:vAlign w:val="bottom"/>
            <w:gridSpan w:val="15"/>
          </w:tcPr>
          <w:p>
            <w:pPr>
              <w:spacing w:after="0"/>
              <w:rPr>
                <w:sz w:val="20"/>
                <w:szCs w:val="20"/>
                <w:color w:val="auto"/>
              </w:rPr>
            </w:pPr>
            <w:r>
              <w:rPr>
                <w:rFonts w:ascii="Arial" w:cs="Arial" w:eastAsia="Arial" w:hAnsi="Arial"/>
                <w:sz w:val="18"/>
                <w:szCs w:val="18"/>
                <w:color w:val="auto"/>
              </w:rPr>
              <w:t>Inline XBRL document.</w:t>
            </w:r>
          </w:p>
        </w:tc>
      </w:tr>
      <w:tr>
        <w:trPr>
          <w:trHeight w:val="21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1014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7"/>
              </w:rPr>
              <w:t>101.CAL</w:t>
            </w:r>
          </w:p>
        </w:tc>
        <w:tc>
          <w:tcPr>
            <w:tcW w:w="1014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w:t>
            </w:r>
          </w:p>
        </w:tc>
      </w:tr>
      <w:tr>
        <w:trPr>
          <w:trHeight w:val="216"/>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1014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w:t>
            </w:r>
          </w:p>
        </w:tc>
      </w:tr>
      <w:tr>
        <w:trPr>
          <w:trHeight w:val="216"/>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98"/>
              </w:rPr>
              <w:t>101.LAB</w:t>
            </w:r>
          </w:p>
        </w:tc>
        <w:tc>
          <w:tcPr>
            <w:tcW w:w="1014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w:t>
            </w:r>
          </w:p>
        </w:tc>
      </w:tr>
      <w:tr>
        <w:trPr>
          <w:trHeight w:val="230"/>
        </w:trPr>
        <w:tc>
          <w:tcPr>
            <w:tcW w:w="940" w:type="dxa"/>
            <w:vAlign w:val="bottom"/>
          </w:tcPr>
          <w:p>
            <w:pPr>
              <w:jc w:val="center"/>
              <w:ind w:right="170"/>
              <w:spacing w:after="0"/>
              <w:rPr>
                <w:sz w:val="20"/>
                <w:szCs w:val="20"/>
                <w:color w:val="auto"/>
              </w:rPr>
            </w:pPr>
            <w:r>
              <w:rPr>
                <w:rFonts w:ascii="Arial" w:cs="Arial" w:eastAsia="Arial" w:hAnsi="Arial"/>
                <w:sz w:val="18"/>
                <w:szCs w:val="18"/>
                <w:color w:val="auto"/>
                <w:w w:val="88"/>
              </w:rPr>
              <w:t>101.PRE</w:t>
            </w:r>
          </w:p>
        </w:tc>
        <w:tc>
          <w:tcPr>
            <w:tcW w:w="1014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w:t>
            </w:r>
          </w:p>
        </w:tc>
      </w:tr>
    </w:tbl>
    <w:p>
      <w:pPr>
        <w:ind w:right="3600" w:firstLine="359"/>
        <w:spacing w:after="0" w:line="399" w:lineRule="auto"/>
        <w:tabs>
          <w:tab w:leader="none" w:pos="10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Indicates Management contract or compensatory plan or arrangement</w:t>
      </w:r>
    </w:p>
    <w:p>
      <w:pPr>
        <w:ind w:left="340" w:right="20" w:hanging="332"/>
        <w:spacing w:after="0" w:line="26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March 31, 2022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5620" w:type="dxa"/>
            <w:vAlign w:val="bottom"/>
            <w:gridSpan w:val="3"/>
          </w:tcPr>
          <w:p>
            <w:pPr>
              <w:ind w:left="240"/>
              <w:spacing w:after="0"/>
              <w:rPr>
                <w:sz w:val="20"/>
                <w:szCs w:val="20"/>
                <w:color w:val="auto"/>
              </w:rPr>
            </w:pPr>
            <w:r>
              <w:rPr>
                <w:rFonts w:ascii="Arial" w:cs="Arial" w:eastAsia="Arial" w:hAnsi="Arial"/>
                <w:sz w:val="18"/>
                <w:szCs w:val="18"/>
                <w:b w:val="1"/>
                <w:bCs w:val="1"/>
                <w:color w:val="auto"/>
              </w:rPr>
              <w:t>Title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3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39"/>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Chairman, President and Chief Executive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562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Ben Naim</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David Ben Naim</w:t>
            </w:r>
          </w:p>
        </w:tc>
        <w:tc>
          <w:tcPr>
            <w:tcW w:w="562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Prattipati Laxminarain</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Prattipati Laxminarain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Burell</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rPr>
              <w:t>/s/ Aileen Stockburger</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Aileen Stockburger</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Tal Wenderow</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31, 2022</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Tal Wenderow</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2"/>
          </w:tcPr>
          <w:p>
            <w:pPr>
              <w:ind w:left="2100"/>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40" w:type="dxa"/>
            <w:vAlign w:val="bottom"/>
            <w:gridSpan w:val="4"/>
          </w:tcPr>
          <w:p>
            <w:pPr>
              <w:jc w:val="center"/>
              <w:ind w:right="3240"/>
              <w:spacing w:after="0"/>
              <w:rPr>
                <w:sz w:val="20"/>
                <w:szCs w:val="20"/>
                <w:color w:val="auto"/>
              </w:rPr>
            </w:pPr>
            <w:r>
              <w:rPr>
                <w:rFonts w:ascii="Arial" w:cs="Arial" w:eastAsia="Arial" w:hAnsi="Arial"/>
                <w:sz w:val="18"/>
                <w:szCs w:val="18"/>
                <w:b w:val="1"/>
                <w:bCs w:val="1"/>
                <w:color w:val="auto"/>
              </w:rPr>
              <w:t>MICROBOT MEDICAL INC.</w:t>
            </w:r>
          </w:p>
        </w:tc>
        <w:tc>
          <w:tcPr>
            <w:tcW w:w="980" w:type="dxa"/>
            <w:vAlign w:val="bottom"/>
          </w:tcPr>
          <w:p>
            <w:pPr>
              <w:spacing w:after="0"/>
              <w:rPr>
                <w:sz w:val="20"/>
                <w:szCs w:val="20"/>
                <w:color w:val="auto"/>
              </w:rPr>
            </w:pPr>
          </w:p>
        </w:tc>
      </w:tr>
      <w:tr>
        <w:trPr>
          <w:trHeight w:val="432"/>
        </w:trPr>
        <w:tc>
          <w:tcPr>
            <w:tcW w:w="3420" w:type="dxa"/>
            <w:vAlign w:val="bottom"/>
          </w:tcPr>
          <w:p>
            <w:pPr>
              <w:spacing w:after="0"/>
              <w:rPr>
                <w:sz w:val="24"/>
                <w:szCs w:val="24"/>
                <w:color w:val="auto"/>
              </w:rPr>
            </w:pPr>
          </w:p>
        </w:tc>
        <w:tc>
          <w:tcPr>
            <w:tcW w:w="684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rPr>
              <w:t>INDEX TO FINANCIAL STATEMENTS</w:t>
            </w:r>
          </w:p>
        </w:tc>
        <w:tc>
          <w:tcPr>
            <w:tcW w:w="980" w:type="dxa"/>
            <w:vAlign w:val="bottom"/>
          </w:tcPr>
          <w:p>
            <w:pPr>
              <w:spacing w:after="0"/>
              <w:rPr>
                <w:sz w:val="24"/>
                <w:szCs w:val="24"/>
                <w:color w:val="auto"/>
              </w:rPr>
            </w:pPr>
          </w:p>
        </w:tc>
      </w:tr>
      <w:tr>
        <w:trPr>
          <w:trHeight w:val="439"/>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16"/>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1197)</w:t>
            </w:r>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F-2 - F-3</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2021, and 2020</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Loss for the years ended December 31, 2021 and 2020</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F-5</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Shareholders’ Equity for the years ended December 31, 2021 and 2020</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2021 and 2020</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r>
      <w:tr>
        <w:trPr>
          <w:trHeight w:val="216"/>
        </w:trPr>
        <w:tc>
          <w:tcPr>
            <w:tcW w:w="342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76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10260" w:type="dxa"/>
            <w:vAlign w:val="bottom"/>
            <w:gridSpan w:val="6"/>
            <w:shd w:val="clear" w:color="auto" w:fill="CCEEFF"/>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Notes to the Consolidated Financial Statements</w:t>
              </w:r>
            </w:hyperlink>
          </w:p>
        </w:tc>
        <w:tc>
          <w:tcPr>
            <w:tcW w:w="9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2"/>
              </w:rPr>
              <w:t>F-8 – F-23</w:t>
            </w:r>
          </w:p>
        </w:tc>
      </w:tr>
      <w:tr>
        <w:trPr>
          <w:trHeight w:val="439"/>
        </w:trPr>
        <w:tc>
          <w:tcPr>
            <w:tcW w:w="342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5560" w:type="dxa"/>
            <w:vAlign w:val="bottom"/>
            <w:tcBorders>
              <w:top w:val="single" w:sz="8" w:color="CCEEFF"/>
              <w:bottom w:val="single" w:sz="8" w:color="auto"/>
            </w:tcBorders>
            <w:gridSpan w:val="3"/>
          </w:tcPr>
          <w:p>
            <w:pPr>
              <w:jc w:val="center"/>
              <w:ind w:right="3720"/>
              <w:spacing w:after="0"/>
              <w:rPr>
                <w:sz w:val="20"/>
                <w:szCs w:val="20"/>
                <w:color w:val="auto"/>
              </w:rPr>
            </w:pPr>
            <w:r>
              <w:rPr>
                <w:rFonts w:ascii="Arial" w:cs="Arial" w:eastAsia="Arial" w:hAnsi="Arial"/>
                <w:sz w:val="18"/>
                <w:szCs w:val="18"/>
                <w:color w:val="auto"/>
                <w:w w:val="88"/>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63" w:name="page64"/>
    <w:bookmarkEnd w:id="63"/>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048510" cy="4540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2048510" cy="4540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Microbot Medical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accompanying consolidated balance sheets of Microbot Medical Inc. and its subsidiary (the “Company”) as of December 31, 2021 and 2020 and the related consolidated statements of comprehensive loss, shareholders’ equity and cash flows, for each of the two years in the period ended December 31, 2021, and the related notes (collectively referred to as the “financial statements”).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057400" cy="45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0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Commitments and Contingencies: Litigation — Refer to Note 2P and 8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involved in a litigation as the defendant resulting from the 2017 financing Litigation from third parties may result in a substantial loss. An estimated loss from a loss contingency is accrued by a charge to expenses or shareholders’ equity if it is probable that a liability has been incurred and the amount of the loss can be reasonably estimated.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concluded that the loss from the case is not probable and it cannot be reasonably estimable at this stage and no provision was recorded as of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determination of litigation contingency accruals is subject to significant management judgement in assessing the likelihood of a loss being incurred and when determining whether a reasonable estimate of the loss or range of loss can be made.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inherent uncertainty of the outcome of identified litigation, auditing the valuation assertion of litigation contingency required a high degree of auditor judgment and an increased extent of effort when performing audit procedures to evaluate management’s assessment on the likelihood and magnitude of the contingent loss and whether this litigation is reasonably estimable as of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potential loss contingency liability and disclosure of the litigation included the following, among others:</w:t>
      </w:r>
    </w:p>
    <w:p>
      <w:pPr>
        <w:spacing w:after="0" w:line="2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made inquiries with management to obtain an understanding of litigation matter and status that the Company is currently undergoing.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obtained legal letters from the external legal counsel.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inquired of the external and internal legal counsels to determine the status of the case and to understand the basis for management’s conclusion that the loss from the case is not probable and it cannot be reasonably estimable at this stage.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evaluated the assumptions used by management to estimate the litigation contingency likelihood and magnitude, including corroborating these assumptions with internal and external legal counsel.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evaluated the Company’s litigation contingencies disclosure for consistency with our evidence obtained on the litigation matter.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151765</wp:posOffset>
            </wp:positionV>
            <wp:extent cx="4286250" cy="12598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428625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5860" w:type="dxa"/>
            <w:vAlign w:val="bottom"/>
          </w:tcPr>
          <w:p>
            <w:pPr>
              <w:spacing w:after="0"/>
              <w:rPr>
                <w:sz w:val="20"/>
                <w:szCs w:val="20"/>
                <w:color w:val="auto"/>
              </w:rPr>
            </w:pPr>
          </w:p>
        </w:tc>
        <w:tc>
          <w:tcPr>
            <w:tcW w:w="1600" w:type="dxa"/>
            <w:vAlign w:val="bottom"/>
            <w:gridSpan w:val="2"/>
          </w:tcPr>
          <w:p>
            <w:pPr>
              <w:ind w:left="420"/>
              <w:spacing w:after="0"/>
              <w:rPr>
                <w:sz w:val="20"/>
                <w:szCs w:val="20"/>
                <w:color w:val="auto"/>
              </w:rPr>
            </w:pPr>
            <w:r>
              <w:rPr>
                <w:rFonts w:ascii="Arial" w:cs="Arial" w:eastAsia="Arial" w:hAnsi="Arial"/>
                <w:sz w:val="18"/>
                <w:szCs w:val="18"/>
                <w:b w:val="1"/>
                <w:bCs w:val="1"/>
                <w:color w:val="auto"/>
              </w:rPr>
              <w:t>Notes</w:t>
            </w: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jc w:val="right"/>
              <w:ind w:right="570"/>
              <w:spacing w:after="0"/>
              <w:rPr>
                <w:sz w:val="20"/>
                <w:szCs w:val="20"/>
                <w:color w:val="auto"/>
              </w:rPr>
            </w:pPr>
            <w:r>
              <w:rPr>
                <w:rFonts w:ascii="Arial" w:cs="Arial" w:eastAsia="Arial" w:hAnsi="Arial"/>
                <w:sz w:val="18"/>
                <w:szCs w:val="18"/>
                <w:b w:val="1"/>
                <w:bCs w:val="1"/>
                <w:color w:val="auto"/>
                <w:w w:val="94"/>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CCEEFF"/>
            </w:tcBorders>
            <w:shd w:val="clear" w:color="auto" w:fill="CCEEFF"/>
          </w:tcPr>
          <w:p>
            <w:pPr>
              <w:ind w:left="2480"/>
              <w:spacing w:after="0"/>
              <w:rPr>
                <w:sz w:val="20"/>
                <w:szCs w:val="20"/>
                <w:color w:val="auto"/>
              </w:rPr>
            </w:pPr>
            <w:r>
              <w:rPr>
                <w:rFonts w:ascii="Arial" w:cs="Arial" w:eastAsia="Arial" w:hAnsi="Arial"/>
                <w:sz w:val="18"/>
                <w:szCs w:val="18"/>
                <w:b w:val="1"/>
                <w:bCs w:val="1"/>
                <w:color w:val="auto"/>
              </w:rPr>
              <w:t>ASSETS</w:t>
            </w:r>
          </w:p>
        </w:tc>
        <w:tc>
          <w:tcPr>
            <w:tcW w:w="1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Current assets: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13,493</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19,650</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1,999</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4,998</w:t>
            </w: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6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r>
      <w:tr>
        <w:trPr>
          <w:trHeight w:val="216"/>
        </w:trPr>
        <w:tc>
          <w:tcPr>
            <w:tcW w:w="58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8"/>
                <w:szCs w:val="18"/>
                <w:color w:val="auto"/>
              </w:rPr>
            </w:pPr>
          </w:p>
        </w:tc>
      </w:tr>
      <w:tr>
        <w:trPr>
          <w:trHeight w:val="236"/>
        </w:trPr>
        <w:tc>
          <w:tcPr>
            <w:tcW w:w="586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644</w:t>
            </w:r>
          </w:p>
        </w:tc>
        <w:tc>
          <w:tcPr>
            <w:tcW w:w="6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20"/>
                <w:szCs w:val="20"/>
                <w:color w:val="auto"/>
              </w:rPr>
            </w:pPr>
          </w:p>
        </w:tc>
      </w:tr>
      <w:tr>
        <w:trPr>
          <w:trHeight w:val="230"/>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LIABILITIES AND STOCKHOLDERS’ EQUITY</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payables</w:t>
            </w:r>
          </w:p>
        </w:tc>
        <w:tc>
          <w:tcPr>
            <w:tcW w:w="19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279</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278</w:t>
            </w:r>
          </w:p>
        </w:tc>
        <w:tc>
          <w:tcPr>
            <w:tcW w:w="6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r>
      <w:tr>
        <w:trPr>
          <w:trHeight w:val="25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w:t>
            </w:r>
          </w:p>
        </w:tc>
        <w:tc>
          <w:tcPr>
            <w:tcW w:w="6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21"/>
                <w:szCs w:val="21"/>
                <w:color w:val="auto"/>
              </w:rPr>
            </w:pPr>
          </w:p>
        </w:tc>
      </w:tr>
      <w:tr>
        <w:trPr>
          <w:trHeight w:val="203"/>
        </w:trPr>
        <w:tc>
          <w:tcPr>
            <w:tcW w:w="586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26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1,984</w:t>
            </w:r>
          </w:p>
        </w:tc>
        <w:tc>
          <w:tcPr>
            <w:tcW w:w="320" w:type="dxa"/>
            <w:vAlign w:val="bottom"/>
            <w:tcBorders>
              <w:top w:val="single" w:sz="8" w:color="CCEEFF"/>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1,345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5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Non current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liabilities</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w:t>
            </w:r>
          </w:p>
        </w:tc>
        <w:tc>
          <w:tcPr>
            <w:tcW w:w="6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21"/>
                <w:szCs w:val="21"/>
                <w:color w:val="auto"/>
              </w:rPr>
            </w:pPr>
          </w:p>
        </w:tc>
      </w:tr>
      <w:tr>
        <w:trPr>
          <w:trHeight w:val="210"/>
        </w:trPr>
        <w:tc>
          <w:tcPr>
            <w:tcW w:w="58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26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2,386</w:t>
            </w:r>
          </w:p>
        </w:tc>
        <w:tc>
          <w:tcPr>
            <w:tcW w:w="320" w:type="dxa"/>
            <w:vAlign w:val="bottom"/>
            <w:tcBorders>
              <w:top w:val="single" w:sz="8" w:color="CCEEFF"/>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1,971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Stockholders’ equity:</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rPr>
              <w:t>Common stock; $0.01 par value; 60,000,000 shares authorized as of</w:t>
            </w: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w w:val="93"/>
              </w:rPr>
              <w:t>December 31, 2021 and 2020; 7,108,133 shares issued and outstanding as of</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December 31, 2021 and 2020</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6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0"/>
                <w:szCs w:val="20"/>
                <w:color w:val="auto"/>
              </w:rPr>
            </w:pPr>
          </w:p>
        </w:tc>
      </w:tr>
      <w:tr>
        <w:trPr>
          <w:trHeight w:val="21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69,902</w:t>
            </w:r>
          </w:p>
        </w:tc>
        <w:tc>
          <w:tcPr>
            <w:tcW w:w="6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68,516</w:t>
            </w:r>
          </w:p>
        </w:tc>
        <w:tc>
          <w:tcPr>
            <w:tcW w:w="80" w:type="dxa"/>
            <w:vAlign w:val="bottom"/>
            <w:shd w:val="clear" w:color="auto" w:fill="CCEEFF"/>
          </w:tcPr>
          <w:p>
            <w:pPr>
              <w:spacing w:after="0"/>
              <w:rPr>
                <w:sz w:val="18"/>
                <w:szCs w:val="18"/>
                <w:color w:val="auto"/>
              </w:rPr>
            </w:pP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(55,593)</w:t>
            </w:r>
          </w:p>
        </w:tc>
        <w:tc>
          <w:tcPr>
            <w:tcW w:w="6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(44,280)</w:t>
            </w:r>
          </w:p>
        </w:tc>
      </w:tr>
      <w:tr>
        <w:trPr>
          <w:trHeight w:val="236"/>
        </w:trPr>
        <w:tc>
          <w:tcPr>
            <w:tcW w:w="5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58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16,767</w:t>
            </w:r>
          </w:p>
        </w:tc>
        <w:tc>
          <w:tcPr>
            <w:tcW w:w="320" w:type="dxa"/>
            <w:vAlign w:val="bottom"/>
          </w:tcPr>
          <w:p>
            <w:pPr>
              <w:spacing w:after="0"/>
              <w:rPr>
                <w:sz w:val="18"/>
                <w:szCs w:val="18"/>
                <w:color w:val="auto"/>
              </w:rPr>
            </w:pPr>
          </w:p>
        </w:tc>
        <w:tc>
          <w:tcPr>
            <w:tcW w:w="62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73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4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gridSpan w:val="2"/>
            <w:shd w:val="clear" w:color="auto" w:fill="CCEEFF"/>
          </w:tcPr>
          <w:p>
            <w:pPr>
              <w:spacing w:after="0"/>
              <w:rPr>
                <w:sz w:val="18"/>
                <w:szCs w:val="18"/>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(5,204)</w:t>
            </w:r>
          </w:p>
        </w:tc>
        <w:tc>
          <w:tcPr>
            <w:tcW w:w="380" w:type="dxa"/>
            <w:vAlign w:val="bottom"/>
          </w:tcPr>
          <w:p>
            <w:pPr>
              <w:spacing w:after="0"/>
              <w:rPr>
                <w:sz w:val="20"/>
                <w:szCs w:val="20"/>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(5,693)</w:t>
            </w: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(11,357)</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 income (expenses), net</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57"/>
        </w:trPr>
        <w:tc>
          <w:tcPr>
            <w:tcW w:w="74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(11,313</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(9,169</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197"/>
        </w:trPr>
        <w:tc>
          <w:tcPr>
            <w:tcW w:w="7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83"/>
        </w:trPr>
        <w:tc>
          <w:tcPr>
            <w:tcW w:w="744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(1.59)</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197"/>
        </w:trPr>
        <w:tc>
          <w:tcPr>
            <w:tcW w:w="7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Basic and diluted weighted average common shares outstanding</w:t>
            </w:r>
          </w:p>
        </w:tc>
        <w:tc>
          <w:tcPr>
            <w:tcW w:w="380" w:type="dxa"/>
            <w:vAlign w:val="bottom"/>
          </w:tcPr>
          <w:p>
            <w:pPr>
              <w:spacing w:after="0"/>
              <w:rPr>
                <w:sz w:val="21"/>
                <w:szCs w:val="21"/>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7,108,133</w:t>
            </w:r>
          </w:p>
        </w:tc>
        <w:tc>
          <w:tcPr>
            <w:tcW w:w="38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7,117,747</w:t>
            </w:r>
          </w:p>
        </w:tc>
        <w:tc>
          <w:tcPr>
            <w:tcW w:w="80" w:type="dxa"/>
            <w:vAlign w:val="bottom"/>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Consolidated Statements of Shareholder’s Equity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(Except share and per share data)</w:t>
      </w:r>
    </w:p>
    <w:p>
      <w:pPr>
        <w:sectPr>
          <w:pgSz w:w="11900" w:h="16838" w:orient="portrait"/>
          <w:cols w:equalWidth="0" w:num="1">
            <w:col w:w="11240"/>
          </w:cols>
          <w:pgMar w:left="320" w:top="6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Balances,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Share-based compensation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Balances,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660" w:type="dxa"/>
            <w:vAlign w:val="bottom"/>
            <w:gridSpan w:val="3"/>
            <w:vMerge w:val="restart"/>
          </w:tcPr>
          <w:p>
            <w:pPr>
              <w:jc w:val="right"/>
              <w:ind w:right="21"/>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Paid-In</w:t>
            </w:r>
          </w:p>
        </w:tc>
        <w:tc>
          <w:tcPr>
            <w:tcW w:w="10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Treasury</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1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28"/>
        </w:trPr>
        <w:tc>
          <w:tcPr>
            <w:tcW w:w="1660" w:type="dxa"/>
            <w:vAlign w:val="bottom"/>
            <w:tcBorders>
              <w:bottom w:val="single" w:sz="8" w:color="auto"/>
            </w:tcBorders>
            <w:gridSpan w:val="3"/>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Capital</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19"/>
                <w:szCs w:val="19"/>
                <w:color w:val="auto"/>
              </w:rPr>
            </w:pPr>
          </w:p>
        </w:tc>
        <w:tc>
          <w:tcPr>
            <w:tcW w:w="98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Shares</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81"/>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02"/>
        </w:trPr>
        <w:tc>
          <w:tcPr>
            <w:tcW w:w="8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7,108,133</w:t>
            </w:r>
          </w:p>
        </w:tc>
        <w:tc>
          <w:tcPr>
            <w:tcW w:w="320" w:type="dxa"/>
            <w:vAlign w:val="bottom"/>
          </w:tcPr>
          <w:p>
            <w:pPr>
              <w:spacing w:after="0"/>
              <w:rPr>
                <w:sz w:val="17"/>
                <w:szCs w:val="17"/>
                <w:color w:val="auto"/>
              </w:rPr>
            </w:pPr>
          </w:p>
        </w:tc>
        <w:tc>
          <w:tcPr>
            <w:tcW w:w="500" w:type="dxa"/>
            <w:vAlign w:val="bottom"/>
            <w:tcBorders>
              <w:top w:val="single" w:sz="8" w:color="auto"/>
            </w:tcBorders>
          </w:tcPr>
          <w:p>
            <w:pPr>
              <w:jc w:val="right"/>
              <w:ind w:right="34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68,516</w:t>
            </w:r>
          </w:p>
        </w:tc>
        <w:tc>
          <w:tcPr>
            <w:tcW w:w="320" w:type="dxa"/>
            <w:vAlign w:val="bottom"/>
          </w:tcPr>
          <w:p>
            <w:pPr>
              <w:spacing w:after="0"/>
              <w:rPr>
                <w:sz w:val="17"/>
                <w:szCs w:val="17"/>
                <w:color w:val="auto"/>
              </w:rPr>
            </w:pPr>
          </w:p>
        </w:tc>
        <w:tc>
          <w:tcPr>
            <w:tcW w:w="700" w:type="dxa"/>
            <w:vAlign w:val="bottom"/>
            <w:tcBorders>
              <w:top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ind w:left="320"/>
              <w:spacing w:after="0" w:line="201" w:lineRule="exact"/>
              <w:rPr>
                <w:sz w:val="20"/>
                <w:szCs w:val="20"/>
                <w:color w:val="auto"/>
              </w:rPr>
            </w:pPr>
            <w:r>
              <w:rPr>
                <w:rFonts w:ascii="Arial" w:cs="Arial" w:eastAsia="Arial" w:hAnsi="Arial"/>
                <w:sz w:val="18"/>
                <w:szCs w:val="18"/>
                <w:color w:val="auto"/>
                <w:w w:val="77"/>
              </w:rPr>
              <w:t>(44,280)</w:t>
            </w:r>
          </w:p>
        </w:tc>
        <w:tc>
          <w:tcPr>
            <w:tcW w:w="3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24,308</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1,386</w:t>
            </w:r>
          </w:p>
        </w:tc>
        <w:tc>
          <w:tcPr>
            <w:tcW w:w="700" w:type="dxa"/>
            <w:vAlign w:val="bottom"/>
          </w:tcPr>
          <w:p>
            <w:pPr>
              <w:spacing w:after="0"/>
              <w:rPr>
                <w:sz w:val="18"/>
                <w:szCs w:val="18"/>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1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21"/>
                <w:szCs w:val="21"/>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(11,313)</w:t>
            </w:r>
          </w:p>
        </w:tc>
        <w:tc>
          <w:tcPr>
            <w:tcW w:w="1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(11,313)</w:t>
            </w:r>
          </w:p>
        </w:tc>
        <w:tc>
          <w:tcPr>
            <w:tcW w:w="0" w:type="dxa"/>
            <w:vAlign w:val="bottom"/>
          </w:tcPr>
          <w:p>
            <w:pPr>
              <w:spacing w:after="0"/>
              <w:rPr>
                <w:sz w:val="1"/>
                <w:szCs w:val="1"/>
                <w:color w:val="auto"/>
              </w:rPr>
            </w:pPr>
          </w:p>
        </w:tc>
      </w:tr>
      <w:tr>
        <w:trPr>
          <w:trHeight w:val="229"/>
        </w:trPr>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7,108,133</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69,902</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5"/>
              </w:rPr>
              <w:t>(55,593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14,381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-616585</wp:posOffset>
            </wp:positionV>
            <wp:extent cx="713232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-334010</wp:posOffset>
            </wp:positionV>
            <wp:extent cx="71323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00" w:space="720"/>
            <w:col w:w="6920"/>
          </w:cols>
          <w:pgMar w:left="320" w:top="66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Balances, December 31, 2019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7,185,628</w:t>
            </w:r>
          </w:p>
        </w:tc>
        <w:tc>
          <w:tcPr>
            <w:tcW w:w="4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69,954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(3,375)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(35,111)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31,540</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Cancellation of treasury Common Stock</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(83,333)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(3,374)</w:t>
            </w:r>
          </w:p>
        </w:tc>
        <w:tc>
          <w:tcPr>
            <w:tcW w:w="2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3,375</w:t>
            </w:r>
          </w:p>
        </w:tc>
        <w:tc>
          <w:tcPr>
            <w:tcW w:w="280" w:type="dxa"/>
            <w:vAlign w:val="bottom"/>
          </w:tcPr>
          <w:p>
            <w:pPr>
              <w:spacing w:after="0"/>
              <w:rPr>
                <w:sz w:val="18"/>
                <w:szCs w:val="18"/>
                <w:color w:val="auto"/>
              </w:rPr>
            </w:pPr>
          </w:p>
        </w:tc>
        <w:tc>
          <w:tcPr>
            <w:tcW w:w="10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1,937</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1,937</w:t>
            </w:r>
          </w:p>
        </w:tc>
      </w:tr>
      <w:tr>
        <w:trPr>
          <w:trHeight w:val="237"/>
        </w:trPr>
        <w:tc>
          <w:tcPr>
            <w:tcW w:w="43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181"/>
              <w:spacing w:after="0"/>
              <w:rPr>
                <w:sz w:val="20"/>
                <w:szCs w:val="20"/>
                <w:color w:val="auto"/>
              </w:rPr>
            </w:pPr>
            <w:r>
              <w:rPr>
                <w:rFonts w:ascii="Arial" w:cs="Arial" w:eastAsia="Arial" w:hAnsi="Arial"/>
                <w:sz w:val="18"/>
                <w:szCs w:val="18"/>
                <w:color w:val="auto"/>
              </w:rPr>
              <w:t>(9,169)</w:t>
            </w:r>
          </w:p>
        </w:tc>
        <w:tc>
          <w:tcPr>
            <w:tcW w:w="3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(9,169)</w:t>
            </w:r>
          </w:p>
        </w:tc>
      </w:tr>
      <w:tr>
        <w:trPr>
          <w:trHeight w:val="229"/>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7,108,133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68,516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68" w:name="page69"/>
    <w:bookmarkEnd w:id="68"/>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For the Years Ended December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Arial" w:cs="Arial" w:eastAsia="Arial" w:hAnsi="Arial"/>
                <w:sz w:val="18"/>
                <w:szCs w:val="18"/>
                <w:color w:val="auto"/>
              </w:rPr>
              <w:t>(11,313)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(9,169)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flows from operating activities: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from convertible loan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Non-cash and accrued interest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36"/>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operating activities</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Investing activities: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Investment in convertible loan</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investment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Purchase of marketable securities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50"/>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marketable security</w:t>
            </w: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2,999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0"/>
        </w:trPr>
        <w:tc>
          <w:tcPr>
            <w:tcW w:w="62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flows from investing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3,200</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60" w:type="dxa"/>
            <w:vAlign w:val="bottom"/>
          </w:tcPr>
          <w:p>
            <w:pPr>
              <w:ind w:left="180"/>
              <w:spacing w:after="0"/>
              <w:rPr>
                <w:sz w:val="20"/>
                <w:szCs w:val="20"/>
                <w:color w:val="auto"/>
              </w:rPr>
            </w:pPr>
            <w:r>
              <w:rPr>
                <w:rFonts w:ascii="Arial" w:cs="Arial" w:eastAsia="Arial" w:hAnsi="Arial"/>
                <w:sz w:val="18"/>
                <w:szCs w:val="18"/>
                <w:color w:val="auto"/>
              </w:rPr>
              <w:t>Repayment of shareholders investment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(3,375)</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flows from financing activities</w:t>
            </w: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cash, cash equivalents and restricted cash</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(13,395)</w:t>
            </w:r>
          </w:p>
        </w:tc>
        <w:tc>
          <w:tcPr>
            <w:tcW w:w="0" w:type="dxa"/>
            <w:vAlign w:val="bottom"/>
          </w:tcPr>
          <w:p>
            <w:pPr>
              <w:spacing w:after="0"/>
              <w:rPr>
                <w:sz w:val="1"/>
                <w:szCs w:val="1"/>
                <w:color w:val="auto"/>
              </w:rPr>
            </w:pP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period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0" w:type="dxa"/>
            <w:vAlign w:val="bottom"/>
            <w:gridSpan w:val="2"/>
          </w:tcPr>
          <w:p>
            <w:pPr>
              <w:jc w:val="right"/>
              <w:ind w:right="21"/>
              <w:spacing w:after="0"/>
              <w:rPr>
                <w:sz w:val="20"/>
                <w:szCs w:val="20"/>
                <w:color w:val="auto"/>
              </w:rPr>
            </w:pPr>
            <w:r>
              <w:rPr>
                <w:rFonts w:ascii="Arial" w:cs="Arial" w:eastAsia="Arial" w:hAnsi="Arial"/>
                <w:sz w:val="18"/>
                <w:szCs w:val="18"/>
                <w:color w:val="auto"/>
              </w:rPr>
              <w:t>33,129</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ending of period</w:t>
            </w:r>
          </w:p>
        </w:tc>
        <w:tc>
          <w:tcPr>
            <w:tcW w:w="8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from litigation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received from interest</w:t>
            </w:r>
          </w:p>
        </w:tc>
        <w:tc>
          <w:tcPr>
            <w:tcW w:w="7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260" w:type="dxa"/>
            <w:vAlign w:val="bottom"/>
            <w:tcBorders>
              <w:bottom w:val="single" w:sz="8" w:color="CCEEFF"/>
            </w:tcBorders>
            <w:vMerge w:val="continue"/>
          </w:tcPr>
          <w:p>
            <w:pPr>
              <w:spacing w:after="0"/>
              <w:rPr>
                <w:sz w:val="20"/>
                <w:szCs w:val="20"/>
                <w:color w:val="auto"/>
              </w:rPr>
            </w:pPr>
          </w:p>
        </w:tc>
        <w:tc>
          <w:tcPr>
            <w:tcW w:w="7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26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Right-of-use assets and lease liability</w:t>
            </w:r>
          </w:p>
        </w:tc>
        <w:tc>
          <w:tcPr>
            <w:tcW w:w="7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GENERAL</w:t>
      </w:r>
    </w:p>
    <w:p>
      <w:pPr>
        <w:spacing w:after="0" w:line="225"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Description of business: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Company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6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and its subsidiaries are collectively referred to as the “Company”.</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To date, the Company has not generated revenues from its operations. As of December 31, 2021, the Company had unrestricted cash, cash equivalent and marketable securities balance of approximately $15,492 excluding encumbered cash, which management believes is sufficient to fund its operations for more than 12 months from the date of issuance of these financial statements and sufficient to fund its operations necessary to continue development activities of its current proposed products with full flexibilities to adjust its costs to the cash needed for the next 12 months.</w:t>
      </w:r>
    </w:p>
    <w:p>
      <w:pPr>
        <w:spacing w:after="0" w:line="188" w:lineRule="exact"/>
        <w:rPr>
          <w:sz w:val="20"/>
          <w:szCs w:val="20"/>
          <w:color w:val="auto"/>
        </w:rPr>
      </w:pPr>
    </w:p>
    <w:p>
      <w:pPr>
        <w:jc w:val="both"/>
        <w:ind w:left="980"/>
        <w:spacing w:after="0" w:line="290" w:lineRule="auto"/>
        <w:rPr>
          <w:sz w:val="20"/>
          <w:szCs w:val="20"/>
          <w:color w:val="auto"/>
        </w:rPr>
      </w:pPr>
      <w:r>
        <w:rPr>
          <w:rFonts w:ascii="Arial" w:cs="Arial" w:eastAsia="Arial" w:hAnsi="Arial"/>
          <w:sz w:val="16"/>
          <w:szCs w:val="16"/>
          <w:color w:val="auto"/>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As noted above, Company’s management and board of directors believe that the existing funds are sufficient to fund the Company’s operations for more than 12 months, even without raising additional funds.</w:t>
      </w:r>
    </w:p>
    <w:p>
      <w:pPr>
        <w:spacing w:after="0" w:line="165"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An epidemic of the coronavirus disease (“COVID-19”) is ongoing throughout the world. As the outbreak is still evolving, much of its impact continues to change. As of this filing, it is impossible to predict future effects and potential spread of the coronavirus disease globally. The coronavirus disease may cause significant delays and disruptions to our pre-clinical studies.</w:t>
      </w:r>
    </w:p>
    <w:p>
      <w:pPr>
        <w:spacing w:after="0" w:line="184" w:lineRule="exact"/>
        <w:rPr>
          <w:sz w:val="20"/>
          <w:szCs w:val="20"/>
          <w:color w:val="auto"/>
        </w:rPr>
      </w:pPr>
    </w:p>
    <w:p>
      <w:pPr>
        <w:jc w:val="both"/>
        <w:ind w:left="980"/>
        <w:spacing w:after="0" w:line="293" w:lineRule="auto"/>
        <w:rPr>
          <w:sz w:val="20"/>
          <w:szCs w:val="20"/>
          <w:color w:val="auto"/>
        </w:rPr>
      </w:pPr>
      <w:r>
        <w:rPr>
          <w:rFonts w:ascii="Arial" w:cs="Arial" w:eastAsia="Arial" w:hAnsi="Arial"/>
          <w:sz w:val="16"/>
          <w:szCs w:val="16"/>
          <w:color w:val="auto"/>
        </w:rPr>
        <w:t>Additionally, travel restrictions have been implemented with respect to certain countries in an effort to contain the coronavirus disease, and several countries have expanded screenings of travelers. As travel restrictions may be implemented and adopted by countries around the world,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its products.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left="980"/>
        <w:spacing w:after="0" w:line="273" w:lineRule="auto"/>
        <w:rPr>
          <w:sz w:val="20"/>
          <w:szCs w:val="20"/>
          <w:color w:val="auto"/>
        </w:rPr>
      </w:pPr>
      <w:r>
        <w:rPr>
          <w:rFonts w:ascii="Arial" w:cs="Arial" w:eastAsia="Arial" w:hAnsi="Arial"/>
          <w:sz w:val="17"/>
          <w:szCs w:val="17"/>
          <w:color w:val="auto"/>
        </w:rPr>
        <w:t>The ultimate impact of the COVID-19 outbreaks or similar health epidemics are highly uncertain and subject to changes, and the Company cannot presently predict the scope and severity of any potential business shutdowns or disruptions. However, if the Company or any of the third parties with whom the Company’s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spacing w:after="0" w:line="174"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Use of estimates:</w:t>
      </w:r>
    </w:p>
    <w:p>
      <w:pPr>
        <w:spacing w:after="0" w:line="229" w:lineRule="exact"/>
        <w:rPr>
          <w:sz w:val="20"/>
          <w:szCs w:val="20"/>
          <w:color w:val="auto"/>
        </w:rPr>
      </w:pPr>
    </w:p>
    <w:p>
      <w:pPr>
        <w:jc w:val="both"/>
        <w:ind w:left="98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significant accounting policies applied in the preparation of the financial statements are as follows:</w:t>
      </w:r>
    </w:p>
    <w:p>
      <w:pPr>
        <w:spacing w:after="0" w:line="221"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(“US GAAP”).</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Financial statement in U.S. dollars: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functional currency of the Company is the U.S. dollar (“dollar”) since the dollar is the currency of the primary economic environment in which the Company has operated and expects to continue to operate in the foreseeable future.</w:t>
      </w:r>
    </w:p>
    <w:p>
      <w:pPr>
        <w:spacing w:after="0" w:line="170"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color w:val="auto"/>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spacing w:after="0" w:line="146"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All transaction gains and losses from re-measurement of monetary balance sheet items denominated in non-dollar currencies are reflected in the statement of operations as financial income or expenses, as appropriate.</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Principles of consolidation:</w:t>
      </w:r>
    </w:p>
    <w:p>
      <w:pPr>
        <w:spacing w:after="0" w:line="229"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subsidiary. Inter-company balances and transactions have been eliminated in consolidation.</w:t>
      </w:r>
    </w:p>
    <w:p>
      <w:pPr>
        <w:spacing w:after="0" w:line="166"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Cash and cash equivalents: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Cash and cash equivalents consist of cash and demand deposits in banks, and other short-term liquid investments (primarily interest-bearing time deposits) with original maturities of less than three months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980"/>
        <w:spacing w:after="0"/>
        <w:tabs>
          <w:tab w:leader="none" w:pos="128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Restricted cash:</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Restricted cash as of December 31, 2021 and 2020 included an $87 and $84, respectively, collateral account for the Company’s leases agreements and credit line from the bank.</w:t>
      </w:r>
    </w:p>
    <w:p>
      <w:pPr>
        <w:spacing w:after="0" w:line="166"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70"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Company measures the fair value of certain of its financial instruments (such as marketable securities) on a recurring basis. The method of determining the fair value of marketable securities is discussed in Note 3.</w:t>
      </w:r>
    </w:p>
    <w:p>
      <w:pPr>
        <w:spacing w:after="0" w:line="170" w:lineRule="exact"/>
        <w:rPr>
          <w:sz w:val="20"/>
          <w:szCs w:val="20"/>
          <w:color w:val="auto"/>
        </w:rPr>
      </w:pPr>
    </w:p>
    <w:p>
      <w:pPr>
        <w:jc w:val="both"/>
        <w:ind w:left="980" w:right="20"/>
        <w:spacing w:after="0" w:line="277" w:lineRule="auto"/>
        <w:rPr>
          <w:sz w:val="20"/>
          <w:szCs w:val="20"/>
          <w:color w:val="auto"/>
        </w:rPr>
      </w:pPr>
      <w:r>
        <w:rPr>
          <w:rFonts w:ascii="Arial" w:cs="Arial" w:eastAsia="Arial" w:hAnsi="Arial"/>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(unadjusted) in active markets for identical assets and liabilities.</w:t>
      </w:r>
    </w:p>
    <w:p>
      <w:pPr>
        <w:spacing w:after="0" w:line="225" w:lineRule="exact"/>
        <w:rPr>
          <w:sz w:val="20"/>
          <w:szCs w:val="20"/>
          <w:color w:val="auto"/>
        </w:rPr>
      </w:pPr>
    </w:p>
    <w:p>
      <w:pPr>
        <w:jc w:val="both"/>
        <w:ind w:left="980"/>
        <w:spacing w:after="0" w:line="266"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Level 1 that are observable, either directly or indirectly, such as unadjusted quoted prices for similar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9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  Concentrations of credit risk</w:t>
      </w:r>
    </w:p>
    <w:p>
      <w:pPr>
        <w:spacing w:after="0" w:line="229" w:lineRule="exact"/>
        <w:rPr>
          <w:sz w:val="20"/>
          <w:szCs w:val="20"/>
          <w:color w:val="auto"/>
        </w:rPr>
      </w:pPr>
    </w:p>
    <w:p>
      <w:pPr>
        <w:jc w:val="both"/>
        <w:ind w:left="980"/>
        <w:spacing w:after="0" w:line="257" w:lineRule="auto"/>
        <w:rPr>
          <w:sz w:val="20"/>
          <w:szCs w:val="20"/>
          <w:color w:val="auto"/>
        </w:rPr>
      </w:pPr>
      <w:r>
        <w:rPr>
          <w:rFonts w:ascii="Arial" w:cs="Arial" w:eastAsia="Arial" w:hAnsi="Arial"/>
          <w:sz w:val="18"/>
          <w:szCs w:val="18"/>
          <w:color w:val="auto"/>
        </w:rPr>
        <w:t>Financial instruments which potentially subject the Company to credit risk consist primarily of cash and cash equivalents.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H.  Property and equipment:</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Property and equipment are presented at costs less accumulated depreciation. Depreciation is calculated based on the straight-line method over the estimated useful lives of the assets, at the following annual 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6340" w:type="dxa"/>
            <w:vAlign w:val="bottom"/>
            <w:gridSpan w:val="2"/>
          </w:tcPr>
          <w:p>
            <w:pPr>
              <w:jc w:val="right"/>
              <w:ind w:right="8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Research equipment and software</w:t>
            </w:r>
          </w:p>
        </w:tc>
        <w:tc>
          <w:tcPr>
            <w:tcW w:w="634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6340" w:type="dxa"/>
            <w:vAlign w:val="bottom"/>
            <w:gridSpan w:val="2"/>
          </w:tcPr>
          <w:p>
            <w:pPr>
              <w:jc w:val="right"/>
              <w:ind w:right="87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Over the lease period</w:t>
            </w:r>
          </w:p>
        </w:tc>
        <w:tc>
          <w:tcPr>
            <w:tcW w:w="560" w:type="dxa"/>
            <w:vAlign w:val="bottom"/>
          </w:tcPr>
          <w:p>
            <w:pPr>
              <w:spacing w:after="0"/>
              <w:rPr>
                <w:sz w:val="18"/>
                <w:szCs w:val="18"/>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3"/>
          </w:tcPr>
          <w:p>
            <w:pPr>
              <w:ind w:left="1220"/>
              <w:spacing w:after="0"/>
              <w:rPr>
                <w:sz w:val="20"/>
                <w:szCs w:val="20"/>
                <w:color w:val="auto"/>
              </w:rPr>
            </w:pPr>
            <w:r>
              <w:rPr>
                <w:rFonts w:ascii="Arial" w:cs="Arial" w:eastAsia="Arial" w:hAnsi="Arial"/>
                <w:sz w:val="18"/>
                <w:szCs w:val="18"/>
                <w:color w:val="auto"/>
              </w:rPr>
              <w:t>F-10</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2" w:name="page73"/>
    <w:bookmarkEnd w:id="72"/>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320" w:hanging="320"/>
        <w:spacing w:after="0"/>
        <w:tabs>
          <w:tab w:leader="none" w:pos="3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due to termination of employment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balance sheets.</w:t>
      </w:r>
    </w:p>
    <w:p>
      <w:pPr>
        <w:spacing w:after="0" w:line="184" w:lineRule="exact"/>
        <w:rPr>
          <w:sz w:val="20"/>
          <w:szCs w:val="20"/>
          <w:color w:val="auto"/>
        </w:rPr>
      </w:pPr>
    </w:p>
    <w:p>
      <w:pPr>
        <w:ind w:left="320" w:hanging="320"/>
        <w:spacing w:after="0"/>
        <w:tabs>
          <w:tab w:leader="none" w:pos="3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net loss per share is calculated by dividing net loss attributable to common stock shareholders by the weighted average number of shares of common stock outstanding during the year without consideration of potentially dilutive securities. Diluted net loss per share is calculated by giving effect to all potentially dilutive securities outstanding for the period using the treasury share method.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outstanding stock options and warrants have been excluded from the calculation of the diluted loss per share for the years ended December 31, 2021 and December 31, 2020, since all such securities have an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Research and development expenses,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are charged to the statement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spacing w:after="0" w:line="18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L.</w:t>
      </w:r>
      <w:r>
        <w:rPr>
          <w:sz w:val="20"/>
          <w:szCs w:val="20"/>
          <w:color w:val="auto"/>
        </w:rPr>
        <w:tab/>
      </w:r>
      <w:r>
        <w:rPr>
          <w:rFonts w:ascii="Arial" w:cs="Arial" w:eastAsia="Arial" w:hAnsi="Arial"/>
          <w:sz w:val="15"/>
          <w:szCs w:val="15"/>
          <w:b w:val="1"/>
          <w:bCs w:val="1"/>
          <w:color w:val="auto"/>
        </w:rPr>
        <w:t>Share-based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 which is recognized based on a straight-line method. The Company recognizes compensation cost for an equity classified award with only service conditions that has a graded vesting schedule on a straight-line basis over the requisite service period for the entire award, provided that the cumulative amount of compensation cost recognized at any date at least equals the portion of the grant date fair value of such award that is vested at that 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shares and warrant grants issued to non-employees using the guidance of ASU No. 2018-07 “Compensation - Stock Compensation (Topic 718): Improvements to Nonemployee Share-Based Payment Accounting.” which expand the scope of Topic 718, Compensation - Stock Compensation (which currently only includes share-based payments to employees) to include share-based payments issued to nonemployees for goods or services.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w:t>
      </w:r>
    </w:p>
    <w:p>
      <w:pPr>
        <w:spacing w:after="0" w:line="1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3" w:name="page74"/>
    <w:bookmarkEnd w:id="73"/>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2021, and 2020, the Company had a full valuation allowance against deferred tax assets.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N.</w:t>
      </w:r>
      <w:r>
        <w:rPr>
          <w:sz w:val="20"/>
          <w:szCs w:val="20"/>
          <w:color w:val="auto"/>
        </w:rPr>
        <w:tab/>
      </w:r>
      <w:r>
        <w:rPr>
          <w:rFonts w:ascii="Arial" w:cs="Arial" w:eastAsia="Arial" w:hAnsi="Arial"/>
          <w:sz w:val="16"/>
          <w:szCs w:val="16"/>
          <w:b w:val="1"/>
          <w:bCs w:val="1"/>
          <w:color w:val="auto"/>
        </w:rPr>
        <w:t>Marketable securities: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Marketable debt securities are considered to be available for sale and are carried at fair value. Unrealized gains and losses net of tax, if any, are reported as a separate component of shareholders’ equity. The cost of marketable debt securities classified as available for sale is adjusted for amortization of premiums and accretion of discounts to maturity. Such amortization and accretion are included in interest income. Realized gains and losses and declines in value judged to be other than temporary, if any, are also included in other income, net. Interest on securities classified as available for sale is included in interest income. The cost of securities sold is based on the specific identification method.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evaluates whether available-for-sale securities are other-than-temporarily impaired (OTTI) on a quarterly basis. Debt securities with unrealized losses are considered OTTI if the Company intends to sell the security or if it is more likely than not that the Company will be required to sell such security prior to any anticipated recovery. If management determines that a security is OTTI under these circumstances, the impairment recognized in earnings is measured as the entire difference between the amortized cost and the then-current fair value. During the years 2021 and 2020, no investment OTTI losses were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Leases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2016, the Financial Accounting Standards Board (“FASB”) issued ASU 2016-02, Leases (Topic 842). This ASU requires entities that lease assets to recognize on the balance sheet the assets and liabilities for the rights and obligations created by leases with lease terms of more than 12 months. The Company adopted this ASU effective January 1, 2019 using the modified retrospective application, applying the new standard to leases in place as of the adoption date. Prior periods have not been adjusted.</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Arrangements that are determined to be leases at inception are recognized as long-term right-of-use assets (“ROU”) and lease liabilities in the condensed consolidated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determines if an arrangement is a lease at inception. Operating lease assets are presented as operating lease right-of-use (“ROU”) assets, and corresponding as lease liabilities (current portion), and as operating long-term lease liabilities, on the Company’s consolidated balance sheets.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remaining lease payments over the lease term at commencement date. The Company’s leases do not provide an implicit interest rate. The Company calculates the incremental borrowing rate to reflect the interest rate that it would have to pay to borrow on a collateralized basis an amount equal to the lease payments in a similar economic environment over a similar term, and considers the Company’s historical borrowing activities and market data in this determination. The operating lease ROU asset also includes any lease payments made and excludes lease incentives and initial direct costs incurred. The Company’s lease terms may include options to extend or terminate the lease when it is reasonably certain that it will exercise that option. Lease expense for minimum lease payments is recognized on a straight-line basis over the lease term.</w:t>
      </w:r>
    </w:p>
    <w:p>
      <w:pPr>
        <w:spacing w:after="0" w:line="16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4" w:name="page75"/>
    <w:bookmarkEnd w:id="74"/>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lease agreements with lease and non-lease components, which it accounts for as a single lease component. The Company has elected not to recognize ROU assets and lease liabilities for short-term leases that have a term of 12 months or less. The effect of short-term leases on the Company’s ROU assets and lease liabilities was not material. The Company’s lease agreements do not contain any material residual value guarantees or material restrictive covenants. In addition, the Company does not have any related party leases and its sublease transactions are de minimis.</w:t>
      </w:r>
    </w:p>
    <w:p>
      <w:pPr>
        <w:spacing w:after="0" w:line="184" w:lineRule="exact"/>
        <w:rPr>
          <w:sz w:val="20"/>
          <w:szCs w:val="20"/>
          <w:color w:val="auto"/>
        </w:rPr>
      </w:pPr>
    </w:p>
    <w:p>
      <w:pPr>
        <w:ind w:left="320" w:hanging="320"/>
        <w:spacing w:after="0"/>
        <w:tabs>
          <w:tab w:leader="none" w:pos="3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records and discloses legal contingencies in accordance with ASC Topic 450 Contingencies. A provision is recorded when it is both probable that a liability has been incurred and the amount of the loss can be reasonably estimated. The Company monitors the stage of progress of its litigation matters to determine if any adjustments are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Recently issued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removing a variety of exceptions within the framework of ASC 740. These exceptions include the exception to the incremental approach for intra-period tax allocation in the event of a loss from continuing operations and income or a gain from other items (such as other comprehensive income), and the exception to using general methodology for the interim period tax accounting for year-to-date losses that exceed anticipated losses. The guidance will be effective for the Company beginning January 1, 2022, and interim periods in fiscal years beginning January 1, 2023. Early adoption is permitted. The Company is currently evaluating the effect that ASU 2019-12 will have on its consolidated financial statements.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Therefore, the adoption will not have a material effect on the Company’s consolidated financial statements.</w:t>
      </w:r>
    </w:p>
    <w:p>
      <w:pPr>
        <w:spacing w:after="0" w:line="16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R.</w:t>
      </w:r>
      <w:r>
        <w:rPr>
          <w:sz w:val="20"/>
          <w:szCs w:val="20"/>
          <w:color w:val="auto"/>
        </w:rPr>
        <w:tab/>
      </w:r>
      <w:r>
        <w:rPr>
          <w:rFonts w:ascii="Arial" w:cs="Arial" w:eastAsia="Arial" w:hAnsi="Arial"/>
          <w:sz w:val="15"/>
          <w:szCs w:val="15"/>
          <w:b w:val="1"/>
          <w:bCs w:val="1"/>
          <w:color w:val="auto"/>
        </w:rPr>
        <w:t>Recently issued accounting pronouncements not yet adopted</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2016, the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with early adoption permitted. The Company is currently evaluating the impact this guidance may have on its consolidated financial statements and related disclosures.</w:t>
      </w:r>
    </w:p>
    <w:p>
      <w:pPr>
        <w:spacing w:after="0" w:line="16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Fair value measurement</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following table summarizes the Company’s financial assets subject to fair value measurement and the level of inputs used in such measurements as of December 31, 2021 and 2020:</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As of December 31, 2021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0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Level 3</w:t>
            </w:r>
          </w:p>
        </w:tc>
        <w:tc>
          <w:tcPr>
            <w:tcW w:w="80" w:type="dxa"/>
            <w:vAlign w:val="bottom"/>
            <w:gridSpan w:val="2"/>
          </w:tcPr>
          <w:p>
            <w:pPr>
              <w:spacing w:after="0"/>
              <w:rPr>
                <w:sz w:val="20"/>
                <w:szCs w:val="20"/>
                <w:color w:val="auto"/>
              </w:rPr>
            </w:pPr>
          </w:p>
        </w:tc>
      </w:tr>
      <w:tr>
        <w:trPr>
          <w:trHeight w:val="216"/>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Cash equivalents:</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3"/>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8,587</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197"/>
        </w:trPr>
        <w:tc>
          <w:tcPr>
            <w:tcW w:w="3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Other money market funds</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1,999</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0"/>
        </w:trPr>
        <w:tc>
          <w:tcPr>
            <w:tcW w:w="3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As of December 31, 2020</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Level 3</w:t>
            </w:r>
          </w:p>
        </w:tc>
        <w:tc>
          <w:tcPr>
            <w:tcW w:w="80" w:type="dxa"/>
            <w:vAlign w:val="bottom"/>
          </w:tcPr>
          <w:p>
            <w:pPr>
              <w:spacing w:after="0"/>
              <w:rPr>
                <w:sz w:val="20"/>
                <w:szCs w:val="20"/>
                <w:color w:val="auto"/>
              </w:rPr>
            </w:pP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8,585</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3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money market funds</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9"/>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US Treasury Bond</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2,998</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2,998</w:t>
            </w:r>
          </w:p>
        </w:tc>
        <w:tc>
          <w:tcPr>
            <w:tcW w:w="8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7"/>
        </w:trPr>
        <w:tc>
          <w:tcPr>
            <w:tcW w:w="31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Total marketable securities</w:t>
            </w:r>
          </w:p>
        </w:tc>
        <w:tc>
          <w:tcPr>
            <w:tcW w:w="10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6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40" w:type="dxa"/>
            <w:vAlign w:val="bottom"/>
            <w:tcBorders>
              <w:top w:val="single" w:sz="8" w:color="CCEEFF"/>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tcPr>
          <w:p>
            <w:pPr>
              <w:spacing w:after="0"/>
              <w:rPr>
                <w:sz w:val="22"/>
                <w:szCs w:val="22"/>
                <w:color w:val="auto"/>
              </w:rPr>
            </w:pPr>
          </w:p>
        </w:tc>
      </w:tr>
      <w:tr>
        <w:trPr>
          <w:trHeight w:val="196"/>
        </w:trPr>
        <w:tc>
          <w:tcPr>
            <w:tcW w:w="3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investment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Company’s financial assets are measured at fair value on a recurring basis by level within the fair value hierarchy. The Company’s marketable securities and money market funds are classified as Level 1. Other than that, the Company doesn’t have any other financial assets or financial liabilities marked to market at fair value as of December 31, 2021 and 2020.</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contractual maturity of the marketable security is one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NOTE 4 - OTHER CURRENT ASSETS</w:t>
            </w:r>
          </w:p>
        </w:tc>
        <w:tc>
          <w:tcPr>
            <w:tcW w:w="1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3"/>
        </w:trPr>
        <w:tc>
          <w:tcPr>
            <w:tcW w:w="9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8"/>
                <w:szCs w:val="18"/>
                <w:b w:val="1"/>
                <w:bCs w:val="1"/>
                <w:color w:val="auto"/>
              </w:rPr>
              <w:t>As of 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government institutions</w:t>
            </w:r>
          </w:p>
        </w:tc>
        <w:tc>
          <w:tcPr>
            <w:tcW w:w="288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174</w:t>
            </w:r>
          </w:p>
        </w:tc>
        <w:tc>
          <w:tcPr>
            <w:tcW w:w="1100" w:type="dxa"/>
            <w:vAlign w:val="bottom"/>
            <w:shd w:val="clear" w:color="auto" w:fill="CCEEFF"/>
          </w:tcPr>
          <w:p>
            <w:pPr>
              <w:jc w:val="right"/>
              <w:ind w:right="94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Convertible loan investment</w:t>
            </w: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270</w:t>
            </w:r>
          </w:p>
        </w:tc>
        <w:tc>
          <w:tcPr>
            <w:tcW w:w="1280" w:type="dxa"/>
            <w:vAlign w:val="bottom"/>
          </w:tcPr>
          <w:p>
            <w:pPr>
              <w:spacing w:after="0"/>
              <w:rPr>
                <w:sz w:val="18"/>
                <w:szCs w:val="18"/>
                <w:color w:val="auto"/>
              </w:rPr>
            </w:pPr>
          </w:p>
        </w:tc>
      </w:tr>
      <w:tr>
        <w:trPr>
          <w:trHeight w:val="249"/>
        </w:trPr>
        <w:tc>
          <w:tcPr>
            <w:tcW w:w="98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others</w:t>
            </w:r>
          </w:p>
        </w:tc>
        <w:tc>
          <w:tcPr>
            <w:tcW w:w="17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110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128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4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80" w:type="dxa"/>
            <w:vAlign w:val="bottom"/>
            <w:tcBorders>
              <w:top w:val="single" w:sz="8" w:color="CCEEFF"/>
            </w:tcBorders>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1770"/>
              <w:spacing w:after="0"/>
              <w:rPr>
                <w:sz w:val="20"/>
                <w:szCs w:val="20"/>
                <w:color w:val="auto"/>
              </w:rPr>
            </w:pPr>
            <w:r>
              <w:rPr>
                <w:rFonts w:ascii="Arial" w:cs="Arial" w:eastAsia="Arial" w:hAnsi="Arial"/>
                <w:sz w:val="18"/>
                <w:szCs w:val="18"/>
                <w:color w:val="auto"/>
              </w:rPr>
              <w:t>F-14</w:t>
            </w: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In November 2019, the Company signed a lease agreement for the period from November 2019 till October 2022. In addition, the Company received an option to extend the lease agreement for additional 2 years.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monthly lease payments are approximately $16.</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To secure the lease payments the Company had issued bank guarantee of $48 in favor of the facility’s lessor.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b w:val="1"/>
                <w:bCs w:val="1"/>
                <w:color w:val="auto"/>
              </w:rPr>
              <w:t>For the Years Ended December 31,</w:t>
            </w: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5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 and expenses</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8180" w:type="dxa"/>
            <w:vAlign w:val="bottom"/>
            <w:gridSpan w:val="4"/>
          </w:tcPr>
          <w:p>
            <w:pPr>
              <w:spacing w:after="0"/>
              <w:rPr>
                <w:sz w:val="20"/>
                <w:szCs w:val="20"/>
                <w:color w:val="auto"/>
              </w:rPr>
            </w:pPr>
            <w:r>
              <w:rPr>
                <w:rFonts w:ascii="Arial" w:cs="Arial" w:eastAsia="Arial" w:hAnsi="Arial"/>
                <w:sz w:val="18"/>
                <w:szCs w:val="18"/>
                <w:color w:val="auto"/>
                <w:w w:val="95"/>
              </w:rPr>
              <w:t>Undiscounted maturities of operating lease payments as of December 31, 2021 are summarized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5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As of December 31,</w:t>
            </w:r>
          </w:p>
        </w:tc>
      </w:tr>
      <w:tr>
        <w:trPr>
          <w:trHeight w:val="241"/>
        </w:trPr>
        <w:tc>
          <w:tcPr>
            <w:tcW w:w="5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1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2025</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1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5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(76)</w:t>
            </w: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liability balance</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5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810"/>
              <w:spacing w:after="0"/>
              <w:rPr>
                <w:sz w:val="20"/>
                <w:szCs w:val="20"/>
                <w:color w:val="auto"/>
              </w:rPr>
            </w:pPr>
            <w:r>
              <w:rPr>
                <w:rFonts w:ascii="Arial" w:cs="Arial" w:eastAsia="Arial" w:hAnsi="Arial"/>
                <w:sz w:val="18"/>
                <w:szCs w:val="18"/>
                <w:b w:val="1"/>
                <w:bCs w:val="1"/>
                <w:color w:val="auto"/>
                <w:w w:val="92"/>
              </w:rPr>
              <w:t>As of December 31,</w:t>
            </w: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5"/>
              </w:rPr>
              <w:t>Operating leases weighted average remaining lease term (in years)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Operating leases weighted average discount rate</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gridSpan w:val="3"/>
          </w:tcPr>
          <w:p>
            <w:pPr>
              <w:ind w:left="52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0" w:type="dxa"/>
            <w:vAlign w:val="bottom"/>
            <w:gridSpan w:val="3"/>
          </w:tcPr>
          <w:p>
            <w:pPr>
              <w:ind w:left="340"/>
              <w:spacing w:after="0"/>
              <w:rPr>
                <w:sz w:val="20"/>
                <w:szCs w:val="20"/>
                <w:color w:val="auto"/>
              </w:rPr>
            </w:pPr>
            <w:r>
              <w:rPr>
                <w:rFonts w:ascii="Arial" w:cs="Arial" w:eastAsia="Arial" w:hAnsi="Arial"/>
                <w:sz w:val="18"/>
                <w:szCs w:val="18"/>
                <w:color w:val="auto"/>
                <w:w w:val="92"/>
              </w:rPr>
              <w:t>9%</w:t>
            </w:r>
          </w:p>
        </w:tc>
      </w:tr>
      <w:tr>
        <w:trPr>
          <w:trHeight w:val="425"/>
        </w:trPr>
        <w:tc>
          <w:tcPr>
            <w:tcW w:w="5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2290"/>
              <w:spacing w:after="0"/>
              <w:rPr>
                <w:sz w:val="20"/>
                <w:szCs w:val="20"/>
                <w:color w:val="auto"/>
              </w:rPr>
            </w:pPr>
            <w:r>
              <w:rPr>
                <w:rFonts w:ascii="Arial" w:cs="Arial" w:eastAsia="Arial" w:hAnsi="Arial"/>
                <w:sz w:val="18"/>
                <w:szCs w:val="18"/>
                <w:color w:val="auto"/>
              </w:rPr>
              <w:t>F-15</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NOTE 6 - PROPERTY AND EQUIPMENT, NET</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6"/>
          </w:tcPr>
          <w:p>
            <w:pPr>
              <w:ind w:left="3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Research equipment and software</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Furniture and office equipment</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equipment and software</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Leasehold improvement</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office equipment</w:t>
            </w: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45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289</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213</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45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ACCRUED LIABILITIES</w:t>
            </w: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7"/>
          </w:tcPr>
          <w:p>
            <w:pPr>
              <w:ind w:left="340"/>
              <w:spacing w:after="0"/>
              <w:rPr>
                <w:sz w:val="20"/>
                <w:szCs w:val="20"/>
                <w:color w:val="auto"/>
              </w:rPr>
            </w:pPr>
            <w:r>
              <w:rPr>
                <w:rFonts w:ascii="Arial" w:cs="Arial" w:eastAsia="Arial" w:hAnsi="Arial"/>
                <w:sz w:val="18"/>
                <w:szCs w:val="18"/>
                <w:b w:val="1"/>
                <w:bCs w:val="1"/>
                <w:color w:val="auto"/>
              </w:rPr>
              <w:t>As of December 31,</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5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Government Grants:</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Microbot Israel obtained from the Israeli Innovation Authority (“IIA”) grants for participation in research and development for the years 2013 through December 31, 2021 in the total amount of approximately $1,500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7"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TRDF Agreement:</w:t>
      </w:r>
    </w:p>
    <w:p>
      <w:pPr>
        <w:spacing w:after="0" w:line="22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8" w:name="page79"/>
    <w:bookmarkEnd w:id="78"/>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CardioSert Ltd.: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4, 2018, Microbot Israel entered into an agreement with CardioSert Ltd. (“CardioSert”) to acquire certain patent-protected technology owned by CardioSert (the “Technology”). 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 CardioSert agreed to assist Microbot Israel in the development of the Technology for a minimum of one year, for a monthly consultation fee of NIS 40,000 (or approximately US$12.86, based on an exchange rate of NIS 3.11 to the dollar) covering up to 60 consulting hours per month.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10, 2021, the Company entered into an At-the-Market Offering Agreement (the “ATM Agreement”) with H.C. Wainwright &amp; Co. LLC (“Wainwright”), as sales agent, in connection with an “at the market offering” under which the Company may offer and sell, from time to time in its sole discretion, shares of its common stock, par value $0.01 per share, having an aggregate offering price of up to $10,000 at market prices or as otherwise agreed with Wainwright. Any shares sold under the ATM Agreement from time to time will be offered and sold pursuant to the Company’s Registration Statement on Form S-3, which was initially filed on November 25, 2020 and which was declared effective by the SEC on December 4, 2020, and the related prospectus as supplemented by a prospectus supplement that the Company filed on June 10, 2021. To date, we have not sold any shares of common stock pursuant to the ATM Agreement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offer and sale of the shares pursuant to the ATM Agreement will terminate upon the earlier of (a) the issuance and sale of all of the shares of common stock subject to the ATM Agreement or (b) the termination of the ATM Agreement by Wainwright or the Company pursuant to the terms thereof. The Company has no obligation to sell any of the shares and may at any time suspend offers under the ATM Agreement or terminate the ATM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 agreement with Stryker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2021, the Company entered into a strategic collaboration agreement for technology co-development with Stryker Corporation, acting through its Neurovascular Division. Pursuant to the Agreement, the collaborative development program between the Company and Stryker aims to integrate certain of Stryker’s instruments with the Company’s LIBERTY Robotic System to address certain neurovascular procedures.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activities contemplated by the Agreement shall be specified in one or more development plans derived from the terms and conditions set forth in the Agreement. Each party bears its own costs and expenses in connection with the performance of the Agreement and its assigned development activities.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Company and Stryker shall retain its right, title and interest to its existing intellectual property. Jointly developed intellectual property shall be owned by a party, based on the nature of the intellectual property as it relates to each parties’ respective business, and licensed back to the other party pursuant to a worldwide, irrevocable, perpetual, royalty-free, paid-up, nonexclusive, sub-licensable license. Jointly developed intellectual property that is not exclusively pertaining to one party’s business shall be jointly and equally owned by both the Company and Stryker.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of the Agreement continues until the completion of the last development plan agreed upon, unless earlier terminated pursuant to the terms of the Agreement. The activities with Striker expected to start in the first quarter of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 Company and Stryker are subject to customary terms regarding non-disclosure of the other’s confidential information, and are further subject to mutual indemnification obligations.</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79" w:name="page80"/>
    <w:bookmarkEnd w:id="79"/>
    <w:p>
      <w:pPr>
        <w:jc w:val="center"/>
        <w:ind w:right="980"/>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Resulting from 2017 Financing</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complaint seeks rescission of the SPA and return of the Plaintiffs’ $6,750 purchase price with respect to the Financing. The Company filed a Motion to Dismiss on March 16, 2020, which was denied by decision and order entered on February 17, 2021. At this time no estimation of the potential outcome of the litigation can be made and as such, no allowance was recorded.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Alliance Litigation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amount of profits was estimated in the complaint to be approximately $468. Mona answered the 16(b) claim the Company asserted against him by claiming various equitable defenses, and filed a counterclaim against the Company under Section 10(b) of the Securities Exchange Act of 1934 and Rule 10b-5 promulgated thereunder, claiming a net loss on trading Microbot stock of $151.</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18, 2020, the Magistrate Judge recommended that: (i) judgment of $485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30, 2021, the Court issued an Order adopting the Magistrate Judge’s Report &amp; Recommendation; and on March 31, 2021, the Clerk entered Judgement against Joseph Mona and in favor of the Company in the amount of $484. On April 27, 2021, Mona filed an appeal of the Court’s Judgment, which is pending before the U.S. Court of Appeals for the Second Circuit.</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Share Capital Developments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December 31, 2021, and 2020, the Company has 7,108,133 shares of common stock issued and outstanding.</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During the year ended December 31, 2020, the Company granted Mr. Harel Gadot, the Company’s Chairman of the Board, President and CEO, options to purchase an aggregate of 166,666 shares of the Company’s common stock, at an exercise price per share of $9.64. The stock options vest over a period of one year as outlined in the option agreements evidencing such grant. As a result, the Company recognized compensation expenses for the year ended December 31, 2020 in the total amount of $1,237.</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During the year ended December 31, 2020, the Company granted certain employees, consultants and directors, options to purchase an aggregate of 47,479 shares of the Company’s common stock, at an exercise price per share of $6.16 - $8.16. The stock options vest over a period of 3 years as outlined in the option agreements evidencing such grants. As a result, the Company recognized compensation expenses for the year ended December 31, 2020 in the total amount of $700.</w:t>
      </w:r>
    </w:p>
    <w:p>
      <w:pPr>
        <w:spacing w:after="0" w:line="187"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During the year ended December 31, 2021, the Company granted to Mr. Harel Gadot, the Company’s Chairman of the Board, President and CEO, options to purchase an aggregate of 190,000 shares of the Company’s common stock, at an exercise price per share of $8.48. The stock options vest over a period of 2 years as outlined in the option agreements evidencing such grants. As a result, the Company recognized compensation expenses for the year ended December 31, 2021 in the total amount of $646.</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During the year ended December 31, 2021, the Company granted to certain employees and consultants and directors, options to purchase an aggregate of 231,426 shares of the Company’s common stock, at an exercise price per share of $6.72 - $7.26. The stock options vest over a period of 3 years as outlined in the option agreements evidencing such grants. As a result, the Company recognized compensation expenses for the year ended December 31, 2021 in the total amount of $740.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summary of the Company’s option activity related to options to employees and directors, and related information is as follows:</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4120" w:type="dxa"/>
            <w:vAlign w:val="bottom"/>
            <w:gridSpan w:val="6"/>
          </w:tcPr>
          <w:p>
            <w:pPr>
              <w:ind w:left="520"/>
              <w:spacing w:after="0"/>
              <w:rPr>
                <w:sz w:val="20"/>
                <w:szCs w:val="20"/>
                <w:color w:val="auto"/>
              </w:rPr>
            </w:pPr>
            <w:r>
              <w:rPr>
                <w:rFonts w:ascii="Arial" w:cs="Arial" w:eastAsia="Arial" w:hAnsi="Arial"/>
                <w:sz w:val="18"/>
                <w:szCs w:val="18"/>
                <w:b w:val="1"/>
                <w:bCs w:val="1"/>
                <w:color w:val="auto"/>
              </w:rPr>
              <w:t>For the Year Ended December 31, 2021</w:t>
            </w:r>
          </w:p>
        </w:tc>
      </w:tr>
      <w:tr>
        <w:trPr>
          <w:trHeight w:val="198"/>
        </w:trPr>
        <w:tc>
          <w:tcPr>
            <w:tcW w:w="48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r>
      <w:tr>
        <w:trPr>
          <w:trHeight w:val="241"/>
        </w:trPr>
        <w:tc>
          <w:tcPr>
            <w:tcW w:w="4860" w:type="dxa"/>
            <w:vAlign w:val="bottom"/>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b w:val="1"/>
                <w:bCs w:val="1"/>
                <w:color w:val="auto"/>
                <w:w w:val="94"/>
              </w:rPr>
              <w:t>Number of stock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48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20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575,722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w:t>
            </w:r>
          </w:p>
        </w:tc>
      </w:tr>
      <w:tr>
        <w:trPr>
          <w:trHeight w:val="237"/>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2020" w:type="dxa"/>
            <w:vAlign w:val="bottom"/>
            <w:gridSpan w:val="2"/>
          </w:tcPr>
          <w:p>
            <w:pPr>
              <w:ind w:left="1300"/>
              <w:spacing w:after="0"/>
              <w:rPr>
                <w:sz w:val="20"/>
                <w:szCs w:val="20"/>
                <w:color w:val="auto"/>
              </w:rPr>
            </w:pPr>
            <w:r>
              <w:rPr>
                <w:rFonts w:ascii="Arial" w:cs="Arial" w:eastAsia="Arial" w:hAnsi="Arial"/>
                <w:sz w:val="18"/>
                <w:szCs w:val="18"/>
                <w:color w:val="auto"/>
              </w:rPr>
              <w:t>421,426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r>
      <w:tr>
        <w:trPr>
          <w:trHeight w:val="23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2021</w:t>
            </w:r>
          </w:p>
        </w:tc>
        <w:tc>
          <w:tcPr>
            <w:tcW w:w="188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86"/>
              </w:rPr>
              <w:t>997,148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20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568,053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4860" w:type="dxa"/>
            <w:vAlign w:val="bottom"/>
          </w:tcPr>
          <w:p>
            <w:pPr>
              <w:spacing w:after="0"/>
              <w:rPr>
                <w:sz w:val="20"/>
                <w:szCs w:val="20"/>
                <w:color w:val="auto"/>
              </w:rPr>
            </w:pPr>
          </w:p>
        </w:tc>
        <w:tc>
          <w:tcPr>
            <w:tcW w:w="4120" w:type="dxa"/>
            <w:vAlign w:val="bottom"/>
            <w:gridSpan w:val="6"/>
          </w:tcPr>
          <w:p>
            <w:pPr>
              <w:ind w:left="520"/>
              <w:spacing w:after="0"/>
              <w:rPr>
                <w:sz w:val="20"/>
                <w:szCs w:val="20"/>
                <w:color w:val="auto"/>
              </w:rPr>
            </w:pPr>
            <w:r>
              <w:rPr>
                <w:rFonts w:ascii="Arial" w:cs="Arial" w:eastAsia="Arial" w:hAnsi="Arial"/>
                <w:sz w:val="18"/>
                <w:szCs w:val="18"/>
                <w:b w:val="1"/>
                <w:bCs w:val="1"/>
                <w:color w:val="auto"/>
              </w:rPr>
              <w:t>For the Year Ended December 31, 2020</w:t>
            </w:r>
          </w:p>
        </w:tc>
      </w:tr>
      <w:tr>
        <w:trPr>
          <w:trHeight w:val="198"/>
        </w:trPr>
        <w:tc>
          <w:tcPr>
            <w:tcW w:w="486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89"/>
              </w:rPr>
              <w:t>Weighted average</w:t>
            </w:r>
          </w:p>
        </w:tc>
        <w:tc>
          <w:tcPr>
            <w:tcW w:w="80" w:type="dxa"/>
            <w:vAlign w:val="bottom"/>
          </w:tcPr>
          <w:p>
            <w:pPr>
              <w:spacing w:after="0"/>
              <w:rPr>
                <w:sz w:val="17"/>
                <w:szCs w:val="17"/>
                <w:color w:val="auto"/>
              </w:rPr>
            </w:pPr>
          </w:p>
        </w:tc>
      </w:tr>
      <w:tr>
        <w:trPr>
          <w:trHeight w:val="241"/>
        </w:trPr>
        <w:tc>
          <w:tcPr>
            <w:tcW w:w="4860" w:type="dxa"/>
            <w:vAlign w:val="bottom"/>
          </w:tcPr>
          <w:p>
            <w:pPr>
              <w:spacing w:after="0"/>
              <w:rPr>
                <w:sz w:val="20"/>
                <w:szCs w:val="20"/>
                <w:color w:val="auto"/>
              </w:rPr>
            </w:pPr>
          </w:p>
        </w:tc>
        <w:tc>
          <w:tcPr>
            <w:tcW w:w="20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Number of stock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 price</w:t>
            </w:r>
          </w:p>
        </w:tc>
      </w:tr>
      <w:tr>
        <w:trPr>
          <w:trHeight w:val="216"/>
        </w:trPr>
        <w:tc>
          <w:tcPr>
            <w:tcW w:w="48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2019</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371,360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140"/>
              <w:spacing w:after="0"/>
              <w:rPr>
                <w:sz w:val="20"/>
                <w:szCs w:val="20"/>
                <w:color w:val="auto"/>
              </w:rPr>
            </w:pPr>
            <w:r>
              <w:rPr>
                <w:rFonts w:ascii="Arial" w:cs="Arial" w:eastAsia="Arial" w:hAnsi="Arial"/>
                <w:sz w:val="18"/>
                <w:szCs w:val="18"/>
                <w:color w:val="auto"/>
              </w:rPr>
              <w:t>214,145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4860" w:type="dxa"/>
            <w:vAlign w:val="bottom"/>
          </w:tcPr>
          <w:p>
            <w:pPr>
              <w:spacing w:after="0"/>
              <w:rPr>
                <w:sz w:val="20"/>
                <w:szCs w:val="20"/>
                <w:color w:val="auto"/>
              </w:rPr>
            </w:pPr>
            <w:r>
              <w:rPr>
                <w:rFonts w:ascii="Arial" w:cs="Arial" w:eastAsia="Arial" w:hAnsi="Arial"/>
                <w:sz w:val="18"/>
                <w:szCs w:val="18"/>
                <w:color w:val="auto"/>
              </w:rPr>
              <w:t>Forfeited</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(8,818)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2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332,104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17830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Less than $ 0.01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recognizes forfeitures of outstanding options as they occur.</w:t>
      </w:r>
    </w:p>
    <w:p>
      <w:pPr>
        <w:spacing w:after="0" w:line="225" w:lineRule="exact"/>
        <w:rPr>
          <w:sz w:val="20"/>
          <w:szCs w:val="20"/>
          <w:color w:val="auto"/>
        </w:rPr>
      </w:pPr>
    </w:p>
    <w:p>
      <w:pPr>
        <w:jc w:val="both"/>
        <w:ind w:left="980"/>
        <w:spacing w:after="0" w:line="286" w:lineRule="auto"/>
        <w:rPr>
          <w:sz w:val="20"/>
          <w:szCs w:val="20"/>
          <w:color w:val="auto"/>
        </w:rPr>
      </w:pPr>
      <w:r>
        <w:rPr>
          <w:rFonts w:ascii="Arial" w:cs="Arial" w:eastAsia="Arial" w:hAnsi="Arial"/>
          <w:sz w:val="17"/>
          <w:szCs w:val="17"/>
          <w:color w:val="auto"/>
        </w:rPr>
        <w:t>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December 31, 2021 and December 31, 2020, respectively.</w:t>
      </w:r>
    </w:p>
    <w:p>
      <w:pPr>
        <w:spacing w:after="0" w:line="16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As of December 31, 2021, and 2020, the aggregate intrinsic value of the outstanding options is $974 and $702 respectively, and the aggregate intrinsic value of the exercisable options is $815 and $657, respectively.</w:t>
      </w:r>
    </w:p>
    <w:p>
      <w:pPr>
        <w:spacing w:after="0" w:line="170"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As of December 31, 2021, there were approximately $2,143 of total unrecognized compensation costs, net of expected forfeitures, related to unvested share-based compensation awards granted under the Share Incentive Plan. The costs are expected to be recognized over a weighted average period of 1.8 years</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stock options outstanding as of December 31, 2021 and December 31, 2020, summarized by exercise prices,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remaining</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remaining</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Stock options</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Stock options</w:t>
            </w: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 life –</w:t>
            </w: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 life –</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 options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 options</w:t>
            </w: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outstanding as of</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outstanding as of</w:t>
            </w: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years as of</w:t>
            </w: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years as of</w:t>
            </w: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exercisable as of</w:t>
            </w:r>
          </w:p>
        </w:tc>
        <w:tc>
          <w:tcPr>
            <w:tcW w:w="1560" w:type="dxa"/>
            <w:vAlign w:val="bottom"/>
            <w:gridSpan w:val="2"/>
          </w:tcPr>
          <w:p>
            <w:pPr>
              <w:ind w:left="80"/>
              <w:spacing w:after="0"/>
              <w:rPr>
                <w:sz w:val="20"/>
                <w:szCs w:val="20"/>
                <w:color w:val="auto"/>
              </w:rPr>
            </w:pPr>
            <w:r>
              <w:rPr>
                <w:rFonts w:ascii="Arial" w:cs="Arial" w:eastAsia="Arial" w:hAnsi="Arial"/>
                <w:sz w:val="18"/>
                <w:szCs w:val="18"/>
                <w:b w:val="1"/>
                <w:bCs w:val="1"/>
                <w:color w:val="auto"/>
              </w:rPr>
              <w:t>exercisable as of</w:t>
            </w: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 $</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4.20</w:t>
            </w:r>
          </w:p>
        </w:tc>
        <w:tc>
          <w:tcPr>
            <w:tcW w:w="2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79"/>
              </w:rPr>
              <w:t>3.0</w:t>
            </w:r>
          </w:p>
        </w:tc>
        <w:tc>
          <w:tcPr>
            <w:tcW w:w="2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5.06</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15,808</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15,808</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7.8</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11,064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6,320</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5.95</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17,503</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17,503</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7.6</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13,564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6.16</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31,492</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31,492</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8.5</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16,834</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6,250</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6.72</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9.4</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31,249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7.00</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81,426</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9.8</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7.22</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11,084</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8.9</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7.26</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9.8</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8.16</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4,902</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4,902</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8.6</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2,328</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8.48</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190,000</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9.1</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8.60</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9,304</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9,304</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7.1</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85"/>
              </w:rPr>
              <w:t>9.00</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10,000</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6.6</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7,750</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9.64</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166,666</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166,666</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8.2</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166,666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240" w:type="dxa"/>
            <w:vAlign w:val="bottom"/>
          </w:tcPr>
          <w:p>
            <w:pPr>
              <w:jc w:val="center"/>
              <w:spacing w:after="0"/>
              <w:rPr>
                <w:sz w:val="20"/>
                <w:szCs w:val="20"/>
                <w:color w:val="auto"/>
              </w:rPr>
            </w:pPr>
            <w:r>
              <w:rPr>
                <w:rFonts w:ascii="Arial" w:cs="Arial" w:eastAsia="Arial" w:hAnsi="Arial"/>
                <w:sz w:val="18"/>
                <w:szCs w:val="18"/>
                <w:color w:val="auto"/>
                <w:w w:val="93"/>
              </w:rPr>
              <w:t>15.30</w:t>
            </w:r>
          </w:p>
        </w:tc>
        <w:tc>
          <w:tcPr>
            <w:tcW w:w="26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38,533</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38,533</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6.0</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38,533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38,533</w:t>
            </w:r>
          </w:p>
        </w:tc>
      </w:tr>
      <w:tr>
        <w:trPr>
          <w:trHeight w:val="216"/>
        </w:trPr>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15.75</w:t>
            </w: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131,007</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131,007</w:t>
            </w:r>
          </w:p>
        </w:tc>
        <w:tc>
          <w:tcPr>
            <w:tcW w:w="15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5.7</w:t>
            </w:r>
          </w:p>
        </w:tc>
        <w:tc>
          <w:tcPr>
            <w:tcW w:w="1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124,656</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118,308</w:t>
            </w:r>
          </w:p>
        </w:tc>
      </w:tr>
      <w:tr>
        <w:trPr>
          <w:trHeight w:val="237"/>
        </w:trPr>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61,577</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61,577</w:t>
            </w:r>
          </w:p>
        </w:tc>
        <w:tc>
          <w:tcPr>
            <w:tcW w:w="1540" w:type="dxa"/>
            <w:vAlign w:val="bottom"/>
            <w:gridSpan w:val="2"/>
          </w:tcPr>
          <w:p>
            <w:pPr>
              <w:ind w:left="1100"/>
              <w:spacing w:after="0"/>
              <w:rPr>
                <w:sz w:val="20"/>
                <w:szCs w:val="20"/>
                <w:color w:val="auto"/>
              </w:rPr>
            </w:pPr>
            <w:r>
              <w:rPr>
                <w:rFonts w:ascii="Arial" w:cs="Arial" w:eastAsia="Arial" w:hAnsi="Arial"/>
                <w:sz w:val="18"/>
                <w:szCs w:val="18"/>
                <w:color w:val="auto"/>
              </w:rPr>
              <w:t>4.3</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61,577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61,577</w:t>
            </w:r>
          </w:p>
        </w:tc>
      </w:tr>
      <w:tr>
        <w:trPr>
          <w:trHeight w:val="229"/>
        </w:trPr>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997,148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575,722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79"/>
              </w:rPr>
              <w:t>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Less than $0.01.</w:t>
      </w:r>
    </w:p>
    <w:p>
      <w:pPr>
        <w:spacing w:after="0" w:line="333" w:lineRule="exact"/>
        <w:rPr>
          <w:sz w:val="20"/>
          <w:szCs w:val="20"/>
          <w:color w:val="auto"/>
        </w:rPr>
      </w:pPr>
    </w:p>
    <w:p>
      <w:pPr>
        <w:ind w:left="980" w:right="20"/>
        <w:spacing w:after="0" w:line="277" w:lineRule="auto"/>
        <w:rPr>
          <w:sz w:val="20"/>
          <w:szCs w:val="20"/>
          <w:color w:val="auto"/>
        </w:rPr>
      </w:pPr>
      <w:r>
        <w:rPr>
          <w:rFonts w:ascii="Arial" w:cs="Arial" w:eastAsia="Arial" w:hAnsi="Arial"/>
          <w:sz w:val="18"/>
          <w:szCs w:val="18"/>
          <w:color w:val="auto"/>
        </w:rPr>
        <w:t>Compensation expense recorded by the Company for its stock-based employee compensation awards in accordance with ASC 718-10 for the years ended December 31, 2021 and 2020 was $1,386 and $1,937,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Employee Stock Option Grants</w:t>
      </w:r>
    </w:p>
    <w:p>
      <w:pPr>
        <w:spacing w:after="0" w:line="229"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grant date fair values of stock options granted in the years ended December 31, 2021 and 2020 were estimated using the Black-Scholes valuation model with the following:</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374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For the Years Ended December 31,</w:t>
            </w:r>
          </w:p>
        </w:tc>
      </w:tr>
      <w:tr>
        <w:trPr>
          <w:trHeight w:val="237"/>
        </w:trPr>
        <w:tc>
          <w:tcPr>
            <w:tcW w:w="4120" w:type="dxa"/>
            <w:vAlign w:val="bottom"/>
            <w:tcBorders>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top w:val="single" w:sz="8" w:color="auto"/>
              <w:bottom w:val="single" w:sz="8" w:color="CCEEFF"/>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118.34%-134.27%</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113.86%-135.21%</w:t>
            </w: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Risk-free interest</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0.42%-1.22%</w:t>
            </w: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0.33%-1.62%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Expected terms (years)</w:t>
            </w:r>
          </w:p>
        </w:tc>
        <w:tc>
          <w:tcPr>
            <w:tcW w:w="1940" w:type="dxa"/>
            <w:vAlign w:val="bottom"/>
            <w:gridSpan w:val="2"/>
          </w:tcPr>
          <w:p>
            <w:pPr>
              <w:jc w:val="right"/>
              <w:ind w:right="300"/>
              <w:spacing w:after="0"/>
              <w:rPr>
                <w:sz w:val="20"/>
                <w:szCs w:val="20"/>
                <w:color w:val="auto"/>
              </w:rPr>
            </w:pPr>
            <w:r>
              <w:rPr>
                <w:rFonts w:ascii="Arial" w:cs="Arial" w:eastAsia="Arial" w:hAnsi="Arial"/>
                <w:sz w:val="18"/>
                <w:szCs w:val="18"/>
                <w:color w:val="auto"/>
              </w:rPr>
              <w:t>5.28-5.33</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5.5-5.8</w:t>
            </w:r>
          </w:p>
        </w:tc>
      </w:tr>
    </w:tbl>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outstanding warrants and terms as of December 31, 2021 and 2020 are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Outstanding and</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exercisable as of December</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41"/>
        </w:trPr>
        <w:tc>
          <w:tcPr>
            <w:tcW w:w="3240" w:type="dxa"/>
            <w:vAlign w:val="bottom"/>
            <w:gridSpan w:val="2"/>
          </w:tcPr>
          <w:p>
            <w:pPr>
              <w:ind w:left="1000"/>
              <w:spacing w:after="0"/>
              <w:rPr>
                <w:sz w:val="20"/>
                <w:szCs w:val="20"/>
                <w:color w:val="auto"/>
              </w:rPr>
            </w:pPr>
            <w:r>
              <w:rPr>
                <w:rFonts w:ascii="Arial" w:cs="Arial" w:eastAsia="Arial" w:hAnsi="Arial"/>
                <w:sz w:val="18"/>
                <w:szCs w:val="18"/>
                <w:b w:val="1"/>
                <w:bCs w:val="1"/>
                <w:color w:val="auto"/>
              </w:rPr>
              <w:t>Issuance date</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31, 2021 and 2020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Exercise Price</w:t>
            </w:r>
          </w:p>
        </w:tc>
        <w:tc>
          <w:tcPr>
            <w:tcW w:w="140" w:type="dxa"/>
            <w:vAlign w:val="bottom"/>
          </w:tcPr>
          <w:p>
            <w:pPr>
              <w:spacing w:after="0"/>
              <w:rPr>
                <w:sz w:val="20"/>
                <w:szCs w:val="20"/>
                <w:color w:val="auto"/>
              </w:rPr>
            </w:pPr>
          </w:p>
        </w:tc>
        <w:tc>
          <w:tcPr>
            <w:tcW w:w="2020" w:type="dxa"/>
            <w:vAlign w:val="bottom"/>
          </w:tcPr>
          <w:p>
            <w:pPr>
              <w:ind w:left="220"/>
              <w:spacing w:after="0"/>
              <w:rPr>
                <w:sz w:val="20"/>
                <w:szCs w:val="20"/>
                <w:color w:val="auto"/>
              </w:rPr>
            </w:pPr>
            <w:r>
              <w:rPr>
                <w:rFonts w:ascii="Arial" w:cs="Arial" w:eastAsia="Arial" w:hAnsi="Arial"/>
                <w:sz w:val="18"/>
                <w:szCs w:val="18"/>
                <w:b w:val="1"/>
                <w:bCs w:val="1"/>
                <w:color w:val="auto"/>
                <w:w w:val="99"/>
              </w:rPr>
              <w:t>Exercisable Through</w:t>
            </w:r>
          </w:p>
        </w:tc>
      </w:tr>
      <w:tr>
        <w:trPr>
          <w:trHeight w:val="216"/>
        </w:trPr>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 (2013</w:t>
            </w: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9, 2023</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Series B (2016)</w:t>
            </w: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2,770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40.50</w:t>
            </w: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March 14, 2022</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1.2019</w:t>
            </w:r>
          </w:p>
        </w:tc>
        <w:tc>
          <w:tcPr>
            <w:tcW w:w="2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8,082</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July 14, 2022</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Warrant to underwriters 1.2019</w:t>
            </w: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29,500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July 15, 2022</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2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45,643</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13.13</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June 25, 2023</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Warrant to underwriters 12.2019</w:t>
            </w:r>
          </w:p>
        </w:tc>
        <w:tc>
          <w:tcPr>
            <w:tcW w:w="2300" w:type="dxa"/>
            <w:vAlign w:val="bottom"/>
            <w:gridSpan w:val="2"/>
          </w:tcPr>
          <w:p>
            <w:pPr>
              <w:jc w:val="right"/>
              <w:ind w:right="160"/>
              <w:spacing w:after="0"/>
              <w:rPr>
                <w:sz w:val="20"/>
                <w:szCs w:val="20"/>
                <w:color w:val="auto"/>
              </w:rPr>
            </w:pPr>
            <w:r>
              <w:rPr>
                <w:rFonts w:ascii="Arial" w:cs="Arial" w:eastAsia="Arial" w:hAnsi="Arial"/>
                <w:sz w:val="18"/>
                <w:szCs w:val="18"/>
                <w:color w:val="auto"/>
              </w:rPr>
              <w:t>47,619</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40"/>
              <w:spacing w:after="0"/>
              <w:rPr>
                <w:sz w:val="20"/>
                <w:szCs w:val="20"/>
                <w:color w:val="auto"/>
              </w:rPr>
            </w:pPr>
            <w:r>
              <w:rPr>
                <w:rFonts w:ascii="Arial" w:cs="Arial" w:eastAsia="Arial" w:hAnsi="Arial"/>
                <w:sz w:val="18"/>
                <w:szCs w:val="18"/>
                <w:color w:val="auto"/>
              </w:rPr>
              <w:t>13.13</w:t>
            </w:r>
          </w:p>
        </w:tc>
        <w:tc>
          <w:tcPr>
            <w:tcW w:w="2160" w:type="dxa"/>
            <w:vAlign w:val="bottom"/>
            <w:gridSpan w:val="2"/>
          </w:tcPr>
          <w:p>
            <w:pPr>
              <w:ind w:left="140"/>
              <w:spacing w:after="0"/>
              <w:rPr>
                <w:sz w:val="20"/>
                <w:szCs w:val="20"/>
                <w:color w:val="auto"/>
              </w:rPr>
            </w:pPr>
            <w:r>
              <w:rPr>
                <w:rFonts w:ascii="Arial" w:cs="Arial" w:eastAsia="Arial" w:hAnsi="Arial"/>
                <w:sz w:val="18"/>
                <w:szCs w:val="18"/>
                <w:color w:val="auto"/>
              </w:rPr>
              <w:t>June 27, 2023</w:t>
            </w: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to underwriters 12.2019</w:t>
            </w:r>
          </w:p>
        </w:tc>
        <w:tc>
          <w:tcPr>
            <w:tcW w:w="2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45,045</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13.88</w:t>
            </w:r>
          </w:p>
        </w:tc>
        <w:tc>
          <w:tcPr>
            <w:tcW w:w="21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June 30, 2023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BASIC AND DILUTED NET LOSS PER SHARE</w:t>
      </w:r>
    </w:p>
    <w:p>
      <w:pPr>
        <w:spacing w:after="0" w:line="229" w:lineRule="exact"/>
        <w:rPr>
          <w:sz w:val="20"/>
          <w:szCs w:val="20"/>
          <w:color w:val="auto"/>
        </w:rPr>
      </w:pPr>
    </w:p>
    <w:p>
      <w:pPr>
        <w:jc w:val="both"/>
        <w:ind w:left="980"/>
        <w:spacing w:after="0" w:line="342" w:lineRule="auto"/>
        <w:rPr>
          <w:sz w:val="20"/>
          <w:szCs w:val="20"/>
          <w:color w:val="auto"/>
        </w:rPr>
      </w:pPr>
      <w:r>
        <w:rPr>
          <w:rFonts w:ascii="Arial" w:cs="Arial" w:eastAsia="Arial" w:hAnsi="Arial"/>
          <w:sz w:val="16"/>
          <w:szCs w:val="16"/>
          <w:color w:val="auto"/>
        </w:rPr>
        <w:t>The basic and diluted net loss per share and weighted average number of shares of common stock used in the calculation of basic and diluted net loss per share were presented in the consolidated statements of comprehensive loss for the years ended December 31, 2021 and 2020.</w:t>
      </w:r>
    </w:p>
    <w:p>
      <w:pPr>
        <w:spacing w:after="0" w:line="124"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Due to the net loss to common stockholders in each of the periods presented above, diluted loss per share was computed without consideration to potentially dilutive instruments as their inclusion would have been anti-dilutive. As of December 31, 2021 and 2020, potentially dilutive securities excluded from the diluted loss per share calculation are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jc w:val="center"/>
        <w:ind w:left="5180"/>
        <w:spacing w:after="0"/>
        <w:rPr>
          <w:sz w:val="20"/>
          <w:szCs w:val="20"/>
          <w:color w:val="auto"/>
        </w:rPr>
      </w:pPr>
      <w:r>
        <w:rPr>
          <w:rFonts w:ascii="Arial" w:cs="Arial" w:eastAsia="Arial" w:hAnsi="Arial"/>
          <w:sz w:val="18"/>
          <w:szCs w:val="18"/>
          <w:b w:val="1"/>
          <w:bCs w:val="1"/>
          <w:color w:val="auto"/>
        </w:rPr>
        <w:t>For the Years Ended</w:t>
      </w:r>
    </w:p>
    <w:p>
      <w:pPr>
        <w:spacing w:after="0" w:line="27" w:lineRule="exact"/>
        <w:rPr>
          <w:sz w:val="20"/>
          <w:szCs w:val="20"/>
          <w:color w:val="auto"/>
        </w:rPr>
      </w:pPr>
    </w:p>
    <w:p>
      <w:pPr>
        <w:jc w:val="center"/>
        <w:ind w:left="518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8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2"/>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Series A and B warrants</w:t>
            </w: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2,953</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Warrant to underwriters 12.2019</w:t>
            </w:r>
          </w:p>
        </w:tc>
        <w:tc>
          <w:tcPr>
            <w:tcW w:w="96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8"/>
                <w:szCs w:val="18"/>
                <w:color w:val="auto"/>
                <w:w w:val="86"/>
              </w:rPr>
              <w:t>175,889</w:t>
            </w: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175,889</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9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6"/>
              </w:rPr>
              <w:t>997,148</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575,722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NOTE 11 - RESEARCH AND DEVELOPMENT EXPENSES, NET</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4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91"/>
              </w:rPr>
              <w:t>For the Years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Materials</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273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Rent</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195</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80" w:type="dxa"/>
            <w:vAlign w:val="bottom"/>
          </w:tcPr>
          <w:p>
            <w:pPr>
              <w:spacing w:after="0"/>
              <w:rPr>
                <w:sz w:val="18"/>
                <w:szCs w:val="18"/>
                <w:color w:val="auto"/>
              </w:rPr>
            </w:pPr>
          </w:p>
        </w:tc>
        <w:tc>
          <w:tcPr>
            <w:tcW w:w="5580" w:type="dxa"/>
            <w:vAlign w:val="bottom"/>
            <w:tcBorders>
              <w:top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6,153</w:t>
            </w: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78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3,396</w:t>
            </w:r>
          </w:p>
        </w:tc>
        <w:tc>
          <w:tcPr>
            <w:tcW w:w="80" w:type="dxa"/>
            <w:vAlign w:val="bottom"/>
            <w:tcBorders>
              <w:top w:val="single" w:sz="8" w:color="CCEEFF"/>
            </w:tcBorders>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GENERAL AND ADMINISTRATIVE EXPENSES</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4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91"/>
              </w:rPr>
              <w:t>For the Years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Government fees</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Professional services</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1,036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Public and investor relations</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Office and maintenance expenses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Travel</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13 - TRANSACTIONS AND BALANCES WITH RELATED PARTIES</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4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91"/>
              </w:rPr>
              <w:t>For the Years Ended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1,912</w:t>
            </w:r>
          </w:p>
        </w:tc>
        <w:tc>
          <w:tcPr>
            <w:tcW w:w="240" w:type="dxa"/>
            <w:vAlign w:val="bottom"/>
          </w:tcPr>
          <w:p>
            <w:pPr>
              <w:spacing w:after="0"/>
              <w:rPr>
                <w:sz w:val="18"/>
                <w:szCs w:val="18"/>
                <w:color w:val="auto"/>
              </w:rPr>
            </w:pP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1,310</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ESOP expenses to CEO and executive officers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Directors fees</w:t>
            </w:r>
          </w:p>
        </w:tc>
        <w:tc>
          <w:tcPr>
            <w:tcW w:w="9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196</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ESOP expenses to directors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Insurance</w:t>
            </w:r>
          </w:p>
        </w:tc>
        <w:tc>
          <w:tcPr>
            <w:tcW w:w="9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727</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477</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55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740" w:type="dxa"/>
            <w:vAlign w:val="bottom"/>
            <w:tcBorders>
              <w:bottom w:val="single" w:sz="8" w:color="auto"/>
            </w:tcBorders>
            <w:gridSpan w:val="5"/>
          </w:tcPr>
          <w:p>
            <w:pPr>
              <w:jc w:val="center"/>
              <w:ind w:left="490"/>
              <w:spacing w:after="0"/>
              <w:rPr>
                <w:sz w:val="20"/>
                <w:szCs w:val="20"/>
                <w:color w:val="auto"/>
              </w:rPr>
            </w:pPr>
            <w:r>
              <w:rPr>
                <w:rFonts w:ascii="Arial" w:cs="Arial" w:eastAsia="Arial" w:hAnsi="Arial"/>
                <w:sz w:val="18"/>
                <w:szCs w:val="18"/>
                <w:b w:val="1"/>
                <w:bCs w:val="1"/>
                <w:color w:val="auto"/>
                <w:w w:val="88"/>
              </w:rPr>
              <w:t>As of December 31,</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980" w:type="dxa"/>
            <w:vAlign w:val="bottom"/>
          </w:tcPr>
          <w:p>
            <w:pPr>
              <w:spacing w:after="0"/>
              <w:rPr>
                <w:sz w:val="20"/>
                <w:szCs w:val="20"/>
                <w:color w:val="auto"/>
              </w:rPr>
            </w:pPr>
          </w:p>
        </w:tc>
        <w:tc>
          <w:tcPr>
            <w:tcW w:w="55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accounts payable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1"/>
                <w:szCs w:val="21"/>
                <w:color w:val="auto"/>
              </w:rPr>
            </w:pPr>
          </w:p>
        </w:tc>
        <w:tc>
          <w:tcPr>
            <w:tcW w:w="940" w:type="dxa"/>
            <w:vAlign w:val="bottom"/>
          </w:tcPr>
          <w:p>
            <w:pPr>
              <w:jc w:val="right"/>
              <w:ind w:right="780"/>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580" w:type="dxa"/>
            <w:vAlign w:val="bottom"/>
            <w:vMerge w:val="restart"/>
          </w:tcPr>
          <w:p>
            <w:pPr>
              <w:ind w:left="4480"/>
              <w:spacing w:after="0"/>
              <w:rPr>
                <w:sz w:val="20"/>
                <w:szCs w:val="20"/>
                <w:color w:val="auto"/>
              </w:rPr>
            </w:pPr>
            <w:r>
              <w:rPr>
                <w:rFonts w:ascii="Arial" w:cs="Arial" w:eastAsia="Arial" w:hAnsi="Arial"/>
                <w:sz w:val="18"/>
                <w:szCs w:val="18"/>
                <w:color w:val="auto"/>
              </w:rPr>
              <w:t>F-22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798"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u w:val="single" w:color="auto"/>
          <w:color w:val="auto"/>
        </w:rPr>
        <w:t>MICROBOT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 ON INCOME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income taxes under the Israeli and U.S. tax laws: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Corporate tax rates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is subject to Israeli corporate tax rate of 23% for the years ended 2021 and 2020.</w:t>
      </w:r>
    </w:p>
    <w:p>
      <w:pPr>
        <w:spacing w:after="0" w:line="225" w:lineRule="exact"/>
        <w:rPr>
          <w:sz w:val="20"/>
          <w:szCs w:val="20"/>
          <w:color w:val="auto"/>
        </w:rPr>
      </w:pPr>
    </w:p>
    <w:p>
      <w:pPr>
        <w:jc w:val="both"/>
        <w:ind w:left="980"/>
        <w:spacing w:after="0" w:line="277" w:lineRule="auto"/>
        <w:rPr>
          <w:sz w:val="20"/>
          <w:szCs w:val="20"/>
          <w:color w:val="auto"/>
        </w:rPr>
      </w:pPr>
      <w:r>
        <w:rPr>
          <w:rFonts w:ascii="Arial" w:cs="Arial" w:eastAsia="Arial" w:hAnsi="Arial"/>
          <w:sz w:val="18"/>
          <w:szCs w:val="18"/>
          <w:color w:val="auto"/>
        </w:rPr>
        <w:t>The Company is subject to a blended U.S. tax rate (Federal as well as state corporate tax) of 21% for the years ended December 31, 2021 and 2020.</w:t>
      </w:r>
    </w:p>
    <w:p>
      <w:pPr>
        <w:spacing w:after="0" w:line="170" w:lineRule="exact"/>
        <w:rPr>
          <w:sz w:val="20"/>
          <w:szCs w:val="20"/>
          <w:color w:val="auto"/>
        </w:rPr>
      </w:pPr>
    </w:p>
    <w:p>
      <w:pPr>
        <w:jc w:val="both"/>
        <w:ind w:left="980"/>
        <w:spacing w:after="0" w:line="308" w:lineRule="auto"/>
        <w:rPr>
          <w:sz w:val="20"/>
          <w:szCs w:val="20"/>
          <w:color w:val="auto"/>
        </w:rPr>
      </w:pPr>
      <w:r>
        <w:rPr>
          <w:rFonts w:ascii="Arial" w:cs="Arial" w:eastAsia="Arial" w:hAnsi="Arial"/>
          <w:sz w:val="17"/>
          <w:szCs w:val="17"/>
          <w:color w:val="auto"/>
        </w:rPr>
        <w:t>As of December 31, 2021 and 2020, the Company generated accumulated net operating losses in Israel of approximately $26,623 and $19,773, respectively, which may be carried forward and offset against taxable income in the future for an indefinite period.</w:t>
      </w:r>
    </w:p>
    <w:p>
      <w:pPr>
        <w:spacing w:after="0" w:line="146"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As of December 31, 2021 and 2020, the Company generated accumulated net operating losses in the U.S. of approximately $496,950 and $492,487, respectively.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spacing w:after="0" w:line="171"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spacing w:after="0" w:line="193" w:lineRule="exact"/>
        <w:rPr>
          <w:sz w:val="20"/>
          <w:szCs w:val="20"/>
          <w:color w:val="auto"/>
        </w:rPr>
      </w:pPr>
    </w:p>
    <w:tbl>
      <w:tblPr>
        <w:tblLayout w:type="fixed"/>
        <w:tblInd w:w="98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For the Years Ended December 31,</w:t>
            </w:r>
          </w:p>
        </w:tc>
      </w:tr>
      <w:tr>
        <w:trPr>
          <w:trHeight w:val="236"/>
        </w:trPr>
        <w:tc>
          <w:tcPr>
            <w:tcW w:w="55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6"/>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523,573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512,260</w:t>
            </w:r>
          </w:p>
        </w:tc>
      </w:tr>
      <w:tr>
        <w:trPr>
          <w:trHeight w:val="216"/>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109,950</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107,574</w:t>
            </w:r>
          </w:p>
        </w:tc>
      </w:tr>
      <w:tr>
        <w:trPr>
          <w:trHeight w:val="236"/>
        </w:trPr>
        <w:tc>
          <w:tcPr>
            <w:tcW w:w="558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(109,950)</w:t>
            </w:r>
          </w:p>
        </w:tc>
        <w:tc>
          <w:tcPr>
            <w:tcW w:w="3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(107,574)</w:t>
            </w:r>
          </w:p>
        </w:tc>
      </w:tr>
      <w:tr>
        <w:trPr>
          <w:trHeight w:val="230"/>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Reconciliation of Income Taxes:</w:t>
      </w:r>
    </w:p>
    <w:p>
      <w:pPr>
        <w:spacing w:after="0" w:line="229" w:lineRule="exact"/>
        <w:rPr>
          <w:sz w:val="20"/>
          <w:szCs w:val="20"/>
          <w:color w:val="auto"/>
        </w:rPr>
      </w:pPr>
    </w:p>
    <w:p>
      <w:pPr>
        <w:ind w:left="980"/>
        <w:spacing w:after="0" w:line="277" w:lineRule="auto"/>
        <w:rPr>
          <w:sz w:val="20"/>
          <w:szCs w:val="20"/>
          <w:color w:val="auto"/>
        </w:rPr>
      </w:pPr>
      <w:r>
        <w:rPr>
          <w:rFonts w:ascii="Arial" w:cs="Arial" w:eastAsia="Arial" w:hAnsi="Arial"/>
          <w:sz w:val="18"/>
          <w:szCs w:val="18"/>
          <w:color w:val="auto"/>
        </w:rPr>
        <w:t>The following is a reconciliation of the taxes on income assuming that all income is taxed at the ordinary statutory corporate tax rate in Israel and the effective income tax rate: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2"/>
              </w:rPr>
              <w:t>For the Years Ended December 31,</w:t>
            </w:r>
          </w:p>
        </w:tc>
        <w:tc>
          <w:tcPr>
            <w:tcW w:w="1280" w:type="dxa"/>
            <w:vAlign w:val="bottom"/>
          </w:tcPr>
          <w:p>
            <w:pPr>
              <w:spacing w:after="0"/>
              <w:rPr>
                <w:sz w:val="20"/>
                <w:szCs w:val="20"/>
                <w:color w:val="auto"/>
              </w:rPr>
            </w:pPr>
          </w:p>
        </w:tc>
      </w:tr>
      <w:tr>
        <w:trPr>
          <w:trHeight w:val="237"/>
        </w:trPr>
        <w:tc>
          <w:tcPr>
            <w:tcW w:w="9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loss in Israel</w:t>
            </w:r>
          </w:p>
        </w:tc>
        <w:tc>
          <w:tcPr>
            <w:tcW w:w="2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6,853</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4,042</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loss in U.S.</w:t>
            </w:r>
          </w:p>
        </w:tc>
        <w:tc>
          <w:tcPr>
            <w:tcW w:w="2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4,460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5,127</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2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21%-23%</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21%-23%</w:t>
            </w:r>
          </w:p>
        </w:tc>
        <w:tc>
          <w:tcPr>
            <w:tcW w:w="128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under statutory tax rate</w:t>
            </w: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2,513</w:t>
            </w: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2,005</w:t>
            </w:r>
          </w:p>
        </w:tc>
        <w:tc>
          <w:tcPr>
            <w:tcW w:w="1280" w:type="dxa"/>
            <w:vAlign w:val="bottom"/>
          </w:tcPr>
          <w:p>
            <w:pPr>
              <w:spacing w:after="0"/>
              <w:rPr>
                <w:sz w:val="18"/>
                <w:szCs w:val="18"/>
                <w:color w:val="auto"/>
              </w:rPr>
            </w:pPr>
          </w:p>
        </w:tc>
      </w:tr>
      <w:tr>
        <w:trPr>
          <w:trHeight w:val="250"/>
        </w:trPr>
        <w:tc>
          <w:tcPr>
            <w:tcW w:w="98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(2,513)</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(2,005)</w:t>
            </w:r>
          </w:p>
        </w:tc>
        <w:tc>
          <w:tcPr>
            <w:tcW w:w="1280" w:type="dxa"/>
            <w:vAlign w:val="bottom"/>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3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Actual provision for income tax</w:t>
            </w:r>
          </w:p>
        </w:tc>
        <w:tc>
          <w:tcPr>
            <w:tcW w:w="20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c>
          <w:tcPr>
            <w:tcW w:w="1280" w:type="dxa"/>
            <w:vAlign w:val="bottom"/>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20"/>
        </w:trPr>
        <w:tc>
          <w:tcPr>
            <w:tcW w:w="9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color w:val="auto"/>
              </w:rPr>
              <w:t>F-23</w:t>
            </w: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6"/>
          <w:szCs w:val="16"/>
          <w:color w:val="auto"/>
        </w:rPr>
        <w:t>We consent to the incorporation by reference in the Registration Statements on Form S-8 (Registration No. 333-221216 and 333-250963) and the Registration Statement on Form S-3 (Registration No. 333-250966) of our report dated March 31, 2022 relating to the consolidated financial statements of Microbot Medical Inc. (the “Company”) appearing in the Annual Report on Form 10-K of the Company for the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March 31, 2022</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3">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Microbot Medical Inc.</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 March 31, 2022</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2021 as filed with the Securities and Exchange Commission on the date hereof (the “Report”), I, </w:t>
      </w:r>
      <w:r>
        <w:rPr>
          <w:rFonts w:ascii="Arial" w:cs="Arial" w:eastAsia="Arial" w:hAnsi="Arial"/>
          <w:sz w:val="18"/>
          <w:szCs w:val="18"/>
          <w:b w:val="1"/>
          <w:bCs w:val="1"/>
          <w:color w:val="auto"/>
        </w:rPr>
        <w:t>Harel Gadot</w:t>
      </w:r>
      <w:r>
        <w:rPr>
          <w:rFonts w:ascii="Arial" w:cs="Arial" w:eastAsia="Arial" w:hAnsi="Arial"/>
          <w:sz w:val="18"/>
          <w:szCs w:val="18"/>
          <w:color w:val="auto"/>
        </w:rPr>
        <w:t>, President and Chief Executive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connection with the Annual Report of Microbot Medical Inc. (the “Company”) on Form 10-K for the fiscal year ended December 31, 2021 as filed with the Securities and Exchange Commission on the date hereof (the “Report”), I, </w:t>
      </w:r>
      <w:r>
        <w:rPr>
          <w:rFonts w:ascii="Arial" w:cs="Arial" w:eastAsia="Arial" w:hAnsi="Arial"/>
          <w:sz w:val="18"/>
          <w:szCs w:val="18"/>
          <w:b w:val="1"/>
          <w:bCs w:val="1"/>
          <w:color w:val="auto"/>
        </w:rPr>
        <w:t>David Ben Naim</w:t>
      </w:r>
      <w:r>
        <w:rPr>
          <w:rFonts w:ascii="Arial" w:cs="Arial" w:eastAsia="Arial" w:hAnsi="Arial"/>
          <w:sz w:val="18"/>
          <w:szCs w:val="18"/>
          <w:color w:val="auto"/>
        </w:rPr>
        <w:t>, Chief Financial Officer of the Company, certify, pursuant to 18 U.S.C. Sec. 1350, as adopted pursuant to Sec. 906 of the Sarbanes-Oxley Act of 2002, that:</w:t>
      </w:r>
    </w:p>
    <w:p>
      <w:pPr>
        <w:spacing w:after="0" w:line="184" w:lineRule="exact"/>
        <w:rPr>
          <w:sz w:val="20"/>
          <w:szCs w:val="20"/>
          <w:color w:val="auto"/>
        </w:rPr>
      </w:pPr>
    </w:p>
    <w:p>
      <w:pPr>
        <w:ind w:left="580" w:hanging="248"/>
        <w:spacing w:after="0"/>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b w:val="1"/>
          <w:bCs w:val="1"/>
          <w:i w:val="1"/>
          <w:iCs w:val="1"/>
          <w:color w:val="auto"/>
        </w:rPr>
        <w:t>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23495</wp:posOffset>
            </wp:positionV>
            <wp:extent cx="34886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3488690" cy="17145"/>
                    </a:xfrm>
                    <a:prstGeom prst="rect">
                      <a:avLst/>
                    </a:prstGeom>
                    <a:noFill/>
                  </pic:spPr>
                </pic:pic>
              </a:graphicData>
            </a:graphic>
          </wp:anchor>
        </w:drawing>
      </w:r>
    </w:p>
    <w:p>
      <w:pPr>
        <w:spacing w:after="0" w:line="2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David Ben Naim</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endash "/>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
      <w:numFmt w:val="bullet"/>
      <w:start w:val="1"/>
    </w:lvl>
    <w:lvl w:ilvl="1">
      <w:lvlJc w:val="left"/>
      <w:lvlText w:val="%2"/>
      <w:numFmt w:val="decimal"/>
      <w:start w:val="104"/>
    </w:lvl>
  </w:abstractNum>
  <w:abstractNum w:abstractNumId="39">
    <w:nsid w:val="2CD89A32"/>
    <w:multiLevelType w:val="hybridMultilevel"/>
    <w:lvl w:ilvl="0">
      <w:lvlJc w:val="left"/>
      <w:lvlText w:val="**"/>
      <w:numFmt w:val="bullet"/>
      <w:start w:val="1"/>
    </w:lvl>
    <w:lvl w:ilvl="1">
      <w:lvlJc w:val="left"/>
      <w:lvlText w:val="%2"/>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upperLetter"/>
      <w:start w:val="6"/>
    </w:lvl>
  </w:abstractNum>
  <w:abstractNum w:abstractNumId="42">
    <w:nsid w:val="4B588F54"/>
    <w:multiLevelType w:val="hybridMultilevel"/>
    <w:lvl w:ilvl="0">
      <w:lvlJc w:val="left"/>
      <w:lvlText w:val="%1."/>
      <w:numFmt w:val="upperLetter"/>
      <w:start w:val="9"/>
    </w:lvl>
  </w:abstractNum>
  <w:abstractNum w:abstractNumId="43">
    <w:nsid w:val="542289EC"/>
    <w:multiLevelType w:val="hybridMultilevel"/>
    <w:lvl w:ilvl="0">
      <w:lvlJc w:val="left"/>
      <w:lvlText w:val="%1."/>
      <w:numFmt w:val="upperLetter"/>
      <w:start w:val="10"/>
    </w:lvl>
  </w:abstractNum>
  <w:abstractNum w:abstractNumId="44">
    <w:nsid w:val="6DE91B18"/>
    <w:multiLevelType w:val="hybridMultilevel"/>
    <w:lvl w:ilvl="0">
      <w:lvlJc w:val="left"/>
      <w:lvlText w:val="%1."/>
      <w:numFmt w:val="upperLetter"/>
      <w:start w:val="16"/>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116" Type="http://schemas.openxmlformats.org/officeDocument/2006/relationships/image" Target="media/image72.png"/><Relationship Id="rId117"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jpeg"/><Relationship Id="rId120" Type="http://schemas.openxmlformats.org/officeDocument/2006/relationships/image" Target="media/image76.png"/><Relationship Id="rId121" Type="http://schemas.openxmlformats.org/officeDocument/2006/relationships/image" Target="media/image77.jpeg"/><Relationship Id="rId122" Type="http://schemas.openxmlformats.org/officeDocument/2006/relationships/image" Target="media/image78.jpe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131" Type="http://schemas.openxmlformats.org/officeDocument/2006/relationships/image" Target="media/image87.png"/><Relationship Id="rId132" Type="http://schemas.openxmlformats.org/officeDocument/2006/relationships/image" Target="media/image88.png"/><Relationship Id="rId133" Type="http://schemas.openxmlformats.org/officeDocument/2006/relationships/image" Target="media/image89.png"/><Relationship Id="rId134" Type="http://schemas.openxmlformats.org/officeDocument/2006/relationships/image" Target="media/image90.png"/><Relationship Id="rId135" Type="http://schemas.openxmlformats.org/officeDocument/2006/relationships/image" Target="media/image91.png"/><Relationship Id="rId136" Type="http://schemas.openxmlformats.org/officeDocument/2006/relationships/image" Target="media/image92.png"/><Relationship Id="rId137" Type="http://schemas.openxmlformats.org/officeDocument/2006/relationships/image" Target="media/image93.png"/><Relationship Id="rId138" Type="http://schemas.openxmlformats.org/officeDocument/2006/relationships/image" Target="media/image94.png"/><Relationship Id="rId139" Type="http://schemas.openxmlformats.org/officeDocument/2006/relationships/image" Target="media/image95.png"/><Relationship Id="rId140" Type="http://schemas.openxmlformats.org/officeDocument/2006/relationships/image" Target="media/image96.png"/><Relationship Id="rId141" Type="http://schemas.openxmlformats.org/officeDocument/2006/relationships/image" Target="media/image97.png"/><Relationship Id="rId142" Type="http://schemas.openxmlformats.org/officeDocument/2006/relationships/image" Target="media/image98.png"/><Relationship Id="rId143"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79" Type="http://schemas.openxmlformats.org/officeDocument/2006/relationships/hyperlink" Target="https://www.sec.gov/Archives/edgar/data/883975/000119312516682077/d161430dex21.htm" TargetMode="External"/><Relationship Id="rId80" Type="http://schemas.openxmlformats.org/officeDocument/2006/relationships/hyperlink" Target="https://www.sec.gov/Archives/edgar/data/883975/000095013407005808/f27726exv3w1.htm" TargetMode="External"/><Relationship Id="rId81" Type="http://schemas.openxmlformats.org/officeDocument/2006/relationships/hyperlink" Target="https://www.sec.gov/Archives/edgar/data/883975/000119312516779729/d296933dex31.htm" TargetMode="External"/><Relationship Id="rId82" Type="http://schemas.openxmlformats.org/officeDocument/2006/relationships/hyperlink" Target="https://www.sec.gov/Archives/edgar/data/883975/000149315218012872/ex3-1.htm" TargetMode="External"/><Relationship Id="rId83" Type="http://schemas.openxmlformats.org/officeDocument/2006/relationships/hyperlink" Target="https://www.sec.gov/Archives/edgar/data/883975/000129993316002374/exhibit1.htm" TargetMode="External"/><Relationship Id="rId84" Type="http://schemas.openxmlformats.org/officeDocument/2006/relationships/hyperlink" Target="https://www.sec.gov/Archives/edgar/data/883975/000149315218017395/ex3-1.htm" TargetMode="External"/><Relationship Id="rId85" Type="http://schemas.openxmlformats.org/officeDocument/2006/relationships/hyperlink" Target="https://www.sec.gov/Archives/edgar/data/883975/000149315219013998/ex3-1.htm" TargetMode="External"/><Relationship Id="rId86" Type="http://schemas.openxmlformats.org/officeDocument/2006/relationships/hyperlink" Target="https://www.sec.gov/Archives/edgar/data/883975/000149315221010347/ex3-1.htm" TargetMode="External"/><Relationship Id="rId87" Type="http://schemas.openxmlformats.org/officeDocument/2006/relationships/hyperlink" Target="https://www.sec.gov/Archives/edgar/data/883975/000119312516501361/d68391dex41.htm" TargetMode="External"/><Relationship Id="rId88" Type="http://schemas.openxmlformats.org/officeDocument/2006/relationships/hyperlink" Target="https://www.sec.gov/Archives/edgar/data/883975/000119312516501361/d68391dex42.htm" TargetMode="External"/><Relationship Id="rId89" Type="http://schemas.openxmlformats.org/officeDocument/2006/relationships/hyperlink" Target="https://www.sec.gov/Archives/edgar/data/883975/000149315219000672/ex4-2.htm" TargetMode="External"/><Relationship Id="rId90" Type="http://schemas.openxmlformats.org/officeDocument/2006/relationships/hyperlink" Target="https://www.sec.gov/Archives/edgar/data/883975/000149315219000744/ex4-1.htm" TargetMode="External"/><Relationship Id="rId91" Type="http://schemas.openxmlformats.org/officeDocument/2006/relationships/hyperlink" Target="https://www.sec.gov/Archives/edgar/data/883975/000149315219000969/ex4-1.htm" TargetMode="External"/><Relationship Id="rId92" Type="http://schemas.openxmlformats.org/officeDocument/2006/relationships/hyperlink" Target="https://www.sec.gov/Archives/edgar/data/883975/000149315219019746/ex4-1.htm" TargetMode="External"/><Relationship Id="rId93" Type="http://schemas.openxmlformats.org/officeDocument/2006/relationships/hyperlink" Target="https://www.sec.gov/Archives/edgar/data/883975/000149315219000969/ex4-2.htm" TargetMode="External"/><Relationship Id="rId94" Type="http://schemas.openxmlformats.org/officeDocument/2006/relationships/hyperlink" Target="https://www.sec.gov/Archives/edgar/data/883975/000149315219019824/ex4-1.htm" TargetMode="External"/><Relationship Id="rId95" Type="http://schemas.openxmlformats.org/officeDocument/2006/relationships/hyperlink" Target="https://www.sec.gov/Archives/edgar/data/883975/000149315219019906/ex4-1.htm" TargetMode="External"/><Relationship Id="rId96" Type="http://schemas.openxmlformats.org/officeDocument/2006/relationships/hyperlink" Target="https://www.sec.gov/Archives/edgar/data/883975/000149315220006338/form10-k.htm" TargetMode="External"/><Relationship Id="rId97" Type="http://schemas.openxmlformats.org/officeDocument/2006/relationships/hyperlink" Target="https://www.sec.gov/Archives/edgar/data/883975/000119312516779729/d296933dex104.htm" TargetMode="External"/><Relationship Id="rId98" Type="http://schemas.openxmlformats.org/officeDocument/2006/relationships/hyperlink" Target="https://www.sec.gov/Archives/edgar/data/883975/000119312516779729/d296933dex105.htm" TargetMode="External"/><Relationship Id="rId99" Type="http://schemas.openxmlformats.org/officeDocument/2006/relationships/hyperlink" Target="https://www.sec.gov/Archives/edgar/data/883975/000119312516779729/d296933dex106.htm" TargetMode="External"/><Relationship Id="rId100" Type="http://schemas.openxmlformats.org/officeDocument/2006/relationships/hyperlink" Target="https://www.sec.gov/Archives/edgar/data/883975/000149315217002678/ex10-14.htm" TargetMode="External"/><Relationship Id="rId101" Type="http://schemas.openxmlformats.org/officeDocument/2006/relationships/hyperlink" Target="https://www.sec.gov/Archives/edgar/data/883975/000149315217013222/ex10-1.htm" TargetMode="External"/><Relationship Id="rId102" Type="http://schemas.openxmlformats.org/officeDocument/2006/relationships/hyperlink" Target="https://www.sec.gov/Archives/edgar/data/883975/000149315218000286/ex10-1.htm" TargetMode="External"/><Relationship Id="rId103" Type="http://schemas.openxmlformats.org/officeDocument/2006/relationships/hyperlink" Target="https://www.sec.gov/Archives/edgar/data/883975/000149315220006338/ex10-9.htm" TargetMode="External"/><Relationship Id="rId104" Type="http://schemas.openxmlformats.org/officeDocument/2006/relationships/hyperlink" Target="https://www.sec.gov/Archives/edgar/data/883975/000149315217008987/def14a.htm" TargetMode="External"/><Relationship Id="rId105" Type="http://schemas.openxmlformats.org/officeDocument/2006/relationships/hyperlink" Target="https://www.sec.gov/Archives/edgar/data/883975/000149315220014354/def14a.htm" TargetMode="External"/><Relationship Id="rId106" Type="http://schemas.openxmlformats.org/officeDocument/2006/relationships/hyperlink" Target="https://www.sec.gov/Archives/edgar/data/883975/000149315220022543/ex4-2.htm" TargetMode="External"/><Relationship Id="rId107" Type="http://schemas.openxmlformats.org/officeDocument/2006/relationships/hyperlink" Target="https://www.sec.gov/Archives/edgar/data/883975/000149315220022543/ex4-3.htm" TargetMode="External"/><Relationship Id="rId108" Type="http://schemas.openxmlformats.org/officeDocument/2006/relationships/hyperlink" Target="https://www.sec.gov/Archives/edgar/data/883975/000149315220022543/ex4-4.htm" TargetMode="External"/><Relationship Id="rId109" Type="http://schemas.openxmlformats.org/officeDocument/2006/relationships/hyperlink" Target="https://www.sec.gov/Archives/edgar/data/883975/000149315220022543/ex4-5.htm" TargetMode="External"/><Relationship Id="rId110" Type="http://schemas.openxmlformats.org/officeDocument/2006/relationships/hyperlink" Target="https://www.sec.gov/Archives/edgar/data/883975/000149315220022543/ex4-6.htm" TargetMode="External"/><Relationship Id="rId111" Type="http://schemas.openxmlformats.org/officeDocument/2006/relationships/hyperlink" Target="https://www.sec.gov/Archives/edgar/data/883975/000149315221008148/ex10-1.htm" TargetMode="External"/><Relationship Id="rId112" Type="http://schemas.openxmlformats.org/officeDocument/2006/relationships/hyperlink" Target="https://www.sec.gov/Archives/edgar/data/883975/000149315221009469/ex10-1.htm" TargetMode="External"/><Relationship Id="rId113" Type="http://schemas.openxmlformats.org/officeDocument/2006/relationships/hyperlink" Target="https://www.sec.gov/Archives/edgar/data/883975/000149315221014052/ex10-1.htm" TargetMode="External"/><Relationship Id="rId114" Type="http://schemas.openxmlformats.org/officeDocument/2006/relationships/hyperlink" Target="https://www.sec.gov/Archives/edgar/data/883975/000149315221032474/ex10-1.htm" TargetMode="External"/><Relationship Id="rId115" Type="http://schemas.openxmlformats.org/officeDocument/2006/relationships/hyperlink" Target="https://www.sec.gov/Archives/edgar/data/883975/000149315217002678/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2022-03-31T13:42:36Z</dcterms:created>
  <dcterms:modified xsi:type="dcterms:W3CDTF">2022-03-31T13:42:36Z</dcterms:modified>
</cp:coreProperties>
</file>