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OCTOBER 19, 2000</w:t>
      </w:r>
    </w:p>
    <w:p>
      <w:pPr>
        <w:spacing w:after="0" w:line="200" w:lineRule="exact"/>
        <w:rPr>
          <w:sz w:val="24"/>
          <w:szCs w:val="24"/>
          <w:color w:val="auto"/>
        </w:rPr>
      </w:pPr>
    </w:p>
    <w:p>
      <w:pPr>
        <w:spacing w:after="0" w:line="318"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333-45496</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1</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0227"/>
          </w:cols>
          <w:pgMar w:left="232" w:top="575" w:right="1440" w:bottom="0" w:gutter="0" w:footer="0" w:header="0"/>
        </w:sectPr>
      </w:pPr>
    </w:p>
    <w:p>
      <w:pPr>
        <w:spacing w:after="0" w:line="4" w:lineRule="exact"/>
        <w:rPr>
          <w:sz w:val="24"/>
          <w:szCs w:val="24"/>
          <w:color w:val="auto"/>
        </w:rPr>
      </w:pPr>
    </w:p>
    <w:p>
      <w:pPr>
        <w:ind w:left="528" w:hanging="357"/>
        <w:spacing w:after="0" w:line="267"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60"/>
        <w:spacing w:after="0"/>
        <w:rPr>
          <w:sz w:val="20"/>
          <w:szCs w:val="20"/>
          <w:color w:val="auto"/>
        </w:rPr>
      </w:pPr>
      <w:r>
        <w:rPr>
          <w:rFonts w:ascii="Courier New" w:cs="Courier New" w:eastAsia="Courier New" w:hAnsi="Courier New"/>
          <w:sz w:val="15"/>
          <w:szCs w:val="15"/>
          <w:color w:val="auto"/>
        </w:rPr>
        <w:t>2836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6" w:lineRule="exact"/>
        <w:rPr>
          <w:sz w:val="24"/>
          <w:szCs w:val="24"/>
          <w:color w:val="auto"/>
        </w:rPr>
      </w:pPr>
    </w:p>
    <w:p>
      <w:pPr>
        <w:sectPr>
          <w:pgSz w:w="11900" w:h="16838" w:orient="portrait"/>
          <w:cols w:equalWidth="0" w:num="3">
            <w:col w:w="2688" w:space="540"/>
            <w:col w:w="2680" w:space="720"/>
            <w:col w:w="3599"/>
          </w:cols>
          <w:pgMar w:left="232" w:top="575" w:right="1440" w:bottom="0" w:gutter="0" w:footer="0" w:header="0"/>
          <w:type w:val="continuous"/>
        </w:sectPr>
      </w:pPr>
    </w:p>
    <w:p>
      <w:pPr>
        <w:spacing w:after="0" w:line="129"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519"/>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3159"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6" w:lineRule="exact"/>
        <w:rPr>
          <w:sz w:val="24"/>
          <w:szCs w:val="24"/>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3339"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3339"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please check the following box. / /</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0227"/>
          </w:cols>
          <w:pgMar w:left="232" w:top="575" w:right="1440" w:bottom="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left="6168"/>
        <w:spacing w:after="0"/>
        <w:rPr>
          <w:sz w:val="20"/>
          <w:szCs w:val="20"/>
          <w:color w:val="auto"/>
        </w:rPr>
      </w:pPr>
      <w:r>
        <w:rPr>
          <w:rFonts w:ascii="Courier New" w:cs="Courier New" w:eastAsia="Courier New" w:hAnsi="Courier New"/>
          <w:sz w:val="14"/>
          <w:szCs w:val="14"/>
          <w:color w:val="auto"/>
        </w:rPr>
        <w:t>PROPOSED MAXIMUM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ectPr>
          <w:pgSz w:w="11900" w:h="16838" w:orient="portrait"/>
          <w:cols w:equalWidth="0" w:num="2">
            <w:col w:w="7608" w:space="440"/>
            <w:col w:w="2179"/>
          </w:cols>
          <w:pgMar w:left="232" w:top="575" w:right="1440" w:bottom="0" w:gutter="0" w:footer="0" w:header="0"/>
          <w:type w:val="continuous"/>
        </w:sectPr>
      </w:pPr>
    </w:p>
    <w:bookmarkStart w:id="1" w:name="page2"/>
    <w:bookmarkEnd w:id="1"/>
    <w:tbl>
      <w:tblPr>
        <w:tblLayout w:type="fixed"/>
        <w:tblInd w:w="8" w:type="dxa"/>
        <w:tblCellMar>
          <w:top w:w="0" w:type="dxa"/>
          <w:left w:w="0" w:type="dxa"/>
          <w:bottom w:w="0" w:type="dxa"/>
          <w:right w:w="0" w:type="dxa"/>
        </w:tblCellMar>
      </w:tblPr>
      <w:tr>
        <w:trPr>
          <w:trHeight w:val="170"/>
        </w:trPr>
        <w:tc>
          <w:tcPr>
            <w:tcW w:w="4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TITLE OF EACH CLASS OF SECURITIES</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 TO BE</w:t>
            </w: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OFFERING PRICE PER</w:t>
            </w:r>
          </w:p>
        </w:tc>
      </w:tr>
      <w:tr>
        <w:trPr>
          <w:trHeight w:val="172"/>
        </w:trPr>
        <w:tc>
          <w:tcPr>
            <w:tcW w:w="4160" w:type="dxa"/>
            <w:vAlign w:val="bottom"/>
          </w:tcPr>
          <w:p>
            <w:pPr>
              <w:ind w:left="1240"/>
              <w:spacing w:after="0"/>
              <w:rPr>
                <w:sz w:val="20"/>
                <w:szCs w:val="20"/>
                <w:color w:val="auto"/>
              </w:rPr>
            </w:pPr>
            <w:r>
              <w:rPr>
                <w:rFonts w:ascii="Courier New" w:cs="Courier New" w:eastAsia="Courier New" w:hAnsi="Courier New"/>
                <w:sz w:val="15"/>
                <w:szCs w:val="15"/>
                <w:color w:val="auto"/>
              </w:rPr>
              <w:t>TO BE REGISTERED</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7"/>
              </w:rPr>
              <w:t>REGISTERED</w:t>
            </w: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SHARE(1)</w:t>
            </w:r>
          </w:p>
        </w:tc>
      </w:tr>
      <w:tr>
        <w:trPr>
          <w:trHeight w:val="344"/>
        </w:trPr>
        <w:tc>
          <w:tcPr>
            <w:tcW w:w="41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Common Stock, par value $.01 per share.......</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3,205,486 Shares</w:t>
            </w: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$8.22</w:t>
            </w:r>
          </w:p>
        </w:tc>
      </w:tr>
    </w:tbl>
    <w:p>
      <w:pPr>
        <w:spacing w:after="0" w:line="348" w:lineRule="exact"/>
        <w:rPr>
          <w:sz w:val="20"/>
          <w:szCs w:val="20"/>
          <w:color w:val="auto"/>
        </w:rPr>
      </w:pPr>
    </w:p>
    <w:p>
      <w:pPr>
        <w:ind w:left="348" w:right="62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September 7, 2000.</w:t>
      </w:r>
    </w:p>
    <w:p>
      <w:pPr>
        <w:spacing w:after="0" w:line="1"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540"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7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AGGREGATE OFFERING</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17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PRICE(1)</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REGISTRATION FEE</w:t>
            </w:r>
          </w:p>
        </w:tc>
      </w:tr>
      <w:tr>
        <w:trPr>
          <w:trHeight w:val="344"/>
        </w:trPr>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$26,349,094</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$6,956.16</w:t>
            </w:r>
          </w:p>
        </w:tc>
      </w:tr>
    </w:tbl>
    <w:p>
      <w:pPr>
        <w:sectPr>
          <w:pgSz w:w="11900" w:h="16838" w:orient="portrait"/>
          <w:cols w:equalWidth="0" w:num="2">
            <w:col w:w="7688" w:space="280"/>
            <w:col w:w="3400"/>
          </w:cols>
          <w:pgMar w:left="232" w:top="140" w:right="299" w:bottom="1440" w:gutter="0" w:footer="0" w:header="0"/>
        </w:sectPr>
      </w:pPr>
    </w:p>
    <w:bookmarkStart w:id="2" w:name="page3"/>
    <w:bookmarkEnd w:id="2"/>
    <w:p>
      <w:pPr>
        <w:ind w:left="1780"/>
        <w:spacing w:after="0"/>
        <w:rPr>
          <w:sz w:val="20"/>
          <w:szCs w:val="20"/>
          <w:color w:val="auto"/>
        </w:rPr>
      </w:pPr>
      <w:r>
        <w:rPr>
          <w:rFonts w:ascii="Courier New" w:cs="Courier New" w:eastAsia="Courier New" w:hAnsi="Courier New"/>
          <w:sz w:val="15"/>
          <w:szCs w:val="15"/>
          <w:color w:val="auto"/>
        </w:rPr>
        <w:t>SUBJECT TO COMPLETION--OCTOBER 19, 2000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selling stockholders listed on page [39] of this prospectus or in an accompanying supplement to this prospectus are offering to sell 3,205,486 shares of our common stock.</w:t>
      </w:r>
    </w:p>
    <w:p>
      <w:pPr>
        <w:spacing w:after="0" w:line="200" w:lineRule="exact"/>
        <w:rPr>
          <w:sz w:val="20"/>
          <w:szCs w:val="20"/>
          <w:color w:val="auto"/>
        </w:rPr>
      </w:pPr>
    </w:p>
    <w:p>
      <w:pPr>
        <w:spacing w:after="0" w:line="320"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633"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F-26</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34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200" w:lineRule="exact"/>
        <w:rPr>
          <w:sz w:val="20"/>
          <w:szCs w:val="20"/>
          <w:color w:val="auto"/>
        </w:rPr>
      </w:pPr>
    </w:p>
    <w:p>
      <w:pPr>
        <w:spacing w:after="0" w:line="30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200" w:lineRule="exact"/>
        <w:rPr>
          <w:sz w:val="20"/>
          <w:szCs w:val="20"/>
          <w:color w:val="auto"/>
        </w:rPr>
      </w:pPr>
    </w:p>
    <w:p>
      <w:pPr>
        <w:spacing w:after="0" w:line="32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through our research and development program for the isolation, purification and transplantation of neural stem cells--stem cells that give rise to all the cells of the central nervous system. We have also made significant advances in our search for the stem cells of the pancreas and the liver.</w:t>
      </w:r>
    </w:p>
    <w:p>
      <w:pPr>
        <w:spacing w:after="0" w:line="200" w:lineRule="exact"/>
        <w:rPr>
          <w:sz w:val="20"/>
          <w:szCs w:val="20"/>
          <w:color w:val="auto"/>
        </w:rPr>
      </w:pPr>
    </w:p>
    <w:p>
      <w:pPr>
        <w:spacing w:after="0" w:line="32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(i.e., neurons, astrocytes and oligodendrocytes).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200" w:lineRule="exact"/>
        <w:rPr>
          <w:sz w:val="20"/>
          <w:szCs w:val="20"/>
          <w:color w:val="auto"/>
        </w:rPr>
      </w:pPr>
    </w:p>
    <w:p>
      <w:pPr>
        <w:spacing w:after="0" w:line="32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4460" w:firstLine="358"/>
        <w:spacing w:after="0" w:line="265"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w w:val="98"/>
              </w:rPr>
              <w:t>SIX MONTHS ENDED</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6,847</w:t>
            </w:r>
          </w:p>
        </w:tc>
        <w:tc>
          <w:tcPr>
            <w:tcW w:w="1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(3,773)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18,483</w:t>
            </w:r>
          </w:p>
        </w:tc>
        <w:tc>
          <w:tcPr>
            <w:tcW w:w="1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19,419</w:t>
            </w:r>
          </w:p>
        </w:tc>
      </w:tr>
    </w:tbl>
    <w:p>
      <w:pPr>
        <w:spacing w:after="0" w:line="348"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sale as of August 30, 2000 of 180,914 shares of common stock to Millennium Partners, L.P., for $1,000,000, net of a stock subscription receivable of $1,250,000.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980" w:type="dxa"/>
            <w:vAlign w:val="bottom"/>
          </w:tcPr>
          <w:p>
            <w:pPr>
              <w:spacing w:after="0"/>
              <w:rPr>
                <w:sz w:val="14"/>
                <w:szCs w:val="14"/>
                <w:color w:val="auto"/>
              </w:rPr>
            </w:pPr>
          </w:p>
        </w:tc>
        <w:tc>
          <w:tcPr>
            <w:tcW w:w="19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AS OF JUNE 30</w:t>
            </w:r>
          </w:p>
        </w:tc>
      </w:tr>
      <w:tr>
        <w:trPr>
          <w:trHeight w:val="172"/>
        </w:trPr>
        <w:tc>
          <w:tcPr>
            <w:tcW w:w="474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ACTUAL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PRO-FORMA</w:t>
            </w:r>
          </w:p>
        </w:tc>
      </w:tr>
      <w:tr>
        <w:trPr>
          <w:trHeight w:val="172"/>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$5,535</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19,220</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19,220</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15,781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32,088</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35,838</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2,775</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2,775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3,506</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27,606</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31,356</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460" w:firstLine="358"/>
        <w:spacing w:after="0" w:line="262" w:lineRule="auto"/>
        <w:rPr>
          <w:sz w:val="20"/>
          <w:szCs w:val="20"/>
          <w:color w:val="auto"/>
        </w:rPr>
      </w:pPr>
      <w:r>
        <w:rPr>
          <w:rFonts w:ascii="Courier New" w:cs="Courier New" w:eastAsia="Courier New" w:hAnsi="Courier New"/>
          <w:sz w:val="14"/>
          <w:szCs w:val="14"/>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six months ended June 30, 2000 do not include any charges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306" w:lineRule="exact"/>
        <w:rPr>
          <w:sz w:val="20"/>
          <w:szCs w:val="20"/>
          <w:color w:val="auto"/>
        </w:rPr>
      </w:pPr>
    </w:p>
    <w:p>
      <w:pPr>
        <w:ind w:right="4380" w:firstLine="358"/>
        <w:spacing w:after="0" w:line="262" w:lineRule="auto"/>
        <w:rPr>
          <w:sz w:val="20"/>
          <w:szCs w:val="20"/>
          <w:color w:val="auto"/>
        </w:rPr>
      </w:pPr>
      <w:r>
        <w:rPr>
          <w:rFonts w:ascii="Courier New" w:cs="Courier New" w:eastAsia="Courier New" w:hAnsi="Courier New"/>
          <w:sz w:val="14"/>
          <w:szCs w:val="14"/>
          <w:color w:val="auto"/>
        </w:rPr>
        <w:t>During the second quarter 2000 we realized a $1,427,686 gain and recognized an increase in value related to our remaining holdings of $19,220,165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61" w:right="139" w:bottom="1440" w:gutter="0" w:footer="0" w:header="0"/>
        </w:sectPr>
      </w:pPr>
    </w:p>
    <w:bookmarkStart w:id="6" w:name="page7"/>
    <w:bookmarkEnd w:id="6"/>
    <w:p>
      <w:pPr>
        <w:ind w:left="3048"/>
        <w:spacing w:after="0"/>
        <w:rPr>
          <w:sz w:val="20"/>
          <w:szCs w:val="20"/>
          <w:color w:val="auto"/>
        </w:rPr>
      </w:pPr>
      <w:r>
        <w:rPr>
          <w:rFonts w:ascii="Courier New" w:cs="Courier New" w:eastAsia="Courier New" w:hAnsi="Courier New"/>
          <w:sz w:val="15"/>
          <w:szCs w:val="15"/>
          <w:color w:val="auto"/>
        </w:rPr>
        <w:t>RISK FACTORS</w:t>
      </w:r>
    </w:p>
    <w:p>
      <w:pPr>
        <w:spacing w:after="0" w:line="348"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347"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347"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200" w:lineRule="exact"/>
        <w:rPr>
          <w:sz w:val="20"/>
          <w:szCs w:val="20"/>
          <w:color w:val="auto"/>
        </w:rPr>
      </w:pPr>
    </w:p>
    <w:p>
      <w:pPr>
        <w:spacing w:after="0" w:line="320"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3" w:lineRule="exact"/>
        <w:rPr>
          <w:rFonts w:ascii="Courier New" w:cs="Courier New" w:eastAsia="Courier New" w:hAnsi="Courier New"/>
          <w:sz w:val="15"/>
          <w:szCs w:val="15"/>
          <w:color w:val="auto"/>
        </w:rPr>
      </w:pPr>
    </w:p>
    <w:p>
      <w:pPr>
        <w:ind w:left="8" w:right="3259" w:hanging="8"/>
        <w:spacing w:after="0" w:line="262" w:lineRule="auto"/>
        <w:tabs>
          <w:tab w:leader="none" w:pos="4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334"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5"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34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Even though we owned 126,193 shares of Modex Therapeutics Ltd., stock with an estimated fair market value of $19,220,165 based on the per share price of approximately $152.00, which we converted from a market price of 247.50 Swiss francs on June 30, 2000, we are restricted from selling these shares until December 23, 2000.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200" w:lineRule="exact"/>
        <w:rPr>
          <w:sz w:val="20"/>
          <w:szCs w:val="20"/>
          <w:color w:val="auto"/>
        </w:rPr>
      </w:pPr>
    </w:p>
    <w:p>
      <w:pPr>
        <w:spacing w:after="0" w:line="32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7" w:name="page8"/>
    <w:bookmarkEnd w:id="7"/>
    <w:p>
      <w:pPr>
        <w:ind w:right="3259"/>
        <w:spacing w:after="0" w:line="242" w:lineRule="auto"/>
        <w:rPr>
          <w:sz w:val="20"/>
          <w:szCs w:val="20"/>
          <w:color w:val="auto"/>
        </w:rPr>
      </w:pPr>
      <w:r>
        <w:rPr>
          <w:rFonts w:ascii="Courier New" w:cs="Courier New" w:eastAsia="Courier New" w:hAnsi="Courier New"/>
          <w:sz w:val="15"/>
          <w:szCs w:val="15"/>
          <w:color w:val="auto"/>
        </w:rPr>
        <w:t>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has agreed not to take any action as a result of this violation until November __, 2000. We intend to seek an additional period of forebearance from the landlord, but we cannot give any assurance that the landlord will grant this additional forebearance or that we will be able to sublease the premises during any additional period of time. If the landlord decides to pursue its rights after any period of forebearance, we may be required to pay the landlord the entire amount due for the rest of the lease period.</w:t>
      </w:r>
    </w:p>
    <w:p>
      <w:pPr>
        <w:spacing w:after="0" w:line="200" w:lineRule="exact"/>
        <w:rPr>
          <w:sz w:val="20"/>
          <w:szCs w:val="20"/>
          <w:color w:val="auto"/>
        </w:rPr>
      </w:pPr>
    </w:p>
    <w:p>
      <w:pPr>
        <w:spacing w:after="0" w:line="331"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200" w:lineRule="exact"/>
        <w:rPr>
          <w:sz w:val="20"/>
          <w:szCs w:val="20"/>
          <w:color w:val="auto"/>
        </w:rPr>
      </w:pPr>
    </w:p>
    <w:p>
      <w:pPr>
        <w:spacing w:after="0" w:line="328"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incurred $121,698,674 in operating losses through June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506" w:gutter="0" w:footer="0" w:header="0"/>
        </w:sectPr>
      </w:pPr>
    </w:p>
    <w:bookmarkStart w:id="8" w:name="page9"/>
    <w:bookmarkEnd w:id="8"/>
    <w:p>
      <w:pPr>
        <w:ind w:right="3879" w:firstLine="358"/>
        <w:spacing w:after="0"/>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348"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332"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FOUNDERS OF STEMCELLS CALIFORNIA, INC. HAVE THE RIGHT TO CONTROL OUR STEM CELL RESEARCH AND TO REACQUIRE OUR STEM CELL TECHNOLOGY UNDER CERTAIN CIRCUMSTANCES.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agreement by which we acquired StemCells California in September 1997 requires us to conduct our stem cell research in accordance with the provisions of an agreement between us and Drs. Irving Weissman and Fred Gage, founders of StemCells California, pursuant to a research plan. As long as we meet the goals of the research plan, we will continue to conduct our stem cell research under an extension of this research plan approved by a research committee. We must fund any increases in stem cell research funding of not more than 25% a year approved by the research committee as long as we meet the goals of the research plan, but we have the option of ceasing or reducing brain stem cell research even if we meet all research plan goals. Under those circumstances all unvested but still-achievable performance-based options granted to Drs. Weissman and Gage in connection with the acquisition of StemCells California would vest. However, if we cease or reduce non-brain stem cell research when we are meeting all research plan goals, Drs. Weissman and Gage would have the right to continue the non-brain stem cell research by licensing the relevant technology from us in exchange for a payment to us equal to all prior funding for such research plus royalty payments, which might not reflect the fair market value for this technology at the time.</w:t>
      </w:r>
    </w:p>
    <w:p>
      <w:pPr>
        <w:spacing w:after="0" w:line="35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34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3" w:right="1440" w:bottom="1440" w:gutter="0" w:footer="0" w:header="0"/>
        </w:sectPr>
      </w:pPr>
    </w:p>
    <w:bookmarkStart w:id="9" w:name="page10"/>
    <w:bookmarkEnd w:id="9"/>
    <w:p>
      <w:pPr>
        <w:ind w:right="3159" w:firstLine="358"/>
        <w:spacing w:after="0" w:line="24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348"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333"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200" w:lineRule="exact"/>
        <w:rPr>
          <w:sz w:val="20"/>
          <w:szCs w:val="20"/>
          <w:color w:val="auto"/>
        </w:rPr>
      </w:pPr>
    </w:p>
    <w:p>
      <w:pPr>
        <w:spacing w:after="0" w:line="32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200" w:lineRule="exact"/>
        <w:rPr>
          <w:sz w:val="20"/>
          <w:szCs w:val="20"/>
          <w:color w:val="auto"/>
        </w:rPr>
      </w:pPr>
    </w:p>
    <w:p>
      <w:pPr>
        <w:spacing w:after="0" w:line="32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34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200" w:lineRule="exact"/>
        <w:rPr>
          <w:sz w:val="20"/>
          <w:szCs w:val="20"/>
          <w:color w:val="auto"/>
        </w:rPr>
      </w:pPr>
    </w:p>
    <w:p>
      <w:pPr>
        <w:spacing w:after="0" w:line="324"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0" w:lineRule="exact"/>
        <w:rPr>
          <w:sz w:val="20"/>
          <w:szCs w:val="20"/>
          <w:color w:val="auto"/>
        </w:rPr>
      </w:pPr>
    </w:p>
    <w:p>
      <w:pPr>
        <w:spacing w:after="0" w:line="32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and ethical sources of the cells necessary for our potential products and obtain such cells in the quantity or quality sufficient to satisfy the commercial requirements of our potential products.</w:t>
      </w:r>
    </w:p>
    <w:p>
      <w:pPr>
        <w:spacing w:after="0" w:line="200" w:lineRule="exact"/>
        <w:rPr>
          <w:sz w:val="20"/>
          <w:szCs w:val="20"/>
          <w:color w:val="auto"/>
        </w:rPr>
      </w:pPr>
    </w:p>
    <w:p>
      <w:pPr>
        <w:spacing w:after="0" w:line="32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in key management and scientific positions who are not permanent employees. Loss of services of any of these individuals could have a material adverse effect on our operations, because</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1" w:name="page12"/>
    <w:bookmarkEnd w:id="11"/>
    <w:p>
      <w:pPr>
        <w:ind w:right="3079"/>
        <w:spacing w:after="0" w:line="261" w:lineRule="auto"/>
        <w:rPr>
          <w:sz w:val="20"/>
          <w:szCs w:val="20"/>
          <w:color w:val="auto"/>
        </w:rPr>
      </w:pPr>
      <w:r>
        <w:rPr>
          <w:rFonts w:ascii="Courier New" w:cs="Courier New" w:eastAsia="Courier New" w:hAnsi="Courier New"/>
          <w:sz w:val="14"/>
          <w:szCs w:val="14"/>
          <w:color w:val="auto"/>
        </w:rPr>
        <w:t>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200" w:lineRule="exact"/>
        <w:rPr>
          <w:sz w:val="20"/>
          <w:szCs w:val="20"/>
          <w:color w:val="auto"/>
        </w:rPr>
      </w:pPr>
    </w:p>
    <w:p>
      <w:pPr>
        <w:spacing w:after="0" w:line="31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On September 22, 2000 we announced that George Dunbar, our acting President and Chief Executive Officer, would be phasing out his service. Mr. Dunbar will continue in his position on a reduced time basis during this transition period. We are actively seeking a candidate to hire as our permanent chief executive officer, but we can give no assurance that we will be able to find a candidate possessing the necessary qualifications. If we are unable to hire and retain a qualified chief executive officer, our business and operations could suffer materially.</w:t>
      </w:r>
    </w:p>
    <w:p>
      <w:pPr>
        <w:spacing w:after="0" w:line="349"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200" w:lineRule="exact"/>
        <w:rPr>
          <w:sz w:val="20"/>
          <w:szCs w:val="20"/>
          <w:color w:val="auto"/>
        </w:rPr>
      </w:pPr>
    </w:p>
    <w:p>
      <w:pPr>
        <w:spacing w:after="0" w:line="32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2" w:name="page13"/>
    <w:bookmarkEnd w:id="12"/>
    <w:p>
      <w:pPr>
        <w:ind w:left="440" w:right="3079" w:hanging="88"/>
        <w:spacing w:after="0"/>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200" w:lineRule="exact"/>
        <w:rPr>
          <w:sz w:val="20"/>
          <w:szCs w:val="20"/>
          <w:color w:val="auto"/>
        </w:rPr>
      </w:pPr>
    </w:p>
    <w:p>
      <w:pPr>
        <w:spacing w:after="0" w:line="320" w:lineRule="exact"/>
        <w:rPr>
          <w:sz w:val="20"/>
          <w:szCs w:val="20"/>
          <w:color w:val="auto"/>
        </w:rPr>
      </w:pPr>
    </w:p>
    <w:p>
      <w:pPr>
        <w:jc w:val="both"/>
        <w:ind w:right="3339" w:firstLine="358"/>
        <w:spacing w:after="0" w:line="242"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200" w:lineRule="exact"/>
        <w:rPr>
          <w:sz w:val="20"/>
          <w:szCs w:val="20"/>
          <w:color w:val="auto"/>
        </w:rPr>
      </w:pPr>
    </w:p>
    <w:p>
      <w:pPr>
        <w:spacing w:after="0" w:line="324"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August 15, 2000, we had outstanding stock options to purchase approximately 2,556,486 shares of common stock, at an average exercise price of approximately $4.209 per share, subject to adjustment in certain circumstances. Of this total, options covering approximately 608,976 shares are currently exercisable at an average exercise price of approximately $4.693 per share.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 We are under no duty to update any of the forward-looking statements after the date of this prospectus or to conform these statements to actual results.</w:t>
      </w:r>
    </w:p>
    <w:p>
      <w:pPr>
        <w:spacing w:after="0" w:line="18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1" w:right="1440" w:bottom="1440" w:gutter="0" w:footer="0" w:header="0"/>
        </w:sectPr>
      </w:pPr>
    </w:p>
    <w:bookmarkStart w:id="14" w:name="page15"/>
    <w:bookmarkEnd w:id="14"/>
    <w:p>
      <w:pPr>
        <w:jc w:val="center"/>
        <w:ind w:right="3079"/>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following table presents our consolidated capitalization as of June 30, 2000 on a historical basis and as adjusted to reflect the $4,000,000 aggregate proceeds from our August 3, 2000 sale of 923,521 shares of common stock and $1,000,000 aggregate proceeds from our sale as of August 30, 2000 of 180,914 shares to Millennium Partners, L.P., net of a stock subscription receivable of $1,250,000. This table excludes</w:t>
      </w:r>
    </w:p>
    <w:p>
      <w:pPr>
        <w:spacing w:after="0" w:line="176" w:lineRule="exact"/>
        <w:rPr>
          <w:sz w:val="20"/>
          <w:szCs w:val="20"/>
          <w:color w:val="auto"/>
        </w:rPr>
      </w:pPr>
    </w:p>
    <w:p>
      <w:pPr>
        <w:ind w:left="520" w:right="30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2,852,973 shares of common stock issuable upon the exercise of outstanding stock options and warrants as follows:</w:t>
      </w:r>
    </w:p>
    <w:p>
      <w:pPr>
        <w:spacing w:after="0" w:line="176" w:lineRule="exact"/>
        <w:rPr>
          <w:rFonts w:ascii="Courier New" w:cs="Courier New" w:eastAsia="Courier New" w:hAnsi="Courier New"/>
          <w:sz w:val="15"/>
          <w:szCs w:val="15"/>
          <w:color w:val="auto"/>
        </w:rPr>
      </w:pPr>
    </w:p>
    <w:p>
      <w:pPr>
        <w:ind w:left="700" w:right="369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August 15, 2000, 2,556,486 shares of common stock upon the exercise of stock options pursuant to our stock option plans at a weighted average price of $4.209 per share.</w:t>
      </w:r>
    </w:p>
    <w:p>
      <w:pPr>
        <w:spacing w:after="0" w:line="176" w:lineRule="exact"/>
        <w:rPr>
          <w:rFonts w:ascii="Courier New" w:cs="Courier New" w:eastAsia="Courier New" w:hAnsi="Courier New"/>
          <w:sz w:val="15"/>
          <w:szCs w:val="15"/>
          <w:color w:val="auto"/>
        </w:rPr>
      </w:pPr>
    </w:p>
    <w:p>
      <w:pPr>
        <w:ind w:left="700" w:right="33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6" w:lineRule="exact"/>
        <w:rPr>
          <w:rFonts w:ascii="Courier New" w:cs="Courier New" w:eastAsia="Courier New" w:hAnsi="Courier New"/>
          <w:sz w:val="15"/>
          <w:szCs w:val="15"/>
          <w:color w:val="auto"/>
        </w:rPr>
      </w:pPr>
    </w:p>
    <w:p>
      <w:pPr>
        <w:ind w:left="700" w:right="34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6" w:lineRule="exact"/>
        <w:rPr>
          <w:rFonts w:ascii="Courier New" w:cs="Courier New" w:eastAsia="Courier New" w:hAnsi="Courier New"/>
          <w:sz w:val="15"/>
          <w:szCs w:val="15"/>
          <w:color w:val="auto"/>
        </w:rPr>
      </w:pPr>
    </w:p>
    <w:p>
      <w:pPr>
        <w:jc w:val="both"/>
        <w:ind w:left="700" w:right="3159" w:hanging="261"/>
        <w:spacing w:after="0" w:line="267"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8" w:lineRule="exact"/>
        <w:rPr>
          <w:rFonts w:ascii="Courier New" w:cs="Courier New" w:eastAsia="Courier New" w:hAnsi="Courier New"/>
          <w:sz w:val="14"/>
          <w:szCs w:val="14"/>
          <w:color w:val="auto"/>
        </w:rPr>
      </w:pPr>
    </w:p>
    <w:p>
      <w:pPr>
        <w:ind w:left="700" w:right="315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option to purchase up to an additional $2,000,000 of common stock through August 3, 2001.</w:t>
      </w:r>
    </w:p>
    <w:p>
      <w:pPr>
        <w:spacing w:after="0" w:line="348"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1" w:right="1440" w:bottom="1440" w:gutter="0" w:footer="0" w:header="0"/>
        </w:sectPr>
      </w:pPr>
    </w:p>
    <w:bookmarkStart w:id="15" w:name="page16"/>
    <w:bookmarkEnd w:id="15"/>
    <w:p>
      <w:pPr>
        <w:jc w:val="both"/>
        <w:ind w:right="3159" w:firstLine="358"/>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 2000</w:t>
            </w:r>
          </w:p>
        </w:tc>
      </w:tr>
      <w:tr>
        <w:trPr>
          <w:trHeight w:val="172"/>
        </w:trPr>
        <w:tc>
          <w:tcPr>
            <w:tcW w:w="5440" w:type="dxa"/>
            <w:vAlign w:val="bottom"/>
          </w:tcPr>
          <w:p>
            <w:pPr>
              <w:spacing w:after="0"/>
              <w:rPr>
                <w:sz w:val="14"/>
                <w:szCs w:val="14"/>
                <w:color w:val="auto"/>
              </w:rPr>
            </w:pP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ACTUAL</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issued..................................................</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1,500,000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19,612,677 (actual) and 20,717,112 (as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adjusted) shares issued.................................</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196,127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207,171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129,525,509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134,514,465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(121,698,674)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(121,698,674)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19,220,165</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19,220,165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(1,137,500)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(1,137,500)</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$ 27,605,627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$ 31,355,627</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463" w:right="1440" w:bottom="1440" w:gutter="0" w:footer="0" w:header="0"/>
        </w:sectPr>
      </w:pPr>
    </w:p>
    <w:bookmarkStart w:id="16" w:name="page17"/>
    <w:bookmarkEnd w:id="16"/>
    <w:p>
      <w:pPr>
        <w:ind w:left="3220"/>
        <w:spacing w:after="0"/>
        <w:rPr>
          <w:sz w:val="20"/>
          <w:szCs w:val="20"/>
          <w:color w:val="auto"/>
        </w:rPr>
      </w:pPr>
      <w:r>
        <w:rPr>
          <w:rFonts w:ascii="Courier New" w:cs="Courier New" w:eastAsia="Courier New" w:hAnsi="Courier New"/>
          <w:sz w:val="15"/>
          <w:szCs w:val="15"/>
          <w:color w:val="auto"/>
        </w:rPr>
        <w:t>DILUTION</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1" w:right="1440" w:bottom="1440" w:gutter="0" w:footer="0" w:header="0"/>
        </w:sectPr>
      </w:pPr>
    </w:p>
    <w:bookmarkStart w:id="17" w:name="page18"/>
    <w:bookmarkEnd w:id="17"/>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4560" w:firstLine="358"/>
        <w:spacing w:after="0" w:line="24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1996, 1997, 1998, and 1999 and for the years then ended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derived from our consolidated financial statements, which have been audited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 our independent auditors. The selected consolidated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as of June 30, 1999 and 2000, and for the six months then ended are derived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our unaudited financial statement. In the opinion of management,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financial statements have been prepared on the same basis 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consolidated financial statements and include all adjustments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only of normal recurring adjustments) necessary for a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of the financial position and results of operations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The selected consolidated financial data for the six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2000 are not necessarily indicative of the results that may be expected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2000 or any other future period.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3"/>
              </w:rPr>
              <w:t>ENDED</w:t>
            </w: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8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7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$ 5,022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14,730</w:t>
            </w:r>
          </w:p>
        </w:tc>
        <w:tc>
          <w:tcPr>
            <w:tcW w:w="120" w:type="dxa"/>
            <w:vAlign w:val="bottom"/>
          </w:tcPr>
          <w:p>
            <w:pPr>
              <w:spacing w:after="0"/>
              <w:rPr>
                <w:sz w:val="14"/>
                <w:szCs w:val="14"/>
                <w:color w:val="auto"/>
              </w:rPr>
            </w:pP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6,847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$(13,759)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$(12,628)</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$(15,709)</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$(3,773)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$(2,326)</w:t>
            </w:r>
          </w:p>
        </w:tc>
      </w:tr>
      <w:tr>
        <w:trPr>
          <w:trHeight w:val="172"/>
        </w:trPr>
        <w:tc>
          <w:tcPr>
            <w:tcW w:w="48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(0.20)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12,799</w:t>
            </w:r>
          </w:p>
        </w:tc>
        <w:tc>
          <w:tcPr>
            <w:tcW w:w="120" w:type="dxa"/>
            <w:vAlign w:val="bottom"/>
          </w:tcPr>
          <w:p>
            <w:pPr>
              <w:spacing w:after="0"/>
              <w:rPr>
                <w:sz w:val="14"/>
                <w:szCs w:val="14"/>
                <w:color w:val="auto"/>
              </w:rPr>
            </w:pP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18,483</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19,419</w:t>
            </w:r>
          </w:p>
        </w:tc>
      </w:tr>
    </w:tbl>
    <w:p>
      <w:pPr>
        <w:spacing w:after="0" w:line="348"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August 30, 2000 sale of 180,914 shares of common stock to Millennium Partners L.P. for $1,000,000, net of a stock subscription receivable of $1,250,000.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980" w:type="dxa"/>
            <w:vAlign w:val="bottom"/>
          </w:tcPr>
          <w:p>
            <w:pPr>
              <w:spacing w:after="0"/>
              <w:rPr>
                <w:sz w:val="14"/>
                <w:szCs w:val="14"/>
                <w:color w:val="auto"/>
              </w:rPr>
            </w:pPr>
          </w:p>
        </w:tc>
        <w:tc>
          <w:tcPr>
            <w:tcW w:w="22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w:t>
            </w:r>
          </w:p>
        </w:tc>
      </w:tr>
      <w:tr>
        <w:trPr>
          <w:trHeight w:val="172"/>
        </w:trPr>
        <w:tc>
          <w:tcPr>
            <w:tcW w:w="28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6"/>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ACTUAL</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PRO-FORMA</w:t>
            </w: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marketable securities........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$ 4,760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$ 5,535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$ 9,285</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19,220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19,220</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15,781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32,088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35,838</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capitalized leases...........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2,775</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27,606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31,356</w:t>
            </w:r>
          </w:p>
        </w:tc>
      </w:tr>
      <w:tr>
        <w:trPr>
          <w:trHeight w:val="688"/>
        </w:trPr>
        <w:tc>
          <w:tcPr>
            <w:tcW w:w="28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20"/>
          </w:cols>
          <w:pgMar w:left="240" w:top="461" w:right="139" w:bottom="1440" w:gutter="0" w:footer="0" w:header="0"/>
        </w:sectPr>
      </w:pPr>
    </w:p>
    <w:bookmarkStart w:id="18" w:name="page19"/>
    <w:bookmarkEnd w:id="18"/>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six months ended June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200" w:lineRule="exact"/>
        <w:rPr>
          <w:sz w:val="20"/>
          <w:szCs w:val="20"/>
          <w:color w:val="auto"/>
        </w:rPr>
      </w:pPr>
    </w:p>
    <w:p>
      <w:pPr>
        <w:spacing w:after="0" w:line="324"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352"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SIX MONTHS ENDED JUNE 30, 2000 AND 1999</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 the six months ended June 30, 2000 and 1999, revenues from collaborative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totaled $0 and $5,021,707, respectively. The decrease in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resulted from the June 1999 termination of a Development, Marketing and License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related to our former ECT. We have not yet entered into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revenue-producing collaborations with respect to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During the second quarter 2000 we realized a $1,427,686 gain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our investment in Modex Therapeutics Ltd., a Swiss biotechnology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 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we owned 126,193 shares with an estimated fair market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$19,220,165, based on the per share price of approximately $152.00, which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converted from a market price of 247.50 Swiss francs on that date.</w:t>
      </w:r>
    </w:p>
    <w:p>
      <w:pPr>
        <w:spacing w:after="0" w:line="348"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Research and development expenses totaled $1,659,932 for the six months ended June 30, 2000, compared with $6,847,383 for the same period in 1999. The decrease of $5,187,451, or 76%, from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1" w:right="1440" w:bottom="1440" w:gutter="0" w:footer="0" w:header="0"/>
        </w:sectPr>
      </w:pPr>
    </w:p>
    <w:bookmarkStart w:id="19" w:name="page20"/>
    <w:bookmarkEnd w:id="19"/>
    <w:p>
      <w:pPr>
        <w:ind w:right="3079"/>
        <w:spacing w:after="0" w:line="261" w:lineRule="auto"/>
        <w:rPr>
          <w:sz w:val="20"/>
          <w:szCs w:val="20"/>
          <w:color w:val="auto"/>
        </w:rPr>
      </w:pPr>
      <w:r>
        <w:rPr>
          <w:rFonts w:ascii="Courier New" w:cs="Courier New" w:eastAsia="Courier New" w:hAnsi="Courier New"/>
          <w:sz w:val="14"/>
          <w:szCs w:val="14"/>
          <w:color w:val="auto"/>
        </w:rPr>
        <w:t>to 2000 was primarily attributable to the wind-down of research activities relating to the ECT. General and administrative expenses were $2,078,286 for the six months ended June 30, 2000, compared with $2,168,315 for the same period in 1999. The decrease of $90,029, or 4%, from 1999 to 2000 was primarily attributable to the establishment of a smaller corporate office in California. Interest income for the six months ended June 30, 2000 and 1999 was $138,232 and $406,331, respectively. The decrease in interest income in 2000 was attributable to the lower average investment balances during such period. Interest expense was $142,566 for the six months ended June 30, 2000, compared with $185,054 for the same period in 1999. The decrease in 2000 was attributable to lower outstanding debt and capital lease balances in 2000 compared to 1999.</w:t>
      </w:r>
    </w:p>
    <w:p>
      <w:pPr>
        <w:spacing w:after="0" w:line="339"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Net loss for the six months ended June 30, 2000 was $2,325,964, or ($0.12) per share, as compared to net loss of $3,772,714, or ($0.20) per share, for the comparable period in 1999. The decrease in net loss of $1,446,750 from the same period in 1999 primarily reflects a gain from the sale of certain shares of our stock in Modex, as the reductions in expenses were offset by the decrease in revenues from collaboration agreements. We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 168.00 Swiss Francs, and the share price on June 30, 2000 was 247.50 Swiss Francs. The shares are subject to a lockup for 6 months from the date of the IPO.</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decrease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1998 to 1999 resulted primarily from the June 1999 termination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AstraZeneca Agreement. 1997 revenues included a $3,000,000 milestone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AstraZeneca related to the Phase II clinical trials for an ECT product.</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which encompasses the technology acquired upon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200" w:lineRule="exact"/>
        <w:rPr>
          <w:sz w:val="20"/>
          <w:szCs w:val="20"/>
          <w:color w:val="auto"/>
        </w:rPr>
      </w:pPr>
    </w:p>
    <w:p>
      <w:pPr>
        <w:spacing w:after="0" w:line="32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General and administrative expenses were $4,927,303 for the year ended December 31, 1999, compared with $4,603,000 in 1998 and $6,158,000 in 1997. The 1999 general administrative expenses were positively impacted by the reduction in facility costs that were included in wind-down ($796,000) as well as reduced activities and related personnel costs that were not incurred. This was due to the wind-down of our ECT programs and relocation of our headquarters in October 1999. The reduction of $1,555,000, or 25%, from 1997 to 1998 was primarily attributable to a reduction in legal fees, recruiting and relocation expenses, as well as a reduction in employees.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3" w:right="1440" w:bottom="1440" w:gutter="0" w:footer="0" w:header="0"/>
        </w:sectPr>
      </w:pPr>
    </w:p>
    <w:bookmarkStart w:id="20" w:name="page21"/>
    <w:bookmarkEnd w:id="20"/>
    <w:p>
      <w:pPr>
        <w:ind w:right="3079" w:firstLine="358"/>
        <w:spacing w:after="0" w:line="24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disposition of the Rhode Island facilities, and other related expenses totaling $762,000.</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5"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Therapeutiques.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1999, 1998 and 1997 was $15,709,000, $12,628,000,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$18,114,000, respectively. The loss per share was $0.84, $.69 and $1.08 in 1999,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1997, respectively. The increase from 1998 to 1999 is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elimination of revenue from the AstraZeneca Agreement, which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terminated in June 1999, as well as expenses related to the wind-down of our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ECT research and our other Rhode Island operations, the transfer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 to Sunnyvale, California and an accrual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$1,172,000 for our estimate of the costs of settlement of the funding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decrease from 1997 to 1998 was attributable to a one-time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$8,344,000 for acquired research and development related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StemCells California, Inc. offset by the $3,387,000 gain on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 sale of our interest in Modex in 1997.</w:t>
      </w:r>
    </w:p>
    <w:p>
      <w:pPr>
        <w:spacing w:after="0" w:line="200" w:lineRule="exact"/>
        <w:rPr>
          <w:sz w:val="20"/>
          <w:szCs w:val="20"/>
          <w:color w:val="auto"/>
        </w:rPr>
      </w:pPr>
    </w:p>
    <w:p>
      <w:pPr>
        <w:spacing w:after="0" w:line="320" w:lineRule="exact"/>
        <w:rPr>
          <w:sz w:val="20"/>
          <w:szCs w:val="20"/>
          <w:color w:val="auto"/>
        </w:rPr>
      </w:pPr>
    </w:p>
    <w:p>
      <w:pPr>
        <w:jc w:val="both"/>
        <w:ind w:right="3339" w:firstLine="358"/>
        <w:spacing w:after="0" w:line="265"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200" w:lineRule="exact"/>
        <w:rPr>
          <w:sz w:val="20"/>
          <w:szCs w:val="20"/>
          <w:color w:val="auto"/>
        </w:rPr>
      </w:pPr>
    </w:p>
    <w:p>
      <w:pPr>
        <w:spacing w:after="0" w:line="304" w:lineRule="exact"/>
        <w:rPr>
          <w:sz w:val="20"/>
          <w:szCs w:val="20"/>
          <w:color w:val="auto"/>
        </w:rPr>
      </w:pPr>
    </w:p>
    <w:p>
      <w:pPr>
        <w:ind w:right="3259" w:firstLine="358"/>
        <w:spacing w:after="0" w:line="265"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relating to the carrying costs of the Rhode Island facilities.</w:t>
      </w:r>
    </w:p>
    <w:p>
      <w:pPr>
        <w:spacing w:after="0" w:line="33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347"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176"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Our 126,193 shares of Modex stock are subject to a lock-up agreement for six months in connection with Modex' initial public offering. The actual sale price for the shares may vary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1" w:name="page22"/>
    <w:bookmarkEnd w:id="21"/>
    <w:p>
      <w:pPr>
        <w:ind w:right="3159"/>
        <w:spacing w:after="0"/>
        <w:rPr>
          <w:sz w:val="20"/>
          <w:szCs w:val="20"/>
          <w:color w:val="auto"/>
        </w:rPr>
      </w:pPr>
      <w:r>
        <w:rPr>
          <w:rFonts w:ascii="Courier New" w:cs="Courier New" w:eastAsia="Courier New" w:hAnsi="Courier New"/>
          <w:sz w:val="15"/>
          <w:szCs w:val="15"/>
          <w:color w:val="auto"/>
        </w:rPr>
        <w:t>significantly from the initial public offering price of 168.00 Swiss francs and the share price at June 30, 2000 of 247.50 Swiss francs.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March 1995, we signed a collaborative research and development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for the development and marketing of certain encapsulated-cell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to treat pain. AstraZeneca made an initial, nonrefundable payment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included in revenue from collaborative agreements in 1995,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milestone payment of $3,000,000 in 1997 and was to remit up to an additional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$13,000,000 subject to achievement of certain development milestones. Under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we were obligated to conduct certain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a four-year research plan agreed upon by the parties. Over the 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research plan, we originally expected to receive annual payments of</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Financial Statements.</w:t>
      </w: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33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34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July 1999, as a result of our decision to close our Rhode Island facilities, the Rhode Island Partnership for Science and Technology alleged that we were in default under a June, 1989 Funding Agreement, and demanded payment of approximately $2.6 million. While we believe we were not in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Our liquidity and capital resources could have also been affected by a claim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Genentech, Inc., arising out of the their collaborative development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licensing agreement relating to the development of products for the treatment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Parkinson's disease; however, the claim was resolved with no effect on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On May 21, 1998, Genentech exercised its right to terminate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Parkinson's collaboration and demanded that we redeem, for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$3,100,000, certain shares of our redeemable Common Stock held by Genentech.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Genentech's claim was based on provisions in the agreement requiring us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 at the price of $10.01 per share, the shares representing the difference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funds invested by Genentech to acquire such stock and the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expended by us on the terminated program less an additional $1,000,000.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2000, we entered into a Settlement Agreement with Genentech under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 released us from any obligation to redeem any shares of our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held by Genentech, without cost to us. Accordingly, the $5.2 million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common stock shown as a liability in our December 31, 1999 balance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 was transferred to equity in March, 2000 without any impact on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 We and Genentech also agreed that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collaborations between us were terminated, and that neither of us had any rights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intellectual property of the other.</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200" w:lineRule="exact"/>
        <w:rPr>
          <w:sz w:val="20"/>
          <w:szCs w:val="20"/>
          <w:color w:val="auto"/>
        </w:rPr>
      </w:pPr>
    </w:p>
    <w:p>
      <w:pPr>
        <w:spacing w:after="0" w:line="32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the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On April 13, 2000, we sold 1,500 shares of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w:t>
      </w:r>
    </w:p>
    <w:p>
      <w:pPr>
        <w:spacing w:after="0" w:line="200" w:lineRule="exact"/>
        <w:rPr>
          <w:sz w:val="20"/>
          <w:szCs w:val="20"/>
          <w:color w:val="auto"/>
        </w:rPr>
      </w:pPr>
    </w:p>
    <w:p>
      <w:pPr>
        <w:spacing w:after="0" w:line="30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23" w:name="page24"/>
    <w:bookmarkEnd w:id="23"/>
    <w:p>
      <w:pPr>
        <w:ind w:right="3159"/>
        <w:spacing w:after="0"/>
        <w:rPr>
          <w:sz w:val="20"/>
          <w:szCs w:val="20"/>
          <w:color w:val="auto"/>
        </w:rPr>
      </w:pPr>
      <w:r>
        <w:rPr>
          <w:rFonts w:ascii="Courier New" w:cs="Courier New" w:eastAsia="Courier New" w:hAnsi="Courier New"/>
          <w:sz w:val="15"/>
          <w:szCs w:val="15"/>
          <w:color w:val="auto"/>
        </w:rPr>
        <w:t>two years after the first acquisition of any of the additional 1,126 shares, if any are acquired. The warrants expire on April 13, 2005.</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August 3, 2000, we completed a $4 million common stock financing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with Millennium Partners, LP, or the Fund, an investment fund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than a billion dollars in assets under management. We received $3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purchase price at the closing and will receive the remaining $1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effectiveness of a registration statement covering the shares purchased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The Fund purchased our common stock at $4.33 per share. The Fund may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entitled to receive additional shares of common stock on eight dates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six months from the closing and every three months thereafter.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additional shares the Fund may be entitled to on each date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number of shares of common stock the Fund continues to hold on each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and the market price of our common stock over a period prior to each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will have the right, under certain circumstances, to cap the 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shares by purchasing part of the entitlement from the Fund. The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received a warrant to purchase up to 101,587 shares of common stock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$4.725 per share. This warrant is callable by us at $7.875 per underlying share.</w:t>
      </w:r>
    </w:p>
    <w:p>
      <w:pPr>
        <w:spacing w:after="0" w:line="200" w:lineRule="exact"/>
        <w:rPr>
          <w:sz w:val="20"/>
          <w:szCs w:val="20"/>
          <w:color w:val="auto"/>
        </w:rPr>
      </w:pPr>
    </w:p>
    <w:p>
      <w:pPr>
        <w:spacing w:after="0" w:line="329"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ind w:right="3079"/>
        <w:spacing w:after="0" w:line="242" w:lineRule="auto"/>
        <w:rPr>
          <w:sz w:val="20"/>
          <w:szCs w:val="20"/>
          <w:color w:val="auto"/>
        </w:rPr>
      </w:pPr>
      <w:r>
        <w:rPr>
          <w:rFonts w:ascii="Courier New" w:cs="Courier New" w:eastAsia="Courier New" w:hAnsi="Courier New"/>
          <w:sz w:val="15"/>
          <w:szCs w:val="15"/>
          <w:color w:val="auto"/>
        </w:rPr>
        <w:t>$1,000,000 of its option to purchase additional common stock at $5.53 per share. We received $750,000 of the purchase price at the closing on August 30, 2000, and will receive the remaining $250,000 upon effectiveness of a registration statement covering the shares owned by the Fund. The Fund may be entitled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19,900 shares of common stock at $6.03 per share. This warrant is callable by us at $10.05 per underlying share.</w:t>
      </w:r>
    </w:p>
    <w:p>
      <w:pPr>
        <w:spacing w:after="0" w:line="200" w:lineRule="exact"/>
        <w:rPr>
          <w:sz w:val="20"/>
          <w:szCs w:val="20"/>
          <w:color w:val="auto"/>
        </w:rPr>
      </w:pPr>
    </w:p>
    <w:p>
      <w:pPr>
        <w:spacing w:after="0" w:line="32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200" w:lineRule="exact"/>
        <w:rPr>
          <w:sz w:val="20"/>
          <w:szCs w:val="20"/>
          <w:color w:val="auto"/>
        </w:rPr>
      </w:pPr>
    </w:p>
    <w:p>
      <w:pPr>
        <w:spacing w:after="0" w:line="32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022"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non-embryonic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200" w:lineRule="exact"/>
        <w:rPr>
          <w:sz w:val="20"/>
          <w:szCs w:val="20"/>
          <w:color w:val="auto"/>
        </w:rPr>
      </w:pPr>
    </w:p>
    <w:p>
      <w:pPr>
        <w:spacing w:after="0" w:line="32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200" w:lineRule="exact"/>
        <w:rPr>
          <w:sz w:val="20"/>
          <w:szCs w:val="20"/>
          <w:color w:val="auto"/>
        </w:rPr>
      </w:pPr>
    </w:p>
    <w:p>
      <w:pPr>
        <w:spacing w:after="0" w:line="32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348"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200" w:lineRule="exact"/>
        <w:rPr>
          <w:sz w:val="20"/>
          <w:szCs w:val="20"/>
          <w:color w:val="auto"/>
        </w:rPr>
      </w:pPr>
    </w:p>
    <w:p>
      <w:pPr>
        <w:spacing w:after="0" w:line="30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33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1" w:right="1440" w:bottom="1440" w:gutter="0" w:footer="0" w:header="0"/>
        </w:sectPr>
      </w:pPr>
    </w:p>
    <w:bookmarkStart w:id="25" w:name="page26"/>
    <w:bookmarkEnd w:id="25"/>
    <w:p>
      <w:pPr>
        <w:ind w:right="3259"/>
        <w:spacing w:after="0" w:line="24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333" w:lineRule="exact"/>
        <w:rPr>
          <w:sz w:val="20"/>
          <w:szCs w:val="20"/>
          <w:color w:val="auto"/>
        </w:rPr>
      </w:pPr>
    </w:p>
    <w:p>
      <w:pPr>
        <w:ind w:left="700" w:hanging="35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5" w:lineRule="exact"/>
        <w:rPr>
          <w:rFonts w:ascii="Courier New" w:cs="Courier New" w:eastAsia="Courier New" w:hAnsi="Courier New"/>
          <w:sz w:val="15"/>
          <w:szCs w:val="15"/>
          <w:color w:val="auto"/>
        </w:rPr>
      </w:pPr>
    </w:p>
    <w:p>
      <w:pPr>
        <w:ind w:left="620" w:right="3079" w:hanging="270"/>
        <w:spacing w:after="0"/>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348"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200" w:lineRule="exact"/>
        <w:rPr>
          <w:sz w:val="20"/>
          <w:szCs w:val="20"/>
          <w:color w:val="auto"/>
        </w:rPr>
      </w:pPr>
    </w:p>
    <w:p>
      <w:pPr>
        <w:spacing w:after="0" w:line="322"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200" w:lineRule="exact"/>
        <w:rPr>
          <w:sz w:val="20"/>
          <w:szCs w:val="20"/>
          <w:color w:val="auto"/>
        </w:rPr>
      </w:pPr>
    </w:p>
    <w:p>
      <w:pPr>
        <w:spacing w:after="0" w:line="30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345" w:lineRule="exact"/>
        <w:rPr>
          <w:sz w:val="20"/>
          <w:szCs w:val="20"/>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346"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346"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348" w:lineRule="exact"/>
        <w:rPr>
          <w:sz w:val="20"/>
          <w:szCs w:val="20"/>
          <w:color w:val="auto"/>
        </w:rPr>
      </w:pPr>
    </w:p>
    <w:p>
      <w:pPr>
        <w:ind w:left="520" w:right="359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200" w:lineRule="exact"/>
        <w:rPr>
          <w:sz w:val="20"/>
          <w:szCs w:val="20"/>
          <w:color w:val="auto"/>
        </w:rPr>
      </w:pPr>
    </w:p>
    <w:p>
      <w:pPr>
        <w:spacing w:after="0" w:line="32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200" w:lineRule="exact"/>
        <w:rPr>
          <w:sz w:val="20"/>
          <w:szCs w:val="20"/>
          <w:color w:val="auto"/>
        </w:rPr>
      </w:pPr>
    </w:p>
    <w:p>
      <w:pPr>
        <w:spacing w:after="0" w:line="32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1" w:right="1440" w:bottom="850" w:gutter="0" w:footer="0" w:header="0"/>
        </w:sectPr>
      </w:pPr>
    </w:p>
    <w:bookmarkStart w:id="27" w:name="page28"/>
    <w:bookmarkEnd w:id="27"/>
    <w:p>
      <w:pPr>
        <w:ind w:right="3259"/>
        <w:spacing w:after="0"/>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and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28" w:name="page29"/>
    <w:bookmarkEnd w:id="28"/>
    <w:p>
      <w:pPr>
        <w:ind w:left="8" w:right="3879"/>
        <w:spacing w:after="0"/>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5348"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7"/>
          </w:cols>
          <w:pgMar w:left="232" w:top="635" w:right="1440" w:bottom="1440" w:gutter="0" w:footer="0" w:header="0"/>
        </w:sectPr>
      </w:pPr>
    </w:p>
    <w:p>
      <w:pPr>
        <w:spacing w:after="0" w:line="176" w:lineRule="exact"/>
        <w:rPr>
          <w:sz w:val="20"/>
          <w:szCs w:val="20"/>
          <w:color w:val="auto"/>
        </w:rPr>
      </w:pPr>
    </w:p>
    <w:p>
      <w:pPr>
        <w:ind w:left="8" w:right="100"/>
        <w:spacing w:after="0" w:line="263"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 or replace damaged pancreas islet tissue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68" w:right="163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819" w:hanging="268"/>
        <w:spacing w:after="0" w:line="260" w:lineRule="auto"/>
        <w:tabs>
          <w:tab w:leader="none" w:pos="2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68" w:right="1999" w:hanging="268"/>
        <w:spacing w:after="0" w:line="241"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864" w:lineRule="exact"/>
        <w:rPr>
          <w:sz w:val="20"/>
          <w:szCs w:val="20"/>
          <w:color w:val="auto"/>
        </w:rPr>
      </w:pPr>
    </w:p>
    <w:p>
      <w:pPr>
        <w:sectPr>
          <w:pgSz w:w="11900" w:h="16838" w:orient="portrait"/>
          <w:cols w:equalWidth="0" w:num="2">
            <w:col w:w="3048" w:space="172"/>
            <w:col w:w="7007"/>
          </w:cols>
          <w:pgMar w:left="232" w:top="635" w:right="1440" w:bottom="1440" w:gutter="0" w:footer="0" w:header="0"/>
          <w:type w:val="continuous"/>
        </w:sectPr>
      </w:pPr>
    </w:p>
    <w:p>
      <w:pPr>
        <w:ind w:left="348" w:right="3079" w:hanging="348"/>
        <w:spacing w:after="0" w:line="265"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200" w:lineRule="exact"/>
        <w:rPr>
          <w:sz w:val="20"/>
          <w:szCs w:val="20"/>
          <w:color w:val="auto"/>
        </w:rPr>
      </w:pPr>
    </w:p>
    <w:p>
      <w:pPr>
        <w:spacing w:after="0" w:line="32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200" w:lineRule="exact"/>
        <w:rPr>
          <w:sz w:val="20"/>
          <w:szCs w:val="20"/>
          <w:color w:val="auto"/>
        </w:rPr>
      </w:pPr>
    </w:p>
    <w:p>
      <w:pPr>
        <w:spacing w:after="0" w:line="32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transplantation in the human body as embodied in these patents. See "License Agreements and Sponsored Research Agreements--NeuroSpheres, Ltd."</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5" w:right="1440" w:bottom="1440" w:gutter="0" w:footer="0" w:header="0"/>
          <w:type w:val="continuous"/>
        </w:sectPr>
      </w:pPr>
    </w:p>
    <w:bookmarkStart w:id="29" w:name="page30"/>
    <w:bookmarkEnd w:id="29"/>
    <w:p>
      <w:pPr>
        <w:ind w:right="3079" w:firstLine="358"/>
        <w:spacing w:after="0" w:line="24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200" w:lineRule="exact"/>
        <w:rPr>
          <w:sz w:val="20"/>
          <w:szCs w:val="20"/>
          <w:color w:val="auto"/>
        </w:rPr>
      </w:pPr>
    </w:p>
    <w:p>
      <w:pPr>
        <w:spacing w:after="0" w:line="32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200" w:lineRule="exact"/>
        <w:rPr>
          <w:sz w:val="20"/>
          <w:szCs w:val="20"/>
          <w:color w:val="auto"/>
        </w:rPr>
      </w:pPr>
    </w:p>
    <w:p>
      <w:pPr>
        <w:spacing w:after="0" w:line="32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200" w:lineRule="exact"/>
        <w:rPr>
          <w:sz w:val="20"/>
          <w:szCs w:val="20"/>
          <w:color w:val="auto"/>
        </w:rPr>
      </w:pPr>
    </w:p>
    <w:p>
      <w:pPr>
        <w:spacing w:after="0" w:line="321"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200" w:lineRule="exact"/>
        <w:rPr>
          <w:sz w:val="20"/>
          <w:szCs w:val="20"/>
          <w:color w:val="auto"/>
        </w:rPr>
      </w:pPr>
    </w:p>
    <w:p>
      <w:pPr>
        <w:spacing w:after="0" w:line="30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200" w:lineRule="exact"/>
        <w:rPr>
          <w:sz w:val="20"/>
          <w:szCs w:val="20"/>
          <w:color w:val="auto"/>
        </w:rPr>
      </w:pPr>
    </w:p>
    <w:p>
      <w:pPr>
        <w:spacing w:after="0" w:line="32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200" w:lineRule="exact"/>
        <w:rPr>
          <w:sz w:val="20"/>
          <w:szCs w:val="20"/>
          <w:color w:val="auto"/>
        </w:rPr>
      </w:pPr>
    </w:p>
    <w:p>
      <w:pPr>
        <w:spacing w:after="0" w:line="321" w:lineRule="exact"/>
        <w:rPr>
          <w:sz w:val="20"/>
          <w:szCs w:val="20"/>
          <w:color w:val="auto"/>
        </w:rPr>
      </w:pPr>
    </w:p>
    <w:p>
      <w:pPr>
        <w:ind w:right="3439" w:firstLine="358"/>
        <w:spacing w:after="0" w:line="265"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200" w:lineRule="exact"/>
        <w:rPr>
          <w:sz w:val="20"/>
          <w:szCs w:val="20"/>
          <w:color w:val="auto"/>
        </w:rPr>
      </w:pPr>
    </w:p>
    <w:p>
      <w:pPr>
        <w:spacing w:after="0" w:line="30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022" w:gutter="0" w:footer="0" w:header="0"/>
        </w:sectPr>
      </w:pPr>
    </w:p>
    <w:bookmarkStart w:id="30" w:name="page31"/>
    <w:bookmarkEnd w:id="30"/>
    <w:p>
      <w:pPr>
        <w:ind w:right="3159" w:firstLine="358"/>
        <w:spacing w:after="0" w:line="26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200" w:lineRule="exact"/>
        <w:rPr>
          <w:sz w:val="20"/>
          <w:szCs w:val="20"/>
          <w:color w:val="auto"/>
        </w:rPr>
      </w:pPr>
    </w:p>
    <w:p>
      <w:pPr>
        <w:spacing w:after="0" w:line="320" w:lineRule="exact"/>
        <w:rPr>
          <w:sz w:val="20"/>
          <w:szCs w:val="20"/>
          <w:color w:val="auto"/>
        </w:rPr>
      </w:pPr>
    </w:p>
    <w:p>
      <w:pPr>
        <w:ind w:left="520" w:right="3259" w:hanging="170"/>
        <w:spacing w:after="0" w:line="241"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34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3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200" w:lineRule="exact"/>
        <w:rPr>
          <w:sz w:val="20"/>
          <w:szCs w:val="20"/>
          <w:color w:val="auto"/>
        </w:rPr>
      </w:pPr>
    </w:p>
    <w:p>
      <w:pPr>
        <w:spacing w:after="0" w:line="32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there.</w:t>
      </w:r>
    </w:p>
    <w:p>
      <w:pPr>
        <w:spacing w:after="0" w:line="35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1" w:right="1440" w:bottom="1440" w:gutter="0" w:footer="0" w:header="0"/>
        </w:sectPr>
      </w:pPr>
    </w:p>
    <w:bookmarkStart w:id="32" w:name="page33"/>
    <w:bookmarkEnd w:id="32"/>
    <w:p>
      <w:pPr>
        <w:ind w:right="3259" w:firstLine="358"/>
        <w:spacing w:after="0" w:line="262"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We now own 126,193 shares, or approximately 9%, of Modex's equity, subject to a lockup until December 23, 2000. The closing market price of Modex stock on the Swiss New Market exchange on August 15, 2000, was 298.5 Swiss Francs (or approximately $174) per share.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348"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In March 1994, we entered into a Contract Research and License Agreement with NeuroSpheres, Ltd., which was clarified in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Our agreement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3" w:name="page34"/>
    <w:bookmarkEnd w:id="33"/>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35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agreement with Scripps expires on November 14, 2000 and we are seeking to extend the term of this agreement.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and additional $125,000. Upon approval of the first product for sale in the market, we must pay Scripps $250,000.</w:t>
      </w:r>
    </w:p>
    <w:p>
      <w:pPr>
        <w:spacing w:after="0" w:line="200" w:lineRule="exact"/>
        <w:rPr>
          <w:sz w:val="20"/>
          <w:szCs w:val="20"/>
          <w:color w:val="auto"/>
        </w:rPr>
      </w:pPr>
    </w:p>
    <w:p>
      <w:pPr>
        <w:spacing w:after="0" w:line="32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1" w:right="1440" w:bottom="1440" w:gutter="0" w:footer="0" w:header="0"/>
        </w:sectPr>
      </w:pPr>
    </w:p>
    <w:bookmarkStart w:id="34" w:name="page35"/>
    <w:bookmarkEnd w:id="34"/>
    <w:p>
      <w:pPr>
        <w:ind w:right="3699"/>
        <w:spacing w:after="0"/>
        <w:rPr>
          <w:sz w:val="20"/>
          <w:szCs w:val="20"/>
          <w:color w:val="auto"/>
        </w:rPr>
      </w:pPr>
      <w:r>
        <w:rPr>
          <w:rFonts w:ascii="Courier New" w:cs="Courier New" w:eastAsia="Courier New" w:hAnsi="Courier New"/>
          <w:sz w:val="15"/>
          <w:szCs w:val="15"/>
          <w:color w:val="auto"/>
        </w:rPr>
        <w:t>cell programs, all of the issues that will affect manufacture of stem and progenitor cell products are not yet clear.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34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200" w:lineRule="exact"/>
        <w:rPr>
          <w:sz w:val="20"/>
          <w:szCs w:val="20"/>
          <w:color w:val="auto"/>
        </w:rPr>
      </w:pPr>
    </w:p>
    <w:p>
      <w:pPr>
        <w:spacing w:after="0" w:line="321"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We own or have filed patent applications which have been published for the following patents: Patent Number 5,968,829 (Human CNS neural stem cells); [Patent Number 6,103,530 (Human CNS neural stem cells--culture media)]; [Application Number WO 99/11758 (Cultures of human CNS neural stem cells)]; and [Application Number WO 00/36091 (An animal model for identifying a common stem/ 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 We have licensed the following patents or pending patent applications from the University of California, San Diego: Patent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5,776,948 (Method of production of neuroblasts); Patent Number 6,013,521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production of neuroblasts); Patent Number 6,020,197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and Application Number WO 94/16059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We have licensed the following patents or pending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applications from the California Institute of Technology: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5,629,159 (Immortalization and disimmortalization of cells);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96/40877 (Immortalization and disimmortalization of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5,935,811 (Neuron restrictive silencer factor proteins);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96/27665 (Neuron restrictive silencer factor proteins);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5,589,376 (Mammalian neural crest stem</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5" w:name="page36"/>
    <w:bookmarkEnd w:id="35"/>
    <w:p>
      <w:pPr>
        <w:ind w:right="3079"/>
        <w:spacing w:after="0" w:line="261" w:lineRule="auto"/>
        <w:rPr>
          <w:sz w:val="20"/>
          <w:szCs w:val="20"/>
          <w:color w:val="auto"/>
        </w:rPr>
      </w:pPr>
      <w:r>
        <w:rPr>
          <w:rFonts w:ascii="Courier New" w:cs="Courier New" w:eastAsia="Courier New" w:hAnsi="Courier New"/>
          <w:sz w:val="14"/>
          <w:szCs w:val="14"/>
          <w:color w:val="auto"/>
        </w:rPr>
        <w:t>cells); Patent Number 5,824,489 (Methods for isolating mammalian multipotent neural crest stem cells); Application Number WO 94/02593 (Mammalian neural crest stem cells); Patent Number 5,654,183 (Genetically engineered mammalian neural crest stem cells); Patent Number 5,928,947 (Mammalian multipotent neural crest stem cells); Patent Number 5,693,482 (In vitro neural crest stem cell assay); [Patent 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338"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35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35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and is expected to increase. Our most significant competitors are expected to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6" w:name="page37"/>
    <w:bookmarkEnd w:id="36"/>
    <w:p>
      <w:pPr>
        <w:ind w:left="8" w:right="3159"/>
        <w:spacing w:after="0" w:line="241" w:lineRule="auto"/>
        <w:rPr>
          <w:sz w:val="20"/>
          <w:szCs w:val="20"/>
          <w:color w:val="auto"/>
        </w:rPr>
      </w:pPr>
      <w:r>
        <w:rPr>
          <w:rFonts w:ascii="Courier New" w:cs="Courier New" w:eastAsia="Courier New" w:hAnsi="Courier New"/>
          <w:sz w:val="15"/>
          <w:szCs w:val="15"/>
          <w:color w:val="auto"/>
        </w:rPr>
        <w:t>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347" w:lineRule="exact"/>
        <w:rPr>
          <w:sz w:val="20"/>
          <w:szCs w:val="20"/>
          <w:color w:val="auto"/>
        </w:rPr>
      </w:pPr>
    </w:p>
    <w:p>
      <w:pPr>
        <w:ind w:left="8" w:right="3259" w:firstLine="358"/>
        <w:spacing w:after="0" w:line="262"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33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63" w:right="1440" w:bottom="1440" w:gutter="0" w:footer="0" w:header="0"/>
        </w:sectPr>
      </w:pPr>
    </w:p>
    <w:p>
      <w:pPr>
        <w:spacing w:after="0" w:line="184"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4028" w:space="180"/>
            <w:col w:w="6019"/>
          </w:cols>
          <w:pgMar w:left="232" w:top="463" w:right="1440" w:bottom="1440" w:gutter="0" w:footer="0" w:header="0"/>
          <w:type w:val="continuous"/>
        </w:sect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463" w:right="1440" w:bottom="1440" w:gutter="0" w:footer="0" w:header="0"/>
          <w:type w:val="continuous"/>
        </w:sectPr>
      </w:pPr>
    </w:p>
    <w:bookmarkStart w:id="37" w:name="page38"/>
    <w:bookmarkEnd w:id="37"/>
    <w:p>
      <w:pPr>
        <w:ind w:left="8" w:hanging="8"/>
        <w:spacing w:after="0" w:line="241" w:lineRule="auto"/>
        <w:tabs>
          <w:tab w:leader="none" w:pos="27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right="540" w:hanging="8"/>
        <w:spacing w:after="0"/>
        <w:tabs>
          <w:tab w:leader="none" w:pos="27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1999"/>
        <w:spacing w:after="0" w:line="242"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left="4" w:right="2179"/>
        <w:spacing w:after="0" w:line="24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4" w:right="2359" w:hanging="4"/>
        <w:spacing w:after="0" w:line="260" w:lineRule="auto"/>
        <w:tabs>
          <w:tab w:leader="none" w:pos="1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159" w:lineRule="exact"/>
        <w:rPr>
          <w:rFonts w:ascii="Courier New" w:cs="Courier New" w:eastAsia="Courier New" w:hAnsi="Courier New"/>
          <w:sz w:val="14"/>
          <w:szCs w:val="14"/>
          <w:color w:val="auto"/>
        </w:rPr>
      </w:pPr>
    </w:p>
    <w:p>
      <w:pPr>
        <w:ind w:left="4" w:right="2439" w:hanging="4"/>
        <w:spacing w:after="0" w:line="260" w:lineRule="auto"/>
        <w:tabs>
          <w:tab w:leader="none" w:pos="1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8" w:lineRule="exact"/>
        <w:rPr>
          <w:rFonts w:ascii="Courier New" w:cs="Courier New" w:eastAsia="Courier New" w:hAnsi="Courier New"/>
          <w:sz w:val="14"/>
          <w:szCs w:val="14"/>
          <w:color w:val="auto"/>
        </w:rPr>
      </w:pPr>
    </w:p>
    <w:p>
      <w:pPr>
        <w:ind w:left="4" w:right="2259" w:hanging="4"/>
        <w:spacing w:after="0" w:line="260" w:lineRule="auto"/>
        <w:tabs>
          <w:tab w:leader="none" w:pos="18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6"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5"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200" w:lineRule="exact"/>
        <w:rPr>
          <w:sz w:val="20"/>
          <w:szCs w:val="20"/>
          <w:color w:val="auto"/>
        </w:rPr>
      </w:pPr>
    </w:p>
    <w:p>
      <w:pPr>
        <w:sectPr>
          <w:pgSz w:w="11900" w:h="16838" w:orient="portrait"/>
          <w:cols w:equalWidth="0" w:num="2">
            <w:col w:w="3848" w:space="356"/>
            <w:col w:w="6023"/>
          </w:cols>
          <w:pgMar w:left="232" w:top="979"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979" w:right="1440" w:bottom="1440" w:gutter="0" w:footer="0" w:header="0"/>
          <w:type w:val="continuous"/>
        </w:sectPr>
      </w:pPr>
    </w:p>
    <w:bookmarkStart w:id="38" w:name="page39"/>
    <w:bookmarkEnd w:id="38"/>
    <w:p>
      <w:pPr>
        <w:ind w:left="8" w:hanging="8"/>
        <w:spacing w:after="0" w:line="242" w:lineRule="auto"/>
        <w:tabs>
          <w:tab w:leader="none" w:pos="27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42"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979" w:right="1440" w:bottom="1440" w:gutter="0" w:footer="0" w:header="0"/>
        </w:sectPr>
      </w:pPr>
    </w:p>
    <w:p>
      <w:pPr>
        <w:spacing w:after="0" w:line="323"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350"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w:t>
      </w:r>
    </w:p>
    <w:p>
      <w:pPr>
        <w:spacing w:after="0" w:line="200" w:lineRule="exact"/>
        <w:rPr>
          <w:sz w:val="20"/>
          <w:szCs w:val="20"/>
          <w:color w:val="auto"/>
        </w:rPr>
      </w:pPr>
    </w:p>
    <w:p>
      <w:pPr>
        <w:spacing w:after="0" w:line="32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34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PROPOSED FDA REGULATIONS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979" w:right="1440" w:bottom="1440" w:gutter="0" w:footer="0" w:header="0"/>
          <w:type w:val="continuous"/>
        </w:sectPr>
      </w:pPr>
    </w:p>
    <w:bookmarkStart w:id="39" w:name="page40"/>
    <w:bookmarkEnd w:id="39"/>
    <w:p>
      <w:pPr>
        <w:ind w:left="8" w:right="3159" w:firstLine="358"/>
        <w:spacing w:after="0" w:line="242"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OTHER REGULATIONS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347"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349"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200" w:lineRule="exact"/>
        <w:rPr>
          <w:sz w:val="20"/>
          <w:szCs w:val="20"/>
          <w:color w:val="auto"/>
        </w:rPr>
      </w:pPr>
    </w:p>
    <w:p>
      <w:pPr>
        <w:spacing w:after="0" w:line="32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investment in 123,193 shares of Modex Therapeutics Ltd. Stock was valued at $19,220,165 based on the per share price of approximately $152.00, which we converted from a market price of 247.50 Swiss francs on June 30, 2000.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 200.00 Swiss francs on June 23, 2000 to a high of 390.00 Swiss francs on October 6, 2000. If we were to seek to liquidate all or part of our investment in Modex, our proceeds would depend on the share price and foreign currency exchange rates at the time of conversion. Additionally, if we sell a sizable portion of our holdings, we may have to sell these shares at a discount to market price. We are restricted from any sale of our shares in Modex until December 23, 2000.</w:t>
      </w:r>
    </w:p>
    <w:p>
      <w:pPr>
        <w:spacing w:after="0" w:line="200" w:lineRule="exact"/>
        <w:rPr>
          <w:sz w:val="20"/>
          <w:szCs w:val="20"/>
          <w:color w:val="auto"/>
        </w:rPr>
      </w:pPr>
    </w:p>
    <w:p>
      <w:pPr>
        <w:spacing w:after="0" w:line="32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ectPr>
          <w:pgSz w:w="11900" w:h="16838" w:orient="portrait"/>
          <w:cols w:equalWidth="0" w:num="1">
            <w:col w:w="10227"/>
          </w:cols>
          <w:pgMar w:left="232"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NO.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VALUE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5"/>
          <w:szCs w:val="15"/>
          <w:color w:val="auto"/>
        </w:rPr>
        <w:t>EXPECTED</w:t>
      </w:r>
    </w:p>
    <w:p>
      <w:pPr>
        <w:spacing w:after="0" w:line="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5"/>
          <w:szCs w:val="15"/>
          <w:color w:val="auto"/>
        </w:rPr>
        <w:t>FUTURE</w:t>
      </w:r>
    </w:p>
    <w:p>
      <w:pPr>
        <w:spacing w:after="0" w:line="4"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4"/>
          <w:szCs w:val="14"/>
          <w:color w:val="auto"/>
        </w:rPr>
        <w:t>CASH FLOWS</w:t>
      </w:r>
    </w:p>
    <w:p>
      <w:pPr>
        <w:spacing w:after="0" w:line="183" w:lineRule="exact"/>
        <w:rPr>
          <w:sz w:val="20"/>
          <w:szCs w:val="20"/>
          <w:color w:val="auto"/>
        </w:rPr>
      </w:pPr>
    </w:p>
    <w:p>
      <w:pPr>
        <w:sectPr>
          <w:pgSz w:w="11900" w:h="16838" w:orient="portrait"/>
          <w:cols w:equalWidth="0" w:num="5">
            <w:col w:w="1528" w:space="520"/>
            <w:col w:w="1160" w:space="720"/>
            <w:col w:w="900" w:space="620"/>
            <w:col w:w="1080" w:space="620"/>
            <w:col w:w="3079"/>
          </w:cols>
          <w:pgMar w:left="232" w:top="463" w:right="1440" w:bottom="1440" w:gutter="0" w:footer="0" w:header="0"/>
          <w:type w:val="continuous"/>
        </w:sectPr>
      </w:pPr>
    </w:p>
    <w:p>
      <w:pPr>
        <w:ind w:left="528"/>
        <w:spacing w:after="0"/>
        <w:rPr>
          <w:sz w:val="20"/>
          <w:szCs w:val="20"/>
          <w:color w:val="auto"/>
        </w:rPr>
      </w:pPr>
      <w:r>
        <w:rPr>
          <w:rFonts w:ascii="Courier New" w:cs="Courier New" w:eastAsia="Courier New" w:hAnsi="Courier New"/>
          <w:sz w:val="15"/>
          <w:szCs w:val="15"/>
          <w:color w:val="auto"/>
        </w:rPr>
        <w:t>123,193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Modex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sectPr>
          <w:pgSz w:w="11900" w:h="16838" w:orient="portrait"/>
          <w:cols w:equalWidth="0" w:num="5">
            <w:col w:w="1608" w:space="720"/>
            <w:col w:w="620" w:space="720"/>
            <w:col w:w="1260" w:space="520"/>
            <w:col w:w="1340" w:space="720"/>
            <w:col w:w="2719"/>
          </w:cols>
          <w:pgMar w:left="232" w:top="463" w:right="1440" w:bottom="1440" w:gutter="0" w:footer="0" w:header="0"/>
          <w:type w:val="continuous"/>
        </w:sectPr>
      </w:pPr>
    </w:p>
    <w:p>
      <w:pPr>
        <w:ind w:left="1968"/>
        <w:spacing w:after="0"/>
        <w:rPr>
          <w:sz w:val="20"/>
          <w:szCs w:val="20"/>
          <w:color w:val="auto"/>
        </w:rPr>
      </w:pPr>
      <w:r>
        <w:rPr>
          <w:rFonts w:ascii="Courier New" w:cs="Courier New" w:eastAsia="Courier New" w:hAnsi="Courier New"/>
          <w:sz w:val="15"/>
          <w:szCs w:val="15"/>
          <w:color w:val="auto"/>
        </w:rPr>
        <w:t>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Currency</w:t>
      </w:r>
    </w:p>
    <w:p>
      <w:pPr>
        <w:spacing w:after="0" w:line="4" w:lineRule="exact"/>
        <w:rPr>
          <w:sz w:val="20"/>
          <w:szCs w:val="20"/>
          <w:color w:val="auto"/>
        </w:rPr>
      </w:pPr>
    </w:p>
    <w:p>
      <w:pPr>
        <w:sectPr>
          <w:pgSz w:w="11900" w:h="16838" w:orient="portrait"/>
          <w:cols w:equalWidth="0" w:num="2">
            <w:col w:w="3048" w:space="620"/>
            <w:col w:w="6559"/>
          </w:cols>
          <w:pgMar w:left="232" w:top="463" w:right="1440" w:bottom="1440" w:gutter="0" w:footer="0" w:header="0"/>
          <w:type w:val="continuous"/>
        </w:sectPr>
      </w:pPr>
    </w:p>
    <w:p>
      <w:pPr>
        <w:ind w:left="3668"/>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0227"/>
          </w:cols>
          <w:pgMar w:left="232" w:top="463"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079"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has not formerly adopted a liquidation plan for this investment, liquidation may be necessary to meet operating cash flow requirements. Under the agreement with Modex, the company is restricted from selling its holding through December 23, 2000.</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463" w:right="1440" w:bottom="1440" w:gutter="0" w:footer="0" w:header="0"/>
          <w:type w:val="continuous"/>
        </w:sectPr>
      </w:pPr>
    </w:p>
    <w:bookmarkStart w:id="40" w:name="page41"/>
    <w:bookmarkEnd w:id="40"/>
    <w:p>
      <w:pPr>
        <w:ind w:right="3259" w:firstLine="358"/>
        <w:spacing w:after="0" w:line="242"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84" w:lineRule="exact"/>
        <w:rPr>
          <w:sz w:val="20"/>
          <w:szCs w:val="20"/>
          <w:color w:val="auto"/>
        </w:rPr>
      </w:pPr>
    </w:p>
    <w:p>
      <w:pPr>
        <w:ind w:left="520" w:right="3259" w:hanging="170"/>
        <w:spacing w:after="0" w:line="242"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6" w:lineRule="exact"/>
        <w:rPr>
          <w:rFonts w:ascii="Courier New" w:cs="Courier New" w:eastAsia="Courier New" w:hAnsi="Courier New"/>
          <w:sz w:val="15"/>
          <w:szCs w:val="15"/>
          <w:color w:val="auto"/>
        </w:rPr>
      </w:pPr>
    </w:p>
    <w:p>
      <w:pPr>
        <w:ind w:left="520" w:right="3519" w:hanging="170"/>
        <w:spacing w:after="0" w:line="242"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3" w:right="1440" w:bottom="1440" w:gutter="0" w:footer="0" w:header="0"/>
        </w:sectPr>
      </w:pPr>
    </w:p>
    <w:bookmarkStart w:id="41" w:name="page42"/>
    <w:bookmarkEnd w:id="41"/>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94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w w:val="98"/>
              </w:rPr>
              <w:t>Acting President and Chief Executive</w:t>
            </w:r>
          </w:p>
        </w:tc>
      </w:tr>
      <w:tr>
        <w:trPr>
          <w:trHeight w:val="172"/>
        </w:trPr>
        <w:tc>
          <w:tcPr>
            <w:tcW w:w="39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20" w:lineRule="exact"/>
        <w:rPr>
          <w:sz w:val="20"/>
          <w:szCs w:val="20"/>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President and Chief Executive Officer of SyStemix, Inc.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 Dunbar, Jr., was appointed Acting President and Chief Executive Officer of the company effective as of February 1, 2000. Mr. Dunbar joined the company as Acting President of StemCells California, Inc., the company's wholly owned subsidiary, on November 8, 1999, and still holds this office. From September 1999 through the present, Mr. Dunbar has been a founding member of iCEO, LLC. From July 1991 until July 1999, Mr. Dunbar was President, Chief Executive Officer and a member of the Board of Directors of Metra Biosystems, a medical device company, which merged with Quidel Corporation during 1999. Prior to Metra Biosystems, Mr. Dunbar was a vice president of The Ares-Serono Group, a Swiss healthcare company, and served before that as a vice president of Amersham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Kennedy, Ph.D., has served as a director of the company since July 1999. Dr. Kennedy is the Bing Professor of Environmental Science, Professor of Education, and President Emeritus of Stanford University. He is Editor-in-Chief of SCIENCE magazine. He is also co-director of the Center for Environmental Science and Policy at Stanford. From 1977 to 1979, he served as Commissioner at the U.S. Food and Drug Administration.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 Pharmaceuticals, Inc., and Alzeta Corp. Dr. Kennedy holds a Ph.D. in biology from Harvard University.</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1" w:right="1440" w:bottom="1440" w:gutter="0" w:footer="0" w:header="0"/>
        </w:sectPr>
      </w:pPr>
    </w:p>
    <w:bookmarkStart w:id="42" w:name="page43"/>
    <w:bookmarkEnd w:id="42"/>
    <w:p>
      <w:pPr>
        <w:ind w:left="520" w:right="3159"/>
        <w:spacing w:after="0" w:line="242" w:lineRule="auto"/>
        <w:rPr>
          <w:sz w:val="20"/>
          <w:szCs w:val="20"/>
          <w:color w:val="auto"/>
        </w:rPr>
      </w:pPr>
      <w:r>
        <w:rPr>
          <w:rFonts w:ascii="Courier New" w:cs="Courier New" w:eastAsia="Courier New" w:hAnsi="Courier New"/>
          <w:sz w:val="15"/>
          <w:szCs w:val="15"/>
          <w:color w:val="auto"/>
        </w:rPr>
        <w:t>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200" w:lineRule="exact"/>
        <w:rPr>
          <w:sz w:val="20"/>
          <w:szCs w:val="20"/>
          <w:color w:val="auto"/>
        </w:rPr>
      </w:pPr>
    </w:p>
    <w:p>
      <w:pPr>
        <w:spacing w:after="0" w:line="319" w:lineRule="exact"/>
        <w:rPr>
          <w:sz w:val="20"/>
          <w:szCs w:val="20"/>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200" w:lineRule="exact"/>
        <w:rPr>
          <w:sz w:val="20"/>
          <w:szCs w:val="20"/>
          <w:color w:val="auto"/>
        </w:rPr>
      </w:pPr>
    </w:p>
    <w:p>
      <w:pPr>
        <w:spacing w:after="0" w:line="32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The audit committee is currently comprised of Dr. Schwartz and Dr. Kennedy.</w:t>
      </w:r>
    </w:p>
    <w:p>
      <w:pPr>
        <w:spacing w:after="0" w:line="200" w:lineRule="exact"/>
        <w:rPr>
          <w:sz w:val="20"/>
          <w:szCs w:val="20"/>
          <w:color w:val="auto"/>
        </w:rPr>
      </w:pPr>
    </w:p>
    <w:p>
      <w:pPr>
        <w:spacing w:after="0" w:line="32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sectPr>
      </w:pPr>
    </w:p>
    <w:bookmarkStart w:id="43" w:name="page44"/>
    <w:bookmarkEnd w:id="43"/>
    <w:p>
      <w:pPr>
        <w:ind w:left="2588"/>
        <w:spacing w:after="0"/>
        <w:rPr>
          <w:sz w:val="20"/>
          <w:szCs w:val="20"/>
          <w:color w:val="auto"/>
        </w:rPr>
      </w:pPr>
      <w:r>
        <w:rPr>
          <w:rFonts w:ascii="Courier New" w:cs="Courier New" w:eastAsia="Courier New" w:hAnsi="Courier New"/>
          <w:sz w:val="15"/>
          <w:szCs w:val="15"/>
          <w:color w:val="auto"/>
        </w:rPr>
        <w:t>EXECUTIVE COMPENSATION</w:t>
      </w:r>
    </w:p>
    <w:p>
      <w:pPr>
        <w:spacing w:after="0" w:line="348" w:lineRule="exact"/>
        <w:rPr>
          <w:sz w:val="20"/>
          <w:szCs w:val="20"/>
          <w:color w:val="auto"/>
        </w:rPr>
      </w:pPr>
    </w:p>
    <w:p>
      <w:pPr>
        <w:ind w:left="8" w:right="430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three most recent fiscal years ended December 31,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SUMMARY COMPENSATION TABLE</w:t>
            </w: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2"/>
          </w:tcPr>
          <w:p>
            <w:pPr>
              <w:jc w:val="right"/>
              <w:ind w:right="1125"/>
              <w:spacing w:after="0"/>
              <w:rPr>
                <w:sz w:val="20"/>
                <w:szCs w:val="20"/>
                <w:color w:val="auto"/>
              </w:rPr>
            </w:pPr>
            <w:r>
              <w:rPr>
                <w:rFonts w:ascii="Courier New" w:cs="Courier New" w:eastAsia="Courier New" w:hAnsi="Courier New"/>
                <w:sz w:val="15"/>
                <w:szCs w:val="15"/>
                <w:color w:val="auto"/>
                <w:w w:val="98"/>
              </w:rPr>
              <w:t>ANNUAL COMPENSATION</w:t>
            </w: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BONUS($)</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279,974</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286,553</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68,750</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406,731(8)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155,780</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195,176(2)</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7,921(3)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188,957</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67,875(4)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466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348"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347" w:lineRule="exact"/>
        <w:rPr>
          <w:rFonts w:ascii="Courier New" w:cs="Courier New" w:eastAsia="Courier New" w:hAnsi="Courier New"/>
          <w:sz w:val="15"/>
          <w:szCs w:val="15"/>
          <w:color w:val="auto"/>
        </w:rPr>
      </w:pPr>
    </w:p>
    <w:p>
      <w:pPr>
        <w:ind w:left="348" w:right="4740" w:hanging="348"/>
        <w:spacing w:after="0" w:line="274"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325" w:lineRule="exact"/>
        <w:rPr>
          <w:rFonts w:ascii="Courier New" w:cs="Courier New" w:eastAsia="Courier New" w:hAnsi="Courier New"/>
          <w:sz w:val="14"/>
          <w:szCs w:val="14"/>
          <w:color w:val="auto"/>
        </w:rPr>
      </w:pPr>
    </w:p>
    <w:p>
      <w:pPr>
        <w:ind w:left="348" w:right="422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348" w:lineRule="exact"/>
        <w:rPr>
          <w:rFonts w:ascii="Courier New" w:cs="Courier New" w:eastAsia="Courier New" w:hAnsi="Courier New"/>
          <w:sz w:val="15"/>
          <w:szCs w:val="15"/>
          <w:color w:val="auto"/>
        </w:rPr>
      </w:pPr>
    </w:p>
    <w:p>
      <w:pPr>
        <w:ind w:left="348" w:right="430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348"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368"/>
          </w:cols>
          <w:pgMar w:left="232" w:top="461" w:right="299" w:bottom="1440" w:gutter="0" w:footer="0" w:header="0"/>
        </w:sectPr>
      </w:pPr>
    </w:p>
    <w:bookmarkStart w:id="44" w:name="page45"/>
    <w:bookmarkEnd w:id="44"/>
    <w:p>
      <w:pPr>
        <w:jc w:val="both"/>
        <w:ind w:left="348" w:right="3159"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348"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right="3159" w:hanging="348"/>
        <w:spacing w:after="0" w:line="241"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079" w:hanging="348"/>
        <w:spacing w:after="0"/>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699" w:hanging="348"/>
        <w:spacing w:after="0"/>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348"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463" w:right="1440" w:bottom="1440" w:gutter="0" w:footer="0" w:header="0"/>
        </w:sectPr>
      </w:pPr>
    </w:p>
    <w:bookmarkStart w:id="45" w:name="page46"/>
    <w:bookmarkEnd w:id="45"/>
    <w:p>
      <w:pPr>
        <w:ind w:left="2688"/>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MEMBERS OF THE COMPANY'S BOARD</w:t>
      </w:r>
    </w:p>
    <w:p>
      <w:pPr>
        <w:spacing w:after="0" w:line="348" w:lineRule="exact"/>
        <w:rPr>
          <w:sz w:val="20"/>
          <w:szCs w:val="20"/>
          <w:color w:val="auto"/>
        </w:rPr>
      </w:pPr>
    </w:p>
    <w:p>
      <w:pPr>
        <w:ind w:left="8" w:right="3959" w:firstLine="358"/>
        <w:spacing w:after="0" w:line="260" w:lineRule="auto"/>
        <w:rPr>
          <w:sz w:val="20"/>
          <w:szCs w:val="20"/>
          <w:color w:val="auto"/>
        </w:rPr>
      </w:pPr>
      <w:r>
        <w:rPr>
          <w:rFonts w:ascii="Courier New" w:cs="Courier New" w:eastAsia="Courier New" w:hAnsi="Courier New"/>
          <w:sz w:val="14"/>
          <w:szCs w:val="14"/>
          <w:color w:val="auto"/>
        </w:rPr>
        <w:t>Dr. Irving Weissman and Mark J. Levin, two members of our Board of Directors, will be selling shares of common stock in this offering.</w:t>
      </w:r>
    </w:p>
    <w:p>
      <w:pPr>
        <w:ind w:left="8" w:right="3159"/>
        <w:spacing w:after="0" w:line="260" w:lineRule="auto"/>
        <w:rPr>
          <w:sz w:val="20"/>
          <w:szCs w:val="20"/>
          <w:color w:val="auto"/>
        </w:rPr>
      </w:pPr>
      <w:r>
        <w:rPr>
          <w:rFonts w:ascii="Courier New" w:cs="Courier New" w:eastAsia="Courier New" w:hAnsi="Courier New"/>
          <w:sz w:val="14"/>
          <w:szCs w:val="14"/>
          <w:color w:val="auto"/>
        </w:rPr>
        <w:t>Dr. Weissman and Mr. Levin acquired their shares pursuant to a 6% cumulative convertible preferred stock financing in April, 2000, which is described in the section titled "Relationships and Transactions with Certain Related Parties." Both Dr. Weissman and Mr. Levin are party to a registration rights agreement in which we agreed to register their shares of Common Stock upon their request and to use our best efforts to keep the registration statement effective for five</w:t>
      </w:r>
    </w:p>
    <w:p>
      <w:pPr>
        <w:spacing w:after="0" w:line="1" w:lineRule="exact"/>
        <w:rPr>
          <w:sz w:val="20"/>
          <w:szCs w:val="20"/>
          <w:color w:val="auto"/>
        </w:rPr>
      </w:pPr>
    </w:p>
    <w:p>
      <w:pPr>
        <w:jc w:val="both"/>
        <w:ind w:left="8" w:right="3439" w:hanging="8"/>
        <w:spacing w:after="0" w:line="242" w:lineRule="auto"/>
        <w:tabs>
          <w:tab w:leader="none" w:pos="3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 until all of their registered shares of StemCells, Inc. Common Stock are sold, whichever comes first. Registration of these shares does not necessarily mean that the selling stockholders will sell all or any of the shares.</w:t>
      </w:r>
    </w:p>
    <w:p>
      <w:pPr>
        <w:spacing w:after="0" w:line="200" w:lineRule="exact"/>
        <w:rPr>
          <w:sz w:val="20"/>
          <w:szCs w:val="20"/>
          <w:color w:val="auto"/>
        </w:rPr>
      </w:pPr>
    </w:p>
    <w:p>
      <w:pPr>
        <w:spacing w:after="0" w:line="31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material relationships between Dr. Weissman, Mr. Levin and StemCells, Inc. are as follows: Mark J. Levin is a Class I Director, and from inception until January 1990 and from May 1990 until February 1991, he served as our President and acting Chief Executive Officer. Irving L. Weissman, M.D. is a Class II Director. In addition, both Dr. Weissman and Mr. Levin may donate or transfer as gifts some or all of their StemCells, Inc. shares, or may transfer their shares for no value to other beneficial owners. The selling stockholders will include these donees or transferees as selling stockholders in a prospectus supplement if the donees or transferees wish to use this prospectus to re-offer the shares.</w:t>
      </w:r>
    </w:p>
    <w:p>
      <w:pPr>
        <w:spacing w:after="0" w:line="349"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MILLENNIUM PARTNERS, L.P.</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Millennium Partners, L.P. and May Davis Group, Inc. and four of its affiliates also will be selling shares in this offering. On August 3, 2000, we issued 923,521 shares of Common Stock to Millennium Partners, L.P., or the Fund. At the same time we also issued to Millennium Partners a callable warrant to purchase 101,587 shares of Common Stock and an adjustable warrant for a number of shares, to be determined on eight dates beginning six months after the closing and then every three months thereafter. On August 30, 2000 we issued an additional 180,914 shares to the Fund, together with a callable warrant to purchase 19,900 shares of Common Stock and an adjustable warrant for a number of shares, to be determined on eight dates beginning six months after the closing and then every three months thereafter. In connection with the Millennium Partners transaction, we issued warrants for a total of 100,000 shares of Common Stock to May Davis Group, Inc., who acted as placement agent for the transaction, and four of its affiliates. These warrants expire on August 3, 2005.</w:t>
      </w:r>
    </w:p>
    <w:p>
      <w:pPr>
        <w:spacing w:after="0" w:line="182"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entered into a registration rights agreement with Millennium Partners in which we agreed to register the shares of Common Stock purchased by Millennium partners and issuable upon exercise of the warrants issued to Millennium Partners. We agreed to use commercially reasonable efforts to keep the registration statement in effect for five years, until all shares covered by the registration statement are eligible for resale pursuant to Rule 144(k), or until Millennium Partners and its transferees no longer hold the shares covered by the registration statement, whichever occurs first. We also agreed to include in this registration statement the shares issuable upon exercise of the warrants issued to May Davis and its affiliates.</w:t>
      </w:r>
    </w:p>
    <w:p>
      <w:pPr>
        <w:spacing w:after="0" w:line="17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SECURITY OWNERSHIP OF THE SELLING STOCKHOLDERS, CERTAIN BENEFICIAL OWNERS AND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August 30, 2000 for:</w:t>
      </w:r>
    </w:p>
    <w:p>
      <w:pPr>
        <w:spacing w:after="0" w:line="176" w:lineRule="exact"/>
        <w:rPr>
          <w:sz w:val="20"/>
          <w:szCs w:val="20"/>
          <w:color w:val="auto"/>
        </w:rPr>
      </w:pPr>
    </w:p>
    <w:p>
      <w:pPr>
        <w:ind w:left="528" w:right="3079" w:hanging="170"/>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1" w:right="1440" w:bottom="1440" w:gutter="0" w:footer="0" w:header="0"/>
        </w:sectPr>
      </w:pPr>
    </w:p>
    <w:bookmarkStart w:id="46" w:name="page47"/>
    <w:bookmarkEnd w:id="46"/>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August 15,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20,538,742 shares of our common stock outstanding on August 15, 2000 and as adjusted for unexercised options and warrants as of that date as noted below and 180,914 shares and 19,900 warrants issued to one of the Selling Shareholders on August 30, 2000.</w:t>
      </w:r>
    </w:p>
    <w:p>
      <w:pPr>
        <w:spacing w:after="0" w:line="18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number of shares of our Common Stock that will be issuable upon exercise of the warrants issued to Millennium Partners is based upon fluctuations in the market price and the number of shares of our Common Stock that will be issuable upon conversion of the Preferred Stock held by Messrs. Weissman and Levin is subject to anti-dilution provisions, so the actual number of shares of our Common Stock that will be issuable and beneficially owned upon exercise of the warrants and conversion of the Preferred Stock cannot be determined at this time. As a result, we have agreed to register a number of shares of Common Stock that is greater than the number of shares of Common Stock currently beneficially owned by the selling stockholders.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1" w:right="1440" w:bottom="1440" w:gutter="0" w:footer="0" w:header="0"/>
        </w:sectPr>
      </w:pPr>
    </w:p>
    <w:bookmarkStart w:id="47" w:name="page48"/>
    <w:bookmarkEnd w:id="47"/>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SHARES OF COMMON</w:t>
            </w:r>
          </w:p>
        </w:tc>
      </w:tr>
      <w:tr>
        <w:trPr>
          <w:trHeight w:val="172"/>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STOCK BENEFICIALLY</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SHARES OF COMMON STOCK</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SHARES OF COMMON</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OWNED AFTER THIS</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BENEFICIALLY OWNED PRIOR TO</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7"/>
              </w:rPr>
              <w:t>OFFERING</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THIS OFFERING</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HEREBY</w:t>
            </w: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OF</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SHARES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9,234(1)</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390,726(2)</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154,287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139,180(3)</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600,298(4)</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363,859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50,000(5)</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(5</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1,189,439(6)</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5.6</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945,486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716,561</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1,225,922(7)</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May Davis Group....................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100,000(8)</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348" w:lineRule="exact"/>
        <w:rPr>
          <w:sz w:val="20"/>
          <w:szCs w:val="20"/>
          <w:color w:val="auto"/>
        </w:rPr>
      </w:pPr>
    </w:p>
    <w:p>
      <w:pPr>
        <w:ind w:left="348" w:right="343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 liability company whose managing member is Israel A. Englander, and Englander (Cayman Islands) Limited, a Cayman Islands exempted company. Both Millennium Management, L.L.C., and Englander (Cayman Islands) Limited are controlled by Mr. Englander.</w:t>
      </w:r>
    </w:p>
    <w:p>
      <w:pPr>
        <w:spacing w:after="0" w:line="348" w:lineRule="exact"/>
        <w:rPr>
          <w:sz w:val="20"/>
          <w:szCs w:val="20"/>
          <w:color w:val="auto"/>
        </w:rPr>
      </w:pPr>
    </w:p>
    <w:p>
      <w:pPr>
        <w:ind w:left="348" w:right="333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9,234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27,555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4"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139,180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348"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issuable upon exercise of stock options exercisable within 60 days. Mr. Dunbar was appointed Acting President and Chief Executive Officer of our wholly owned subsidiary, StemCells</w:t>
      </w:r>
    </w:p>
    <w:p>
      <w:pPr>
        <w:spacing w:after="0" w:line="4" w:lineRule="exact"/>
        <w:rPr>
          <w:rFonts w:ascii="Courier New" w:cs="Courier New" w:eastAsia="Courier New" w:hAnsi="Courier New"/>
          <w:sz w:val="15"/>
          <w:szCs w:val="15"/>
          <w:color w:val="auto"/>
        </w:rPr>
      </w:pPr>
    </w:p>
    <w:p>
      <w:pPr>
        <w:ind w:left="34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w:t>
      </w:r>
    </w:p>
    <w:p>
      <w:pPr>
        <w:spacing w:after="0" w:line="348"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339,379 shares exercisable upon exercise of warrants and stock options exercisable within 60 days.</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w:t>
      </w:r>
    </w:p>
    <w:p>
      <w:pPr>
        <w:spacing w:after="0" w:line="174"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issuable upon exercise of warrants held by four affiliates of May Davis Group.</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463" w:right="1440" w:bottom="1440" w:gutter="0" w:footer="0" w:header="0"/>
        </w:sectPr>
      </w:pPr>
    </w:p>
    <w:bookmarkStart w:id="48" w:name="page49"/>
    <w:bookmarkEnd w:id="48"/>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348"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shall remain in effect until July 27, 2000 unless renewed,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w:t>
      </w:r>
    </w:p>
    <w:p>
      <w:pPr>
        <w:spacing w:after="0" w:line="10"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Dr. Schwartz and the Company, for the period commencing January 1, 2000. Under this resolution, Dr. Schwartz waives any and all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1" w:right="1440" w:bottom="1440" w:gutter="0" w:footer="0" w:header="0"/>
        </w:sectPr>
      </w:pPr>
    </w:p>
    <w:bookmarkStart w:id="49" w:name="page50"/>
    <w:bookmarkEnd w:id="49"/>
    <w:p>
      <w:pPr>
        <w:ind w:right="3079"/>
        <w:spacing w:after="0" w:line="260" w:lineRule="auto"/>
        <w:rPr>
          <w:sz w:val="20"/>
          <w:szCs w:val="20"/>
          <w:color w:val="auto"/>
        </w:rPr>
      </w:pPr>
      <w:r>
        <w:rPr>
          <w:rFonts w:ascii="Courier New" w:cs="Courier New" w:eastAsia="Courier New" w:hAnsi="Courier New"/>
          <w:sz w:val="14"/>
          <w:szCs w:val="14"/>
          <w:color w:val="auto"/>
        </w:rPr>
        <w:t>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w:t>
      </w:r>
    </w:p>
    <w:p>
      <w:pPr>
        <w:spacing w:after="0" w:line="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w:t>
      </w:r>
    </w:p>
    <w:p>
      <w:pPr>
        <w:spacing w:after="0" w:line="2"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July 27, 2000 and the board of directors renewed it on a month-to-month basis on September 19, 2000.</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and the remainder of which will vest upon the occurrence of certain milestones related to the Company's stem cell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us for cause or frustration of purpose and earlier termination by Dr. Weissman for good reason. Dr. Weissman receives no compensation as a member of the Board of Directors or for attending meetings of the Board or its committees or meetings of our Scientific Advisory Board, but is reimbursed for reasonable expenses he incurs in attending such meetings.</w:t>
      </w:r>
    </w:p>
    <w:p>
      <w:pPr>
        <w:spacing w:after="0" w:line="200" w:lineRule="exact"/>
        <w:rPr>
          <w:sz w:val="20"/>
          <w:szCs w:val="20"/>
          <w:color w:val="auto"/>
        </w:rPr>
      </w:pPr>
    </w:p>
    <w:p>
      <w:pPr>
        <w:spacing w:after="0" w:line="328"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George W. Dunbar, Jr., Acting President and Chief Executive Officer as of February 1, 2000, was a founding member of iCEO, LLC ("iCEO") in</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September 1999. Mr. Dunbar joined the company as Acting President of StemCells California, Inc., our wholly owned subsidiary, and he still holds this position currently.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is entitled to an annual salary of $175,000 and was granted a stock option to purchase 48,000 shares of our common stock that will vest at the rate of 4,000 shares per month commencing on December 6, 1999 and continuing until fully vested so long as he continues to serve as Acting President. The vesting under the option will be accelerated in the event of certain changes of control. Additionally, the agreement provides that the Board will consider once per quarter the grant of an option for an additional 3,000 shares if it is determined that the services rendered by Mr. Dunbar during the preceding quarter exceeded expectations. Mr. Dunbar is an at-will employee and as such may resign or be terminated with or without reason. On September 22, 2000 we announced that George Dunbar, our acting President and Chief Executive Officer, would be phasing out his service. Mr. Dunbar will continue in his position on a reduced time basis during this transition period. The agreement has no provisions for any severance payments or other benefits upon</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Mr. Dunbar's resignation or termination. Pursuant to the terms of the agreement between iCEO and us, iCEO is entitled to receive annual compensation of $75,000 for so long as Mr. Dunbar continues to serve in his role as Acting President of StemCells California, Inc. or in any other interim role with the Company. In addition, iCEO was granted a stock option to purchase 48,000 shares of our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 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was to become a permanent employee in any capacity, we are obligated under the iCEO agreement to pay iCEO a fee equal to one-third of the then targeted first year's compensation for Mr. Dunbar.</w:t>
      </w:r>
    </w:p>
    <w:p>
      <w:pPr>
        <w:spacing w:after="0" w:line="200" w:lineRule="exact"/>
        <w:rPr>
          <w:sz w:val="20"/>
          <w:szCs w:val="20"/>
          <w:color w:val="auto"/>
        </w:rPr>
      </w:pPr>
    </w:p>
    <w:p>
      <w:pPr>
        <w:spacing w:after="0" w:line="32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3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51" w:name="page52"/>
    <w:bookmarkEnd w:id="51"/>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August 15, 2000, we had outstanding 20,538,928 shares of common stock and 1,500 shares of 6% cumulative convertible preferred stock.</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249 stockholders of record with respect to our common stock and outstanding options to purchase 2,556,486 shares of our common stock, of which 608,976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200" w:lineRule="exact"/>
        <w:rPr>
          <w:sz w:val="20"/>
          <w:szCs w:val="20"/>
          <w:color w:val="auto"/>
        </w:rPr>
      </w:pPr>
    </w:p>
    <w:p>
      <w:pPr>
        <w:spacing w:after="0" w:line="329"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35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 of the company. In the event of any liquidation, dissolution or winding up of the company, the 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1" w:right="1440" w:bottom="1440" w:gutter="0" w:footer="0" w:header="0"/>
        </w:sectPr>
      </w:pPr>
    </w:p>
    <w:bookmarkStart w:id="52" w:name="page53"/>
    <w:bookmarkEnd w:id="52"/>
    <w:p>
      <w:pPr>
        <w:ind w:right="3079"/>
        <w:spacing w:after="0" w:line="242" w:lineRule="auto"/>
        <w:rPr>
          <w:sz w:val="20"/>
          <w:szCs w:val="20"/>
          <w:color w:val="auto"/>
        </w:rPr>
      </w:pPr>
      <w:r>
        <w:rPr>
          <w:rFonts w:ascii="Courier New" w:cs="Courier New" w:eastAsia="Courier New" w:hAnsi="Courier New"/>
          <w:sz w:val="15"/>
          <w:szCs w:val="15"/>
          <w:color w:val="auto"/>
        </w:rPr>
        <w:t>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348"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As of August 31,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200" w:lineRule="exact"/>
        <w:rPr>
          <w:sz w:val="20"/>
          <w:szCs w:val="20"/>
          <w:color w:val="auto"/>
        </w:rPr>
      </w:pPr>
    </w:p>
    <w:p>
      <w:pPr>
        <w:spacing w:after="0" w:line="304"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200" w:lineRule="exact"/>
        <w:rPr>
          <w:sz w:val="20"/>
          <w:szCs w:val="20"/>
          <w:color w:val="auto"/>
        </w:rPr>
      </w:pPr>
    </w:p>
    <w:p>
      <w:pPr>
        <w:spacing w:after="0" w:line="33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The number of additional shares Millennium</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3" w:right="1440" w:bottom="1440" w:gutter="0" w:footer="0" w:header="0"/>
        </w:sectPr>
      </w:pPr>
    </w:p>
    <w:bookmarkStart w:id="53" w:name="page54"/>
    <w:bookmarkEnd w:id="53"/>
    <w:p>
      <w:pPr>
        <w:ind w:right="3079"/>
        <w:spacing w:after="0" w:line="242" w:lineRule="auto"/>
        <w:rPr>
          <w:sz w:val="20"/>
          <w:szCs w:val="20"/>
          <w:color w:val="auto"/>
        </w:rPr>
      </w:pPr>
      <w:r>
        <w:rPr>
          <w:rFonts w:ascii="Courier New" w:cs="Courier New" w:eastAsia="Courier New" w:hAnsi="Courier New"/>
          <w:sz w:val="15"/>
          <w:szCs w:val="15"/>
          <w:color w:val="auto"/>
        </w:rPr>
        <w:t>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Each of these warrants is exercisable, in whole or in part, at any time on or prior to 30 days after the last date which may entitle them to receive additional shares. Each warrant is subject to adjustment for subdivisions, combinations, stock dividends, reorganizations and various other issuances of common stock. During any period of time that the shares of common stock underlying a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the warrants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200" w:lineRule="exact"/>
        <w:rPr>
          <w:sz w:val="20"/>
          <w:szCs w:val="20"/>
          <w:color w:val="auto"/>
        </w:rPr>
      </w:pPr>
    </w:p>
    <w:p>
      <w:pPr>
        <w:spacing w:after="0" w:line="33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200" w:lineRule="exact"/>
        <w:rPr>
          <w:sz w:val="20"/>
          <w:szCs w:val="20"/>
          <w:color w:val="auto"/>
        </w:rPr>
      </w:pPr>
    </w:p>
    <w:p>
      <w:pPr>
        <w:spacing w:after="0" w:line="33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33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1" w:right="1440" w:bottom="1440" w:gutter="0" w:footer="0" w:header="0"/>
        </w:sectPr>
      </w:pPr>
    </w:p>
    <w:bookmarkStart w:id="55" w:name="page56"/>
    <w:bookmarkEnd w:id="55"/>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348"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200" w:lineRule="exact"/>
        <w:rPr>
          <w:sz w:val="20"/>
          <w:szCs w:val="20"/>
          <w:color w:val="auto"/>
        </w:rPr>
      </w:pPr>
    </w:p>
    <w:p>
      <w:pPr>
        <w:spacing w:after="0" w:line="33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200" w:lineRule="exact"/>
        <w:rPr>
          <w:sz w:val="20"/>
          <w:szCs w:val="20"/>
          <w:color w:val="auto"/>
        </w:rPr>
      </w:pPr>
    </w:p>
    <w:p>
      <w:pPr>
        <w:spacing w:after="0" w:line="31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347" w:lineRule="exact"/>
        <w:rPr>
          <w:sz w:val="20"/>
          <w:szCs w:val="20"/>
          <w:color w:val="auto"/>
        </w:rPr>
      </w:pPr>
    </w:p>
    <w:p>
      <w:pPr>
        <w:ind w:left="520" w:right="423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347"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1" w:right="1440" w:bottom="1440" w:gutter="0" w:footer="0" w:header="0"/>
        </w:sectPr>
      </w:pPr>
    </w:p>
    <w:bookmarkStart w:id="56" w:name="page57"/>
    <w:bookmarkEnd w:id="56"/>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1" w:right="1440" w:bottom="1440" w:gutter="0" w:footer="0" w:header="0"/>
        </w:sectPr>
      </w:pPr>
    </w:p>
    <w:bookmarkStart w:id="57" w:name="page58"/>
    <w:bookmarkEnd w:id="57"/>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June 30, 2000 and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 six</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June 30, 2000 and June 30, 1999</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six months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June 30, 2000 and June 30,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bl>
    <w:p>
      <w:pPr>
        <w:spacing w:after="0" w:line="200" w:lineRule="exact"/>
        <w:rPr>
          <w:sz w:val="20"/>
          <w:szCs w:val="20"/>
          <w:color w:val="auto"/>
        </w:rPr>
      </w:pPr>
    </w:p>
    <w:p>
      <w:pPr>
        <w:spacing w:after="0" w:line="32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61" w:right="1440" w:bottom="1440" w:gutter="0" w:footer="0" w:header="0"/>
        </w:sectPr>
      </w:pPr>
    </w:p>
    <w:bookmarkStart w:id="58" w:name="page59"/>
    <w:bookmarkEnd w:id="58"/>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1" w:right="1440" w:bottom="1440" w:gutter="0" w:footer="0" w:header="0"/>
        </w:sectPr>
      </w:pPr>
    </w:p>
    <w:bookmarkStart w:id="59" w:name="page60"/>
    <w:bookmarkEnd w:id="59"/>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5,248,610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61"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18,603,523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1,931,260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16,704,144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6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ind w:left="1260"/>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(72,922,674)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(91,036,254)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461" w:right="57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$(103,664,084)</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$(119,372,710)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40" w:right="839" w:bottom="1440" w:gutter="0" w:footer="0" w:header="0"/>
        </w:sectPr>
      </w:pPr>
    </w:p>
    <w:bookmarkStart w:id="63" w:name="page64"/>
    <w:bookmarkEnd w:id="63"/>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1,968,234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2,958,199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436,461</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200" w:lineRule="exact"/>
        <w:rPr>
          <w:sz w:val="20"/>
          <w:szCs w:val="20"/>
          <w:color w:val="auto"/>
        </w:rPr>
      </w:pPr>
    </w:p>
    <w:p>
      <w:pPr>
        <w:spacing w:after="0" w:line="32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1" w:right="1440" w:bottom="1440" w:gutter="0" w:footer="0" w:header="0"/>
        </w:sectPr>
      </w:pPr>
    </w:p>
    <w:bookmarkStart w:id="64" w:name="page65"/>
    <w:bookmarkEnd w:id="6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6"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6" w:lineRule="exact"/>
        <w:rPr>
          <w:sz w:val="20"/>
          <w:szCs w:val="20"/>
          <w:color w:val="auto"/>
        </w:rPr>
      </w:pPr>
    </w:p>
    <w:p>
      <w:pPr>
        <w:ind w:left="8" w:right="6119" w:hanging="8"/>
        <w:spacing w:after="0" w:line="483"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w w:val="97"/>
              </w:rPr>
              <w:t>Building and improvements</w:t>
            </w: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8"/>
              </w:rPr>
              <w:t>...................................  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7"/>
                <w:szCs w:val="7"/>
                <w:color w:val="auto"/>
                <w:w w:val="87"/>
              </w:rPr>
              <w:t>Machinery and equipment.....................................</w:t>
            </w: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7"/>
                <w:szCs w:val="7"/>
                <w:color w:val="auto"/>
                <w:w w:val="87"/>
              </w:rPr>
              <w:t>Furniture and fixtures......................................</w:t>
            </w: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516"/>
        </w:trPr>
        <w:tc>
          <w:tcPr>
            <w:tcW w:w="2220" w:type="dxa"/>
            <w:vAlign w:val="bottom"/>
          </w:tcPr>
          <w:p>
            <w:pPr>
              <w:spacing w:after="0"/>
              <w:rPr>
                <w:sz w:val="24"/>
                <w:szCs w:val="24"/>
                <w:color w:val="auto"/>
              </w:rPr>
            </w:pPr>
          </w:p>
        </w:tc>
        <w:tc>
          <w:tcPr>
            <w:tcW w:w="3460" w:type="dxa"/>
            <w:vAlign w:val="bottom"/>
          </w:tcPr>
          <w:p>
            <w:pPr>
              <w:jc w:val="right"/>
              <w:ind w:right="1945"/>
              <w:spacing w:after="0"/>
              <w:rPr>
                <w:sz w:val="20"/>
                <w:szCs w:val="20"/>
                <w:color w:val="auto"/>
              </w:rPr>
            </w:pPr>
            <w:r>
              <w:rPr>
                <w:rFonts w:ascii="Courier New" w:cs="Courier New" w:eastAsia="Courier New" w:hAnsi="Courier New"/>
                <w:sz w:val="15"/>
                <w:szCs w:val="15"/>
                <w:color w:val="auto"/>
              </w:rPr>
              <w:t>F-7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PATENT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350" w:lineRule="exact"/>
        <w:rPr>
          <w:sz w:val="20"/>
          <w:szCs w:val="20"/>
          <w:color w:val="auto"/>
        </w:rPr>
      </w:pPr>
    </w:p>
    <w:p>
      <w:pPr>
        <w:ind w:left="8" w:right="3159" w:firstLine="358"/>
        <w:spacing w:after="0" w:line="261"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33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61"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REVENUE FROM COLLABORATIVE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348" w:lineRule="exact"/>
        <w:rPr>
          <w:sz w:val="20"/>
          <w:szCs w:val="20"/>
          <w:color w:val="auto"/>
        </w:rPr>
      </w:pPr>
    </w:p>
    <w:p>
      <w:pPr>
        <w:ind w:left="8" w:right="3159" w:firstLine="358"/>
        <w:spacing w:after="0" w:line="263"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332"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The conversion price may be below</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trading market price of the stock at the time of conversion. The holders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preferred stock have liquidation rights equal to their original investment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plus accrued but unpaid dividends. The investors would be entitled to make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investments in the Company on the same terms as those on which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completes offerings of its securities with third parties within</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at the applicable conversion price, on April 13, 2002 in the case of the original stock and two years after the first acquisition of any of the additional 1,126 shares, if any are acquired. The warrant expires on April 13, 2005.</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1"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7" w:lineRule="exact"/>
        <w:rPr>
          <w:sz w:val="20"/>
          <w:szCs w:val="20"/>
          <w:color w:val="auto"/>
        </w:rPr>
      </w:pPr>
    </w:p>
    <w:p>
      <w:pPr>
        <w:ind w:left="8" w:right="3439" w:firstLine="358"/>
        <w:spacing w:after="0" w:line="242"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347"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Company reduced its workforce by approximately 68 full-time employees who had been focused on encapsulated cell technology programs, wound down its research and manufacturing operations in Lincoln, Rhode Island, and relocated its remaining research and development activities, and its corporate headquarters, to the facilities of its wholly owned subsidiary, StemCells California, Inc., in Sunnyvale, California, in October 1999. As a result, the Company sold excess furniture and equipment in December 1999 and is seeking to sublease the science and administrative facility and to sell the pilot manufacturing facility.</w:t>
      </w:r>
    </w:p>
    <w:p>
      <w:pPr>
        <w:spacing w:after="0" w:line="200" w:lineRule="exact"/>
        <w:rPr>
          <w:sz w:val="20"/>
          <w:szCs w:val="20"/>
          <w:color w:val="auto"/>
        </w:rPr>
      </w:pPr>
    </w:p>
    <w:p>
      <w:pPr>
        <w:spacing w:after="0" w:line="320"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Wind-down expenses totaled approximately $6,048,000 for the year ended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no such expenses were incurred in 1998 and 1997. These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expenses relate to the wind-down of the Company's encapsulated cell technology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 and the Company's other Rhode Island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the transfer of the Company's corporate headquarters to Sunnyvale,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California. They include employee severance costs of approximately $1,554,000,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losses and reserves for the write-down of related patents and fixed assets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$1,858,000, an accrual of approximately $1,172,000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estimate of the costs of settlement of a 1989 funding agreement with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Rhode Island Partnership for Science and Technology or RIPSAT, resulting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from closure of the Company's pilot manufacturing facility, approximately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$702,000 of estimated additional carrying costs while attempting to resolve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disposition of the Rhode Island facilities and other related expenses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$762,000.</w:t>
      </w:r>
    </w:p>
    <w:p>
      <w:pPr>
        <w:spacing w:after="0" w:line="200" w:lineRule="exact"/>
        <w:rPr>
          <w:sz w:val="20"/>
          <w:szCs w:val="20"/>
          <w:color w:val="auto"/>
        </w:rPr>
      </w:pPr>
    </w:p>
    <w:p>
      <w:pPr>
        <w:spacing w:after="0" w:line="32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accrued approximately $4.1 million of wind-down related expenses during the third quarter of 1999. During the fourth quarter of 1999, with the benefit of additional information, the Company resolved a number of estimates and accrued the remainder of the $6,048,000 of wind-down expense recognized during 1999. At December 31, 1999, the Company's $1.6 million wind-down reserve included approximately $1.2 million for the RIPSAT settlement and approximately $0.4 million for Rhode Island facility costs.</w:t>
      </w:r>
    </w:p>
    <w:p>
      <w:pPr>
        <w:spacing w:after="0" w:line="200" w:lineRule="exact"/>
        <w:rPr>
          <w:sz w:val="20"/>
          <w:szCs w:val="20"/>
          <w:color w:val="auto"/>
        </w:rPr>
      </w:pPr>
    </w:p>
    <w:p>
      <w:pPr>
        <w:spacing w:after="0" w:line="32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Company recorded a $300,000 write-down to reflect the appraised estimated fair value of the property, in accordance with Financial Accounting Standards Board</w:t>
      </w:r>
    </w:p>
    <w:p>
      <w:pPr>
        <w:spacing w:after="0" w:line="4" w:lineRule="exact"/>
        <w:rPr>
          <w:sz w:val="20"/>
          <w:szCs w:val="20"/>
          <w:color w:val="auto"/>
        </w:rPr>
      </w:pPr>
    </w:p>
    <w:p>
      <w:pPr>
        <w:jc w:val="both"/>
        <w:ind w:left="8" w:right="3159"/>
        <w:spacing w:after="0" w:line="267" w:lineRule="auto"/>
        <w:rPr>
          <w:sz w:val="20"/>
          <w:szCs w:val="20"/>
          <w:color w:val="auto"/>
        </w:rPr>
      </w:pPr>
      <w:r>
        <w:rPr>
          <w:rFonts w:ascii="Courier New" w:cs="Courier New" w:eastAsia="Courier New" w:hAnsi="Courier New"/>
          <w:sz w:val="14"/>
          <w:szCs w:val="14"/>
          <w:color w:val="auto"/>
        </w:rPr>
        <w:t>Statement 121, which requires that long-lived assets be reviewed for impairment whenever events or circumstances indicate that the carrying value of the asset may not be recoverable. There were no such assets at December 31, 1998.</w:t>
      </w:r>
    </w:p>
    <w:p>
      <w:pPr>
        <w:spacing w:after="0" w:line="32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1"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for a purchase price totaling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approximately $9,475,000, consisting of 1,320,691 shares of the Company's common</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stock, valued at $6,600,000 and options and warrants for the purchase of 259,296</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shares at nominal consideration, valued at $1,300,000, the assumption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liabilities of $934,000 and transaction costs of $641,000. Options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warrants were valued utilizing the intrinsic method, the difference between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market value of the company's stock and the exercise price of the option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warrant. The purchase price was allocated, based upon an asset valuation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study using income approach methods, to license agreements valued at $1,131,000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$8,344,000, which was expensed. The acquired research and development had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reached scientific feasibility and had no alternative future uses. As part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acquisition of StemCells, Richard M. Rose, M.D., became President, Chief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and director of the Company and Dr. Irving Weissman became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of the Company.</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To attract and retain Drs. Rose, Weissman, Gage and Anderson, and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expedite the progress of the Company's stem cell program, the Company awarded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these individuals options to acquire a total of approximately 1.6 million shares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Company's common stock, at an exercise price of $5.25 per share,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quoted market price at the grant date. Approximately 100,000 of these options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were exercisable immediately, 1,031,000 of these options vest and become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exercisable only upon the achievement of specified milestones related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stem cell development program and the remaining 469,000 options vest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 eight years. In connection with the 469,000 options issued to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non-employee, Dr. Anderson, the Company recorded deferred compensation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$1,750,000, the fair value of such options at the date of grant, which will be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amortized over an eight-year period. The fair value was determined using the</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Black-Scholes method with the following inputs: volatility .594, expected life 8 years, dividend yield 0.0%, risk free rate 5.98%.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 program.</w:t>
      </w:r>
    </w:p>
    <w:p>
      <w:pPr>
        <w:spacing w:after="0" w:line="200" w:lineRule="exact"/>
        <w:rPr>
          <w:sz w:val="20"/>
          <w:szCs w:val="20"/>
          <w:color w:val="auto"/>
        </w:rPr>
      </w:pPr>
    </w:p>
    <w:p>
      <w:pPr>
        <w:spacing w:after="0" w:line="322"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w:t>
      </w:r>
    </w:p>
    <w:p>
      <w:pPr>
        <w:spacing w:after="0" w:line="35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1"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345" w:lineRule="exact"/>
        <w:rPr>
          <w:sz w:val="20"/>
          <w:szCs w:val="20"/>
          <w:color w:val="auto"/>
        </w:rPr>
      </w:pPr>
    </w:p>
    <w:p>
      <w:pPr>
        <w:ind w:left="348" w:hanging="348"/>
        <w:spacing w:after="0"/>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200" w:lineRule="exact"/>
        <w:rPr>
          <w:sz w:val="20"/>
          <w:szCs w:val="20"/>
          <w:color w:val="auto"/>
        </w:rPr>
      </w:pPr>
    </w:p>
    <w:p>
      <w:pPr>
        <w:spacing w:after="0" w:line="323"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347" w:lineRule="exact"/>
        <w:rPr>
          <w:sz w:val="20"/>
          <w:szCs w:val="20"/>
          <w:color w:val="auto"/>
        </w:rPr>
      </w:pPr>
    </w:p>
    <w:p>
      <w:pPr>
        <w:jc w:val="both"/>
        <w:ind w:left="8" w:right="3079" w:firstLine="358"/>
        <w:spacing w:after="0" w:line="242"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4" w:lineRule="exact"/>
        <w:rPr>
          <w:sz w:val="20"/>
          <w:szCs w:val="20"/>
          <w:color w:val="auto"/>
        </w:rPr>
      </w:pPr>
    </w:p>
    <w:p>
      <w:pPr>
        <w:ind w:left="348" w:hanging="348"/>
        <w:spacing w:after="0"/>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$ 9,520,939</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4280" w:type="dxa"/>
            <w:vAlign w:val="bottom"/>
          </w:tcPr>
          <w:p>
            <w:pPr>
              <w:ind w:left="3400"/>
              <w:spacing w:after="0"/>
              <w:rPr>
                <w:sz w:val="20"/>
                <w:szCs w:val="20"/>
                <w:color w:val="auto"/>
              </w:rPr>
            </w:pPr>
            <w:r>
              <w:rPr>
                <w:rFonts w:ascii="Courier New" w:cs="Courier New" w:eastAsia="Courier New" w:hAnsi="Courier New"/>
                <w:sz w:val="15"/>
                <w:szCs w:val="15"/>
                <w:color w:val="auto"/>
              </w:rPr>
              <w:t>F-12</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proceeds. The third quarter write-down and actual fourth quarter loss were included in wind-down expenses.</w:t>
      </w:r>
    </w:p>
    <w:p>
      <w:pPr>
        <w:spacing w:after="0" w:line="200" w:lineRule="exact"/>
        <w:rPr>
          <w:sz w:val="20"/>
          <w:szCs w:val="20"/>
          <w:color w:val="auto"/>
        </w:rPr>
      </w:pPr>
    </w:p>
    <w:p>
      <w:pPr>
        <w:spacing w:after="0" w:line="321"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 respectively. As 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result of the Company's decision to exit ECT and relocate to Sunnyvale, CA, this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has been classified as held for sale at December 31, 1999.</w:t>
      </w:r>
    </w:p>
    <w:p>
      <w:pPr>
        <w:spacing w:after="0" w:line="346"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61"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(CONTINUED)</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347" w:lineRule="exact"/>
        <w:rPr>
          <w:sz w:val="20"/>
          <w:szCs w:val="20"/>
          <w:color w:val="auto"/>
        </w:rPr>
      </w:pPr>
    </w:p>
    <w:p>
      <w:pPr>
        <w:ind w:left="8" w:right="3439" w:firstLine="358"/>
        <w:spacing w:after="0"/>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4" w:lineRule="exact"/>
        <w:rPr>
          <w:sz w:val="20"/>
          <w:szCs w:val="20"/>
          <w:color w:val="auto"/>
        </w:rPr>
      </w:pPr>
    </w:p>
    <w:p>
      <w:pPr>
        <w:ind w:left="448" w:hanging="448"/>
        <w:spacing w:after="0"/>
        <w:tabs>
          <w:tab w:leader="none" w:pos="4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1,634,522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412,253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344,625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2,905,068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the RIPSAT settlement (Notes 4 and 11) and approximately $463,000 relating to the carrying costs of the Rhode Island facilities.</w:t>
      </w:r>
    </w:p>
    <w:p>
      <w:pPr>
        <w:spacing w:after="0" w:line="346" w:lineRule="exact"/>
        <w:rPr>
          <w:sz w:val="20"/>
          <w:szCs w:val="20"/>
          <w:color w:val="auto"/>
        </w:rPr>
      </w:pPr>
    </w:p>
    <w:p>
      <w:pPr>
        <w:ind w:left="448" w:hanging="448"/>
        <w:spacing w:after="0"/>
        <w:tabs>
          <w:tab w:leader="none" w:pos="4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348"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61"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4"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9"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61"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8"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9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7"/>
          </w:cols>
          <w:pgMar w:left="232" w:top="461"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619"/>
        <w:spacing w:after="0"/>
        <w:rPr>
          <w:sz w:val="20"/>
          <w:szCs w:val="20"/>
          <w:color w:val="auto"/>
        </w:rPr>
      </w:pPr>
      <w:r>
        <w:rPr>
          <w:rFonts w:ascii="Courier New" w:cs="Courier New" w:eastAsia="Courier New" w:hAnsi="Courier New"/>
          <w:sz w:val="15"/>
          <w:szCs w:val="15"/>
          <w:color w:val="auto"/>
        </w:rPr>
        <w:t>$1,500,000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1,000,000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900" w:space="260"/>
            <w:col w:w="3519"/>
          </w:cols>
          <w:pgMar w:left="232" w:top="461"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7"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3"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61" w:right="1440" w:bottom="1440" w:gutter="0" w:footer="0" w:header="0"/>
          <w:type w:val="continuous"/>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9"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2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were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are exercisable immediately, 1,031,000 of these options vest and become exercisable only upon achievement of specified milestones and the remaining 469,000 options vest over eight years.</w:t>
      </w:r>
    </w:p>
    <w:p>
      <w:pPr>
        <w:spacing w:after="0" w:line="35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468"/>
          </w:cols>
          <w:pgMar w:left="232" w:top="461" w:right="1199"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7880" w:hanging="8"/>
        <w:spacing w:after="0"/>
        <w:tabs>
          <w:tab w:leader="none" w:pos="45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FAS 123 DISCLOSURES</w:t>
      </w:r>
    </w:p>
    <w:p>
      <w:pPr>
        <w:spacing w:after="0" w:line="176"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75" w:lineRule="exact"/>
        <w:rPr>
          <w:sz w:val="20"/>
          <w:szCs w:val="20"/>
          <w:color w:val="auto"/>
        </w:rPr>
      </w:pPr>
    </w:p>
    <w:p>
      <w:pPr>
        <w:ind w:left="8" w:right="4400" w:firstLine="358"/>
        <w:spacing w:after="0" w:line="274"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9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w w:val="75"/>
              </w:rPr>
              <w:t>------------------------------------</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RANGE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92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Less than $5.00...........................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$5.01-$10.00..............................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Greater than $10.00.......................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348"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8"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r>
      <w:tr>
        <w:trPr>
          <w:trHeight w:val="172"/>
        </w:trPr>
        <w:tc>
          <w:tcPr>
            <w:tcW w:w="492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1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r>
    </w:tbl>
    <w:p>
      <w:pPr>
        <w:spacing w:after="0" w:line="348" w:lineRule="exact"/>
        <w:rPr>
          <w:sz w:val="20"/>
          <w:szCs w:val="20"/>
          <w:color w:val="auto"/>
        </w:rPr>
      </w:pPr>
    </w:p>
    <w:p>
      <w:pPr>
        <w:ind w:left="8" w:right="4480" w:firstLine="358"/>
        <w:spacing w:after="0"/>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8" w:right="4040" w:firstLine="358"/>
        <w:spacing w:after="0" w:line="241"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188"/>
          </w:cols>
          <w:pgMar w:left="232" w:top="461" w:right="479" w:bottom="1440" w:gutter="0" w:footer="0" w:header="0"/>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jc w:val="both"/>
        <w:ind w:left="8" w:right="3079"/>
        <w:spacing w:after="0" w:line="260" w:lineRule="auto"/>
        <w:rPr>
          <w:sz w:val="20"/>
          <w:szCs w:val="20"/>
          <w:color w:val="auto"/>
        </w:rPr>
      </w:pPr>
      <w:r>
        <w:rPr>
          <w:rFonts w:ascii="Courier New" w:cs="Courier New" w:eastAsia="Courier New" w:hAnsi="Courier New"/>
          <w:sz w:val="14"/>
          <w:szCs w:val="14"/>
          <w:color w:val="auto"/>
        </w:rPr>
        <w:t>necessarily representative of the effects on reporting the results of operations for future years as the period presented includes only four, three or two years, respectively, of option grants under the Company's plans. As required by</w:t>
      </w:r>
    </w:p>
    <w:p>
      <w:pPr>
        <w:spacing w:after="0" w:line="1"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FAS 123, the Company has used the Black-Scholes model for option valuation, which method may not accurately value the options described.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WARRANTS</w:t>
      </w:r>
    </w:p>
    <w:p>
      <w:pPr>
        <w:spacing w:after="0" w:line="200" w:lineRule="exact"/>
        <w:rPr>
          <w:sz w:val="20"/>
          <w:szCs w:val="20"/>
          <w:color w:val="auto"/>
        </w:rPr>
      </w:pPr>
    </w:p>
    <w:p>
      <w:pPr>
        <w:spacing w:after="0" w:line="32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In conjunction with various equipment leasing agreements, the Company has outstanding warrants to purchase 31,545 shares of common stock at prices ranging from $4.00 to $9.00 per share. The warrants expire through October 2000.</w:t>
      </w:r>
    </w:p>
    <w:p>
      <w:pPr>
        <w:spacing w:after="0" w:line="200" w:lineRule="exact"/>
        <w:rPr>
          <w:sz w:val="20"/>
          <w:szCs w:val="20"/>
          <w:color w:val="auto"/>
        </w:rPr>
      </w:pPr>
    </w:p>
    <w:p>
      <w:pPr>
        <w:spacing w:after="0" w:line="32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expired in April 2000.</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174"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2"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 co-exclusive rights but did not exercise by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461" w:right="1440"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4" w:lineRule="exact"/>
        <w:rPr>
          <w:sz w:val="20"/>
          <w:szCs w:val="20"/>
          <w:color w:val="auto"/>
        </w:rPr>
      </w:pPr>
    </w:p>
    <w:p>
      <w:pPr>
        <w:ind w:left="8" w:right="3079"/>
        <w:spacing w:after="0" w:line="274" w:lineRule="auto"/>
        <w:rPr>
          <w:sz w:val="20"/>
          <w:szCs w:val="20"/>
          <w:color w:val="auto"/>
        </w:rPr>
      </w:pPr>
      <w:r>
        <w:rPr>
          <w:rFonts w:ascii="Courier New" w:cs="Courier New" w:eastAsia="Courier New" w:hAnsi="Courier New"/>
          <w:sz w:val="14"/>
          <w:szCs w:val="14"/>
          <w:color w:val="auto"/>
        </w:rPr>
        <w:t>the April 1998 deadline. The Company retains exclusive rights for transplantation. The parties have no further research obligations to each other.</w:t>
      </w:r>
    </w:p>
    <w:p>
      <w:pPr>
        <w:spacing w:after="0" w:line="32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w:t>
      </w:r>
    </w:p>
    <w:p>
      <w:pPr>
        <w:spacing w:after="0" w:line="200" w:lineRule="exact"/>
        <w:rPr>
          <w:sz w:val="20"/>
          <w:szCs w:val="20"/>
          <w:color w:val="auto"/>
        </w:rPr>
      </w:pPr>
    </w:p>
    <w:p>
      <w:pPr>
        <w:spacing w:after="0" w:line="307" w:lineRule="exact"/>
        <w:rPr>
          <w:sz w:val="20"/>
          <w:szCs w:val="20"/>
          <w:color w:val="auto"/>
        </w:rPr>
      </w:pPr>
    </w:p>
    <w:p>
      <w:pPr>
        <w:ind w:left="8" w:right="3159" w:firstLine="358"/>
        <w:spacing w:after="0" w:line="260"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studies by more than</w:t>
      </w:r>
    </w:p>
    <w:p>
      <w:pPr>
        <w:spacing w:after="0" w:line="2"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$1 million, Genentech had the right to require the Company to repurchase from 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(SEE NOTE 18--"SUBSEQUENT EVENTS" RELATING TO THE SETTLEMENT OF AND TERMINATION OF THE GENENTECH AGREEMENTS.)</w:t>
      </w:r>
    </w:p>
    <w:p>
      <w:pPr>
        <w:spacing w:after="0" w:line="200" w:lineRule="exact"/>
        <w:rPr>
          <w:sz w:val="20"/>
          <w:szCs w:val="20"/>
          <w:color w:val="auto"/>
        </w:rPr>
      </w:pPr>
    </w:p>
    <w:p>
      <w:pPr>
        <w:spacing w:after="0" w:line="311"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w:t>
      </w:r>
    </w:p>
    <w:p>
      <w:pPr>
        <w:spacing w:after="0" w:line="200" w:lineRule="exact"/>
        <w:rPr>
          <w:sz w:val="20"/>
          <w:szCs w:val="20"/>
          <w:color w:val="auto"/>
        </w:rPr>
      </w:pPr>
    </w:p>
    <w:p>
      <w:pPr>
        <w:spacing w:after="0" w:line="30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461" w:right="1440"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w:t>
      </w:r>
    </w:p>
    <w:p>
      <w:pPr>
        <w:spacing w:after="0" w:line="200" w:lineRule="exact"/>
        <w:rPr>
          <w:sz w:val="20"/>
          <w:szCs w:val="20"/>
          <w:color w:val="auto"/>
        </w:rPr>
      </w:pPr>
    </w:p>
    <w:p>
      <w:pPr>
        <w:spacing w:after="0" w:line="321"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339"/>
        <w:spacing w:after="0" w:line="262" w:lineRule="auto"/>
        <w:rPr>
          <w:sz w:val="20"/>
          <w:szCs w:val="20"/>
          <w:color w:val="auto"/>
        </w:rPr>
      </w:pPr>
      <w:r>
        <w:rPr>
          <w:rFonts w:ascii="Courier New" w:cs="Courier New" w:eastAsia="Courier New" w:hAnsi="Courier New"/>
          <w:sz w:val="14"/>
          <w:szCs w:val="14"/>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w:t>
      </w:r>
    </w:p>
    <w:p>
      <w:pPr>
        <w:spacing w:after="0" w:line="33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4"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$ 28,124,000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F-21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4"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5"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61" w:right="1440" w:bottom="1440" w:gutter="0" w:footer="0" w:header="0"/>
        </w:sectPr>
      </w:pPr>
    </w:p>
    <w:bookmarkStart w:id="80" w:name="page81"/>
    <w:bookmarkEnd w:id="8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 2000</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(UNAUDITED)</w:t>
            </w:r>
          </w:p>
        </w:tc>
        <w:tc>
          <w:tcPr>
            <w:tcW w:w="36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(NOTE 1)</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5,535,264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718,145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1,210,791</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6,453,409</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8,970,855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Restricted investments......................................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3,203,491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1,524,650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1,747,885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936,745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1,108,768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144,269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631,315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615,092</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2,605,068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326,250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1,085,611</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3,560,550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596,222</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502,353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5,248,610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196,127</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186,355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129,525,509</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(121,698,674)</w:t>
            </w:r>
          </w:p>
        </w:tc>
        <w:tc>
          <w:tcPr>
            <w:tcW w:w="36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(119,372,710)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(1,137,500)</w:t>
            </w:r>
          </w:p>
        </w:tc>
        <w:tc>
          <w:tcPr>
            <w:tcW w:w="36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27,605,627</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3,506,403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461" w:right="1440" w:bottom="1440" w:gutter="0" w:footer="0" w:header="0"/>
        </w:sectPr>
      </w:pPr>
    </w:p>
    <w:bookmarkStart w:id="81" w:name="page82"/>
    <w:bookmarkEnd w:id="8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SIX MONTHS ENDED JUNE 30</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$ 5,021,707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1,659,932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6,847,383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2,078,286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2,168,315</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3,738,218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9,015,698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(3,738,218)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(3,993,991)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138,232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406,331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(142,566)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(185,054)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1,416,588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1,412,254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221,277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$(2,325,964)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19,419,236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18,483,437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461" w:right="1440" w:bottom="1440" w:gutter="0" w:footer="0" w:header="0"/>
        </w:sectPr>
      </w:pPr>
    </w:p>
    <w:bookmarkStart w:id="82" w:name="page83"/>
    <w:bookmarkEnd w:id="82"/>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60"/>
        </w:trPr>
        <w:tc>
          <w:tcPr>
            <w:tcW w:w="5440" w:type="dxa"/>
            <w:vAlign w:val="bottom"/>
          </w:tcPr>
          <w:p>
            <w:pPr>
              <w:spacing w:after="0"/>
              <w:rPr>
                <w:sz w:val="24"/>
                <w:szCs w:val="24"/>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SIX MONTHS ENDED JUNE 30,</w:t>
            </w:r>
          </w:p>
        </w:tc>
      </w:tr>
      <w:tr>
        <w:trPr>
          <w:trHeight w:val="172"/>
        </w:trPr>
        <w:tc>
          <w:tcPr>
            <w:tcW w:w="5440" w:type="dxa"/>
            <w:vAlign w:val="bottom"/>
          </w:tcPr>
          <w:p>
            <w:pPr>
              <w:spacing w:after="0"/>
              <w:rPr>
                <w:sz w:val="14"/>
                <w:szCs w:val="14"/>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$(2,325,964)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(1,416,588)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407,634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1,163,295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87,500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189,650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(1,890,508)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(2,075,873)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(5,137,926)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(4,495,642)</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6,891,026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1,416,588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Purchase/Sale of property, plant and equipment............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(131,113)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(274,510)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4,204,213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2,087,727</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368,913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176,545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mortgage payable..................................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(881,250)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1,708,913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(704,705)</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increase/(decrease) in cash and cash equivalents........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775,200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(3,112,620)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$ 5,535,264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$ 4,752,168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61" w:right="1440" w:bottom="1440" w:gutter="0" w:footer="0" w:header="0"/>
        </w:sectPr>
      </w:pPr>
    </w:p>
    <w:bookmarkStart w:id="83" w:name="page84"/>
    <w:bookmarkEnd w:id="83"/>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May 23, 2000, the Company's name was changed to StemCells,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2000 are not necessarily indicative of the results that may be expected for the entire fiscal year ending December 31, 2000.</w:t>
      </w:r>
    </w:p>
    <w:p>
      <w:pPr>
        <w:spacing w:after="0" w:line="35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w:t>
      </w:r>
    </w:p>
    <w:p>
      <w:pPr>
        <w:spacing w:after="0" w:line="175"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For the complete financial statements, refer to the audited financial statements and footnotes thereto as of December 31, 1999 included earlier in this prospectus.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Common equivalent shares from stock options and warrants are excluded, as their effect is antidilutive.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For the six months ended June 30, 2000 and 1999, total comprehensive income/(loss) was $16,894,201 and ($3,772,714) respectively. The reported net loss for the six months ended June 30, 2000 and 1999 was $2,325,964 and $3,772,714. During the second quarter of 2000, the Company recorded its ownership of 126,193 shares of Modex Therapeutics Ltd. as available for sale at an estimated fair value of $19,220,165 (see note 4).</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At June 30, 2000, the Company owned 126,193 shares of Modex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Therapeutics Ltd. ("Modex"). This Swiss biotechnology company made an initial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 of shares on the Swiss Exchange on June 23, 2000. Accordingly,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an established market value, the investment was marked to market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as available-for-sale at estimated fair market value based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2000 closing price of $152.31 (247.50 Swiss francs) per share.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gain was reported in other comprehensive income. Estimated fair value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 2000 is as follows:</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040" w:space="100"/>
            <w:col w:w="2060" w:space="80"/>
            <w:col w:w="5939"/>
          </w:cols>
          <w:pgMar w:left="240" w:top="461" w:right="1440" w:bottom="1440"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9" w:lineRule="exact"/>
        <w:rPr>
          <w:sz w:val="20"/>
          <w:szCs w:val="20"/>
          <w:color w:val="auto"/>
        </w:rPr>
      </w:pPr>
    </w:p>
    <w:p>
      <w:pPr>
        <w:sectPr>
          <w:pgSz w:w="11900" w:h="16838" w:orient="portrait"/>
          <w:cols w:equalWidth="0" w:num="3">
            <w:col w:w="1860" w:space="720"/>
            <w:col w:w="980" w:space="720"/>
            <w:col w:w="5939"/>
          </w:cols>
          <w:pgMar w:left="240" w:top="461"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19"/>
          </w:cols>
          <w:pgMar w:left="240" w:top="461" w:right="1440" w:bottom="1440" w:gutter="0" w:footer="0" w:header="0"/>
          <w:type w:val="continuous"/>
        </w:sectPr>
      </w:pPr>
    </w:p>
    <w:bookmarkStart w:id="84" w:name="page85"/>
    <w:bookmarkEnd w:id="84"/>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WIND-DOWN OF ENCAPSULATED CELL TECHNOLOGY</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the last two quarters of 1999, the Company wound down operations relating to its former encapsulated cell technology to focus its resources on the research and development of its proprietary stem cell technology platform. At the end of 1999 the balance in the reserve created for wind-down expenses was $1,934,569. For the first half of 2000 the roll-forward of this balance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RESERVE AS AT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RESERVE AS AT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12/31/99</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CASH PAYMENTS</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300,000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Facilities, Maintenance and other Expenses.............</w:t>
            </w:r>
          </w:p>
        </w:tc>
        <w:tc>
          <w:tcPr>
            <w:tcW w:w="2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462,569</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462,569</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RIPSAT Settlement......................................</w:t>
            </w:r>
          </w:p>
        </w:tc>
        <w:tc>
          <w:tcPr>
            <w:tcW w:w="2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1,172,000</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1,934,569</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$1,634,569</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The fixed assets reserve was applied against property held for sale at December 31, 1999 and June 30, 2000 for financial statement presentation purposes.</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SUBSEQUENT EVENTS</w:t>
      </w:r>
    </w:p>
    <w:p>
      <w:pPr>
        <w:spacing w:after="0" w:line="348"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w:t>
      </w:r>
    </w:p>
    <w:p>
      <w:pPr>
        <w:ind w:right="3079"/>
        <w:spacing w:after="0" w:line="242" w:lineRule="auto"/>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owned by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 year warrant to purchase up to 101,587 shares of common stock at $4.725 per share. This warrant is callable at any time by StemCells at $7.875 per underlying share.</w:t>
      </w:r>
    </w:p>
    <w:p>
      <w:pPr>
        <w:spacing w:after="0" w:line="200" w:lineRule="exact"/>
        <w:rPr>
          <w:sz w:val="20"/>
          <w:szCs w:val="20"/>
          <w:color w:val="auto"/>
        </w:rPr>
      </w:pPr>
    </w:p>
    <w:p>
      <w:pPr>
        <w:spacing w:after="0" w:line="328" w:lineRule="exact"/>
        <w:rPr>
          <w:sz w:val="20"/>
          <w:szCs w:val="20"/>
          <w:color w:val="auto"/>
        </w:rPr>
      </w:pPr>
    </w:p>
    <w:p>
      <w:pPr>
        <w:jc w:val="both"/>
        <w:ind w:right="3079" w:firstLine="358"/>
        <w:spacing w:after="0" w:line="260"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Company received $750,000 of the purchase price at the closing on</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August 30, 2000, and will receive the remaining $250,000 upon effectiveness of a registration statement covering the shares owned by the Fund. The Fund purchased the Company's common stock at $5.53 per share, which amount was based upon the average market price of the common stock for the five day period prior to August 23, 2000. As set forth in an adjustable warrant issued to the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61" w:right="1440" w:bottom="1440" w:gutter="0" w:footer="0" w:header="0"/>
        </w:sectPr>
      </w:pPr>
    </w:p>
    <w:bookmarkStart w:id="85" w:name="page86"/>
    <w:bookmarkEnd w:id="85"/>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SUBSEQUENT EVENTS (Continued)</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limit the number of additional shares by purchasing part of the entitlement from the Fund at a purchase price based on the market price of such shares. The Fund also received a five year warrant to purchase up to 19,900 shares of common stock at $6.03 per share. This warrant is callable by the Company at any time at $10.05 per underlying share.</w:t>
      </w:r>
    </w:p>
    <w:p>
      <w:pPr>
        <w:spacing w:after="0" w:line="200" w:lineRule="exact"/>
        <w:rPr>
          <w:sz w:val="20"/>
          <w:szCs w:val="20"/>
          <w:color w:val="auto"/>
        </w:rPr>
      </w:pPr>
    </w:p>
    <w:p>
      <w:pPr>
        <w:spacing w:after="0" w:line="31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adjustable warrant is subject to adjustment for subdivisions, combinations, stock dividends, reorganizations and various other issuances of common stock. During any period of time that the shares of common stock underlying an adjustable warrant are not subject to an effective registration statement, the Fund may elect to exercise the adjustable warrant by receiving a reduced number of shares in lieu of tendering the exercise price in cash. In the event of certain mergers, asset sales and tender or exchange offers, the Fund shall have the right to purchase, by exercise of the adjustable warrants and payment of the exercise price, the kind and amount of shares and other securities and property it would have owned or have been entitled to receive after the occurrence of the transaction had the adjustable warrant been exercised immediately before the transaction, subject to the adjustment of the exercise price as described in the adjustable warrant and above, or, if applicable, the right to receive a substitute adjustable warrant after a merger or the right to tender the adjustable warrant for the consideration that would have been received if the adjustable warrant had been exercised and the shares issued upon exercise had been tendered. Under the terms of the adjustable warrants, the number of shares of common stock that the Fund may acquire upon exercise cannot exceed a number that, when added to the total number of shares of common stock the Fund is deemed to beneficially own, together with all shares of common stock deemed beneficially owned by the Fund's affiliates (as defined by Rule 144 of the Securities Act of 1933), would exceed 9.99% of the total issued and outstanding shares of the Common Stock.</w:t>
      </w:r>
    </w:p>
    <w:p>
      <w:pPr>
        <w:spacing w:after="0" w:line="3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61" w:right="1440" w:bottom="1440" w:gutter="0" w:footer="0" w:header="0"/>
        </w:sectPr>
      </w:pPr>
    </w:p>
    <w:bookmarkStart w:id="86" w:name="page87"/>
    <w:bookmarkEnd w:id="86"/>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200" w:lineRule="exact"/>
        <w:rPr>
          <w:sz w:val="20"/>
          <w:szCs w:val="20"/>
          <w:color w:val="auto"/>
        </w:rPr>
      </w:pPr>
    </w:p>
    <w:p>
      <w:pPr>
        <w:spacing w:after="0" w:line="32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$6,956.16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amendment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633" w:right="1440" w:bottom="1440" w:gutter="0" w:footer="0" w:header="0"/>
        </w:sectPr>
      </w:pPr>
    </w:p>
    <w:bookmarkStart w:id="87" w:name="page88"/>
    <w:bookmarkEnd w:id="87"/>
    <w:p>
      <w:pPr>
        <w:ind w:left="8" w:right="3159"/>
        <w:spacing w:after="0" w:line="241" w:lineRule="auto"/>
        <w:rPr>
          <w:sz w:val="20"/>
          <w:szCs w:val="20"/>
          <w:color w:val="auto"/>
        </w:rPr>
      </w:pPr>
      <w:r>
        <w:rPr>
          <w:rFonts w:ascii="Courier New" w:cs="Courier New" w:eastAsia="Courier New" w:hAnsi="Courier New"/>
          <w:sz w:val="15"/>
          <w:szCs w:val="15"/>
          <w:color w:val="auto"/>
        </w:rPr>
        <w:t>which those seeking indemnification may be entitled under any by-law, agreement or vote of directors or stockholders or otherwise, and shall inure to the benefit of the heirs and legal representatives of such persons.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5"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left="8" w:right="3339" w:firstLine="358"/>
        <w:spacing w:after="0" w:line="260"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8" w:right="325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348"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5,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3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88" w:name="page89"/>
    <w:bookmarkEnd w:id="88"/>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will receive the remaining $1 million upon effectiveness of a registration statement covering the shares owned by the Fund. The Fund purchased the Registrant's common stock at $4.33 per share. The Fund may be entitled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200" w:lineRule="exact"/>
        <w:rPr>
          <w:sz w:val="20"/>
          <w:szCs w:val="20"/>
          <w:color w:val="auto"/>
        </w:rPr>
      </w:pPr>
    </w:p>
    <w:p>
      <w:pPr>
        <w:spacing w:after="0" w:line="32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at the closing on August 23, 2000 and will receive the remaining $250,000 upon effectiveness of a registration statement covering the shares owned by the Fund. The Fund may be entitled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limit the number of additional shares by purchasing part of the entitlement from the Fund. The Fund also received a five year warrant to purchase up to 19,900 shares of the Registrant's common stock at $6.03 per share. This warrant is callable by the Registrant at any time at $10.05 per underlying share.</w:t>
      </w:r>
    </w:p>
    <w:p>
      <w:pPr>
        <w:spacing w:after="0" w:line="355" w:lineRule="exact"/>
        <w:rPr>
          <w:sz w:val="20"/>
          <w:szCs w:val="20"/>
          <w:color w:val="auto"/>
        </w:rPr>
      </w:pPr>
    </w:p>
    <w:p>
      <w:pPr>
        <w:ind w:right="3159" w:firstLine="350"/>
        <w:spacing w:after="0"/>
        <w:tabs>
          <w:tab w:leader="none" w:pos="80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left="620" w:right="3159" w:hanging="270"/>
        <w:spacing w:after="0"/>
        <w:tabs>
          <w:tab w:leader="none" w:pos="7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4"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1149" w:right="1440" w:bottom="1440" w:gutter="0" w:footer="0" w:header="0"/>
        </w:sectPr>
      </w:pPr>
    </w:p>
    <w:bookmarkStart w:id="90" w:name="page91"/>
    <w:bookmarkEnd w:id="90"/>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1149" w:right="1440" w:bottom="1440" w:gutter="0" w:footer="0" w:header="0"/>
        </w:sectPr>
      </w:pPr>
    </w:p>
    <w:p>
      <w:pPr>
        <w:ind w:left="448"/>
        <w:spacing w:after="0"/>
        <w:rPr>
          <w:sz w:val="20"/>
          <w:szCs w:val="20"/>
          <w:color w:val="auto"/>
        </w:rPr>
      </w:pPr>
      <w:r>
        <w:rPr>
          <w:rFonts w:ascii="Courier New" w:cs="Courier New" w:eastAsia="Courier New" w:hAnsi="Courier New"/>
          <w:sz w:val="15"/>
          <w:szCs w:val="15"/>
          <w:color w:val="auto"/>
        </w:rPr>
        <w:t>10.28***</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Consulting Agreement dated as of September 25, 1997 between Dr. Irving Weissman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Letter Agreement among each of Dr. Irving Weissman and Dr.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H. Gage and the Registrant.</w:t>
      </w:r>
    </w:p>
    <w:p>
      <w:pPr>
        <w:spacing w:after="0" w:line="176"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 1996 Stock Option Plan.</w:t>
      </w:r>
    </w:p>
    <w:p>
      <w:pPr>
        <w:spacing w:after="0" w:line="185"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1997 StemCells Research Stock Option Plan (the "1997 Plan")</w:t>
      </w:r>
    </w:p>
    <w:p>
      <w:pPr>
        <w:spacing w:after="0" w:line="185"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10.34****</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Form of Performance-Based Incentive Option Agreement issued under the 1997 Plan.</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10.35###</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Employment Agreement dated as of September 25, 1997 between Dr. Richard M. Rose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10.38[*]</w:t>
      </w:r>
    </w:p>
    <w:p>
      <w:pPr>
        <w:spacing w:after="0" w:line="20" w:lineRule="exact"/>
        <w:rPr>
          <w:sz w:val="20"/>
          <w:szCs w:val="20"/>
          <w:color w:val="auto"/>
        </w:rPr>
      </w:pPr>
      <w:r>
        <w:rPr>
          <w:sz w:val="20"/>
          <w:szCs w:val="20"/>
          <w:color w:val="auto"/>
        </w:rPr>
        <w:br w:type="column"/>
      </w:r>
    </w:p>
    <w:p>
      <w:pPr>
        <w:ind w:right="3079"/>
        <w:spacing w:after="0"/>
        <w:rPr>
          <w:sz w:val="20"/>
          <w:szCs w:val="20"/>
          <w:color w:val="auto"/>
        </w:rPr>
      </w:pPr>
      <w:r>
        <w:rPr>
          <w:rFonts w:ascii="Courier New" w:cs="Courier New" w:eastAsia="Courier New" w:hAnsi="Courier New"/>
          <w:sz w:val="15"/>
          <w:szCs w:val="15"/>
          <w:color w:val="auto"/>
        </w:rPr>
        <w:t>Rights Agreement, dated as of July 27, 1998 between Bank Boston, N.A. as Rights Agent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10.40Section**</w:t>
      </w:r>
    </w:p>
    <w:p>
      <w:pPr>
        <w:spacing w:after="0" w:line="20" w:lineRule="exact"/>
        <w:rPr>
          <w:sz w:val="20"/>
          <w:szCs w:val="20"/>
          <w:color w:val="auto"/>
        </w:rPr>
      </w:pPr>
      <w:r>
        <w:rPr>
          <w:sz w:val="20"/>
          <w:szCs w:val="20"/>
          <w:color w:val="auto"/>
        </w:rPr>
        <w:br w:type="column"/>
      </w:r>
    </w:p>
    <w:p>
      <w:pPr>
        <w:jc w:val="both"/>
        <w:ind w:right="2799"/>
        <w:spacing w:after="0" w:line="241" w:lineRule="auto"/>
        <w:rPr>
          <w:sz w:val="20"/>
          <w:szCs w:val="20"/>
          <w:color w:val="auto"/>
        </w:rPr>
      </w:pPr>
      <w:r>
        <w:rPr>
          <w:rFonts w:ascii="Courier New" w:cs="Courier New" w:eastAsia="Courier New" w:hAnsi="Courier New"/>
          <w:sz w:val="15"/>
          <w:szCs w:val="15"/>
          <w:color w:val="auto"/>
        </w:rPr>
        <w:t>Consulting Services Agreement dated as of July 27, 1998, as amended December 19, 1998 between Dr.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10.41Section**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Letter Agreement dated as of December 19, 1998 between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10.42Section**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10.43Section**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10.44Section**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November 20, 1998 between The Scripps Research Institute and the Registrant.</w:t>
      </w:r>
    </w:p>
    <w:p>
      <w:pPr>
        <w:spacing w:after="0" w:line="176"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10.45SectionSection**</w:t>
      </w:r>
    </w:p>
    <w:p>
      <w:pPr>
        <w:spacing w:after="0" w:line="20" w:lineRule="exact"/>
        <w:rPr>
          <w:sz w:val="20"/>
          <w:szCs w:val="20"/>
          <w:color w:val="auto"/>
        </w:rPr>
      </w:pPr>
      <w:r>
        <w:rPr>
          <w:sz w:val="20"/>
          <w:szCs w:val="20"/>
          <w:color w:val="auto"/>
        </w:rPr>
        <w:br w:type="column"/>
      </w:r>
    </w:p>
    <w:p>
      <w:pPr>
        <w:ind w:right="2719"/>
        <w:spacing w:after="0" w:line="274" w:lineRule="auto"/>
        <w:rPr>
          <w:sz w:val="20"/>
          <w:szCs w:val="20"/>
          <w:color w:val="auto"/>
        </w:rPr>
      </w:pPr>
      <w:r>
        <w:rPr>
          <w:rFonts w:ascii="Courier New" w:cs="Courier New" w:eastAsia="Courier New" w:hAnsi="Courier New"/>
          <w:sz w:val="14"/>
          <w:szCs w:val="14"/>
          <w:color w:val="auto"/>
        </w:rPr>
        <w:t>Purchase Agreement and License Agreement dated as of December 29, 1999 between Neurotech S.A. and the Registrant.</w:t>
      </w:r>
    </w:p>
    <w:p>
      <w:pPr>
        <w:spacing w:after="0" w:line="154" w:lineRule="exact"/>
        <w:rPr>
          <w:sz w:val="20"/>
          <w:szCs w:val="20"/>
          <w:color w:val="auto"/>
        </w:rPr>
      </w:pPr>
    </w:p>
    <w:p>
      <w:pPr>
        <w:sectPr>
          <w:pgSz w:w="11900" w:h="16838" w:orient="portrait"/>
          <w:cols w:equalWidth="0" w:num="2">
            <w:col w:w="1888" w:space="26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10.46**</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6"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10.47**</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tabs>
          <w:tab w:leader="none" w:pos="2128" w:val="left"/>
        </w:tabs>
        <w:rPr>
          <w:sz w:val="20"/>
          <w:szCs w:val="20"/>
          <w:color w:val="auto"/>
        </w:rPr>
      </w:pPr>
      <w:r>
        <w:rPr>
          <w:rFonts w:ascii="Courier New" w:cs="Courier New" w:eastAsia="Courier New" w:hAnsi="Courier New"/>
          <w:sz w:val="15"/>
          <w:szCs w:val="15"/>
          <w:color w:val="auto"/>
        </w:rPr>
        <w:t>10.48</w:t>
      </w:r>
      <w:r>
        <w:rPr>
          <w:sz w:val="20"/>
          <w:szCs w:val="20"/>
          <w:color w:val="auto"/>
        </w:rPr>
        <w:tab/>
      </w:r>
      <w:r>
        <w:rPr>
          <w:rFonts w:ascii="Courier New" w:cs="Courier New" w:eastAsia="Courier New" w:hAnsi="Courier New"/>
          <w:sz w:val="14"/>
          <w:szCs w:val="14"/>
          <w:color w:val="auto"/>
        </w:rPr>
        <w:t>Form of Registration Rights Agreement dated as of July 31,</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2000 between StemCells, Inc. and investors.</w:t>
      </w:r>
    </w:p>
    <w:p>
      <w:pPr>
        <w:spacing w:after="0" w:line="176" w:lineRule="exact"/>
        <w:rPr>
          <w:sz w:val="20"/>
          <w:szCs w:val="20"/>
          <w:color w:val="auto"/>
        </w:rPr>
      </w:pPr>
    </w:p>
    <w:p>
      <w:pPr>
        <w:ind w:left="2148" w:right="3079" w:hanging="1698"/>
        <w:spacing w:after="0"/>
        <w:tabs>
          <w:tab w:leader="none" w:pos="2128" w:val="left"/>
        </w:tabs>
        <w:rPr>
          <w:sz w:val="20"/>
          <w:szCs w:val="20"/>
          <w:color w:val="auto"/>
        </w:rPr>
      </w:pPr>
      <w:r>
        <w:rPr>
          <w:rFonts w:ascii="Courier New" w:cs="Courier New" w:eastAsia="Courier New" w:hAnsi="Courier New"/>
          <w:sz w:val="15"/>
          <w:szCs w:val="15"/>
          <w:color w:val="auto"/>
        </w:rPr>
        <w:t>10.49</w:t>
      </w:r>
      <w:r>
        <w:rPr>
          <w:sz w:val="20"/>
          <w:szCs w:val="20"/>
          <w:color w:val="auto"/>
        </w:rPr>
        <w:tab/>
      </w:r>
      <w:r>
        <w:rPr>
          <w:rFonts w:ascii="Courier New" w:cs="Courier New" w:eastAsia="Courier New" w:hAnsi="Courier New"/>
          <w:sz w:val="15"/>
          <w:szCs w:val="15"/>
          <w:color w:val="auto"/>
        </w:rPr>
        <w:t>Subscription Agreement dated as of July 31, 2000 between StemCells, Inc. and Millennium Partners, L.P.</w:t>
      </w:r>
    </w:p>
    <w:p>
      <w:pPr>
        <w:sectPr>
          <w:pgSz w:w="11900" w:h="16838" w:orient="portrait"/>
          <w:cols w:equalWidth="0" w:num="1">
            <w:col w:w="10227"/>
          </w:cols>
          <w:pgMar w:left="232" w:top="1149" w:right="1440" w:bottom="1440" w:gutter="0" w:footer="0" w:header="0"/>
          <w:type w:val="continuous"/>
        </w:sectPr>
      </w:pP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183"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1149" w:right="1440" w:bottom="1440" w:gutter="0" w:footer="0" w:header="0"/>
          <w:type w:val="continuous"/>
        </w:sectPr>
      </w:pPr>
    </w:p>
    <w:bookmarkStart w:id="91" w:name="page92"/>
    <w:bookmarkEnd w:id="91"/>
    <w:p>
      <w:pPr>
        <w:ind w:left="528" w:right="3439" w:hanging="528"/>
        <w:spacing w:after="0" w:line="260" w:lineRule="auto"/>
        <w:tabs>
          <w:tab w:leader="none" w:pos="61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63" w:right="1440" w:bottom="1440" w:gutter="0" w:footer="0" w:header="0"/>
        </w:sectPr>
      </w:pPr>
    </w:p>
    <w:bookmarkStart w:id="92" w:name="page93"/>
    <w:bookmarkEnd w:id="92"/>
    <w:p>
      <w:pPr>
        <w:ind w:right="3159"/>
        <w:spacing w:after="0" w:line="261" w:lineRule="auto"/>
        <w:rPr>
          <w:sz w:val="20"/>
          <w:szCs w:val="20"/>
          <w:color w:val="auto"/>
        </w:rPr>
      </w:pPr>
      <w:r>
        <w:rPr>
          <w:rFonts w:ascii="Courier New" w:cs="Courier New" w:eastAsia="Courier New" w:hAnsi="Courier New"/>
          <w:sz w:val="14"/>
          <w:szCs w:val="14"/>
          <w:color w:val="auto"/>
        </w:rPr>
        <w:t>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620" w:right="3339" w:hanging="270"/>
        <w:spacing w:after="0"/>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060" w:right="3699" w:hanging="353"/>
        <w:spacing w:after="0"/>
        <w:tabs>
          <w:tab w:leader="none" w:pos="1060"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160" w:right="3079" w:hanging="453"/>
        <w:spacing w:after="0" w:line="242" w:lineRule="auto"/>
        <w:tabs>
          <w:tab w:leader="none" w:pos="1160"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60" w:right="3079" w:hanging="542"/>
        <w:spacing w:after="0" w:line="242" w:lineRule="auto"/>
        <w:tabs>
          <w:tab w:leader="none" w:pos="116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620" w:right="3079" w:hanging="270"/>
        <w:spacing w:after="0" w:line="242" w:lineRule="auto"/>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jc w:val="both"/>
        <w:ind w:left="620" w:right="3519" w:hanging="270"/>
        <w:spacing w:after="0" w:line="241" w:lineRule="auto"/>
        <w:tabs>
          <w:tab w:leader="none" w:pos="7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463" w:right="1440" w:bottom="1440" w:gutter="0" w:footer="0" w:header="0"/>
        </w:sectPr>
      </w:pPr>
    </w:p>
    <w:bookmarkStart w:id="93" w:name="page94"/>
    <w:bookmarkEnd w:id="93"/>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18th day of October,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4920"/>
        <w:spacing w:after="0"/>
        <w:tabs>
          <w:tab w:leader="none" w:pos="5340" w:val="left"/>
        </w:tabs>
        <w:rPr>
          <w:sz w:val="20"/>
          <w:szCs w:val="20"/>
          <w:color w:val="auto"/>
        </w:rPr>
      </w:pPr>
      <w:r>
        <w:rPr>
          <w:rFonts w:ascii="Courier New" w:cs="Courier New" w:eastAsia="Courier New" w:hAnsi="Courier New"/>
          <w:sz w:val="15"/>
          <w:szCs w:val="15"/>
          <w:color w:val="auto"/>
        </w:rPr>
        <w:t>BY:</w:t>
        <w:tab/>
        <w:t>/S/ IRIS BREST*</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George W. Dunbar, Jr.</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Executive Officer and</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95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October 18, 2000.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SIGNATURE</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George W. Dunbar, Jr.,</w:t>
            </w:r>
          </w:p>
        </w:tc>
      </w:tr>
      <w:tr>
        <w:trPr>
          <w:trHeight w:val="172"/>
        </w:trPr>
        <w:tc>
          <w:tcPr>
            <w:tcW w:w="416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w w:val="98"/>
              </w:rPr>
              <w:t>Acting President, Chief Executive Officer</w:t>
            </w:r>
          </w:p>
        </w:tc>
      </w:tr>
      <w:tr>
        <w:trPr>
          <w:trHeight w:val="172"/>
        </w:trPr>
        <w:tc>
          <w:tcPr>
            <w:tcW w:w="416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 Officer) and Chief</w:t>
            </w:r>
          </w:p>
        </w:tc>
      </w:tr>
      <w:tr>
        <w:trPr>
          <w:trHeight w:val="172"/>
        </w:trPr>
        <w:tc>
          <w:tcPr>
            <w:tcW w:w="416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(Principal Financial</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Donald Kennedy, Ph. D.</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16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2"/>
        </w:trPr>
        <w:tc>
          <w:tcPr>
            <w:tcW w:w="41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1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As attorney-in-fact</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461"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4.9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61" w:right="1440"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1149" w:right="1440" w:bottom="1440" w:gutter="0" w:footer="0" w:header="0"/>
        </w:sectPr>
      </w:pPr>
    </w:p>
    <w:bookmarkStart w:id="96" w:name="page97"/>
    <w:bookmarkEnd w:id="96"/>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1149" w:right="1440" w:bottom="1022"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1149" w:right="1440" w:bottom="1022" w:gutter="0" w:footer="0" w:header="0"/>
          <w:type w:val="continuous"/>
        </w:sect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ectPr>
          <w:pgSz w:w="11900" w:h="16838" w:orient="portrait"/>
          <w:cols w:equalWidth="0" w:num="1">
            <w:col w:w="10227"/>
          </w:cols>
          <w:pgMar w:left="232" w:top="1149" w:right="1440" w:bottom="1022" w:gutter="0" w:footer="0" w:header="0"/>
          <w:type w:val="continuous"/>
        </w:sectPr>
      </w:pPr>
    </w:p>
    <w:bookmarkStart w:id="97" w:name="page98"/>
    <w:bookmarkEnd w:id="97"/>
    <w:p>
      <w:pPr>
        <w:jc w:val="right"/>
        <w:ind w:right="3259"/>
        <w:spacing w:after="0"/>
        <w:rPr>
          <w:sz w:val="20"/>
          <w:szCs w:val="20"/>
          <w:color w:val="auto"/>
        </w:rPr>
      </w:pPr>
      <w:r>
        <w:rPr>
          <w:rFonts w:ascii="Courier New" w:cs="Courier New" w:eastAsia="Courier New" w:hAnsi="Courier New"/>
          <w:sz w:val="15"/>
          <w:szCs w:val="15"/>
          <w:color w:val="auto"/>
        </w:rPr>
        <w:t>Exhibit 21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SUBSIDIARIES OF THE REGISTRANT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ectPr>
          <w:pgSz w:w="11900" w:h="16838" w:orient="portrait"/>
          <w:cols w:equalWidth="0" w:num="1">
            <w:col w:w="10219"/>
          </w:cols>
          <w:pgMar w:left="240" w:top="484" w:right="1440" w:bottom="1440" w:gutter="0" w:footer="0" w:header="0"/>
        </w:sectPr>
      </w:pPr>
    </w:p>
    <w:bookmarkStart w:id="98" w:name="page99"/>
    <w:bookmarkEnd w:id="98"/>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April 14, 2000 in Amendment No. 1 to the Registration Statement (Form S-1 No. 333-45496) and related Prospectus of StemCells, Inc. (formerly CytoTherapeutics, Inc.) for the registration of 3,205,486 shares of its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2000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Roman"/>
      <w:start w:val="3"/>
    </w:lvl>
  </w:abstractNum>
  <w:abstractNum w:abstractNumId="4">
    <w:nsid w:val="75C6C33A"/>
    <w:multiLevelType w:val="hybridMultilevel"/>
    <w:lvl w:ilvl="0">
      <w:lvlJc w:val="left"/>
      <w:lvlText w:val="-"/>
      <w:numFmt w:val="bullet"/>
      <w:start w:val="1"/>
    </w:lvl>
    <w:lvl w:ilvl="1">
      <w:lvlJc w:val="left"/>
      <w:lvlText w:val="%2)"/>
      <w:numFmt w:val="lowerLetter"/>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1."/>
      <w:numFmt w:val="decimal"/>
      <w:start w:val="2"/>
    </w:lvl>
  </w:abstractNum>
  <w:abstractNum w:abstractNumId="14">
    <w:nsid w:val="1CF10FD8"/>
    <w:multiLevelType w:val="hybridMultilevel"/>
    <w:lvl w:ilvl="0">
      <w:lvlJc w:val="left"/>
      <w:lvlText w:val="%1."/>
      <w:numFmt w:val="decimal"/>
      <w:start w:val="3"/>
    </w:lvl>
  </w:abstractNum>
  <w:abstractNum w:abstractNumId="15">
    <w:nsid w:val="180115BE"/>
    <w:multiLevelType w:val="hybridMultilevel"/>
    <w:lvl w:ilvl="0">
      <w:lvlJc w:val="left"/>
      <w:lvlText w:val="%1."/>
      <w:numFmt w:val="decimal"/>
      <w:start w:val="4"/>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5"/>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8"/>
    </w:lvl>
  </w:abstractNum>
  <w:abstractNum w:abstractNumId="24">
    <w:nsid w:val="61574095"/>
    <w:multiLevelType w:val="hybridMultilevel"/>
    <w:lvl w:ilvl="0">
      <w:lvlJc w:val="left"/>
      <w:lvlText w:val="(%1)"/>
      <w:numFmt w:val="decimal"/>
      <w:start w:val="5"/>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2"/>
    </w:lvl>
  </w:abstractNum>
  <w:abstractNum w:abstractNumId="34">
    <w:nsid w:val="1F48EAA1"/>
    <w:multiLevelType w:val="hybridMultilevel"/>
    <w:lvl w:ilvl="0">
      <w:lvlJc w:val="left"/>
      <w:lvlText w:val="%1."/>
      <w:numFmt w:val="decimal"/>
      <w:start w:val="2"/>
    </w:lvl>
  </w:abstractNum>
  <w:abstractNum w:abstractNumId="35">
    <w:nsid w:val="1381823A"/>
    <w:multiLevelType w:val="hybridMultilevel"/>
    <w:lvl w:ilvl="0">
      <w:lvlJc w:val="left"/>
      <w:lvlText w:val="%1."/>
      <w:numFmt w:val="decimal"/>
      <w:start w:val="2"/>
    </w:lvl>
  </w:abstractNum>
  <w:abstractNum w:abstractNumId="36">
    <w:nsid w:val="5DB70AE5"/>
    <w:multiLevelType w:val="hybridMultilevel"/>
    <w:lvl w:ilvl="0">
      <w:lvlJc w:val="left"/>
      <w:lvlText w:val="%1."/>
      <w:numFmt w:val="decimal"/>
      <w:start w:val="3"/>
    </w:lvl>
  </w:abstractNum>
  <w:abstractNum w:abstractNumId="37">
    <w:nsid w:val="100F8FCA"/>
    <w:multiLevelType w:val="hybridMultilevel"/>
    <w:lvl w:ilvl="0">
      <w:lvlJc w:val="left"/>
      <w:lvlText w:val="%1."/>
      <w:numFmt w:val="decimal"/>
      <w:start w:val="4"/>
    </w:lvl>
  </w:abstractNum>
  <w:abstractNum w:abstractNumId="38">
    <w:nsid w:val="6590700B"/>
    <w:multiLevelType w:val="hybridMultilevel"/>
    <w:lvl w:ilvl="0">
      <w:lvlJc w:val="left"/>
      <w:lvlText w:val="%1."/>
      <w:numFmt w:val="decimal"/>
      <w:start w:val="5"/>
    </w:lvl>
  </w:abstractNum>
  <w:abstractNum w:abstractNumId="39">
    <w:nsid w:val="15014ACB"/>
    <w:multiLevelType w:val="hybridMultilevel"/>
    <w:lvl w:ilvl="0">
      <w:lvlJc w:val="left"/>
      <w:lvlText w:val="%1."/>
      <w:numFmt w:val="decimal"/>
      <w:start w:val="5"/>
    </w:lvl>
  </w:abstractNum>
  <w:abstractNum w:abstractNumId="40">
    <w:nsid w:val="5F5E7FD0"/>
    <w:multiLevelType w:val="hybridMultilevel"/>
    <w:lvl w:ilvl="0">
      <w:lvlJc w:val="left"/>
      <w:lvlText w:val="%1."/>
      <w:numFmt w:val="decimal"/>
      <w:start w:val="6"/>
    </w:lvl>
  </w:abstractNum>
  <w:abstractNum w:abstractNumId="41">
    <w:nsid w:val="98A3148"/>
    <w:multiLevelType w:val="hybridMultilevel"/>
    <w:lvl w:ilvl="0">
      <w:lvlJc w:val="left"/>
      <w:lvlText w:val="%1."/>
      <w:numFmt w:val="decimal"/>
      <w:start w:val="7"/>
    </w:lvl>
  </w:abstractNum>
  <w:abstractNum w:abstractNumId="42">
    <w:nsid w:val="799D0247"/>
    <w:multiLevelType w:val="hybridMultilevel"/>
    <w:lvl w:ilvl="0">
      <w:lvlJc w:val="left"/>
      <w:lvlText w:val="%1."/>
      <w:numFmt w:val="decimal"/>
      <w:start w:val="8"/>
    </w:lvl>
  </w:abstractNum>
  <w:abstractNum w:abstractNumId="43">
    <w:nsid w:val="6B94764"/>
    <w:multiLevelType w:val="hybridMultilevel"/>
    <w:lvl w:ilvl="0">
      <w:lvlJc w:val="left"/>
      <w:lvlText w:val="%1."/>
      <w:numFmt w:val="decimal"/>
      <w:start w:val="9"/>
    </w:lvl>
  </w:abstractNum>
  <w:abstractNum w:abstractNumId="44">
    <w:nsid w:val="42C296BD"/>
    <w:multiLevelType w:val="hybridMultilevel"/>
    <w:lvl w:ilvl="0">
      <w:lvlJc w:val="left"/>
      <w:lvlText w:val="%1."/>
      <w:numFmt w:val="decimal"/>
      <w:start w:val="9"/>
    </w:lvl>
  </w:abstractNum>
  <w:abstractNum w:abstractNumId="45">
    <w:nsid w:val="168E121F"/>
    <w:multiLevelType w:val="hybridMultilevel"/>
    <w:lvl w:ilvl="0">
      <w:lvlJc w:val="left"/>
      <w:lvlText w:val="%1."/>
      <w:numFmt w:val="decimal"/>
      <w:start w:val="10"/>
    </w:lvl>
  </w:abstractNum>
  <w:abstractNum w:abstractNumId="46">
    <w:nsid w:val="1EBA5D23"/>
    <w:multiLevelType w:val="hybridMultilevel"/>
    <w:lvl w:ilvl="0">
      <w:lvlJc w:val="left"/>
      <w:lvlText w:val="%1."/>
      <w:numFmt w:val="decimal"/>
      <w:start w:val="11"/>
    </w:lvl>
  </w:abstractNum>
  <w:abstractNum w:abstractNumId="47">
    <w:nsid w:val="661E3F1E"/>
    <w:multiLevelType w:val="hybridMultilevel"/>
    <w:lvl w:ilvl="0">
      <w:lvlJc w:val="left"/>
      <w:lvlText w:val="%1."/>
      <w:numFmt w:val="decimal"/>
      <w:start w:val="11"/>
    </w:lvl>
  </w:abstractNum>
  <w:abstractNum w:abstractNumId="48">
    <w:nsid w:val="5DC79EA8"/>
    <w:multiLevelType w:val="hybridMultilevel"/>
    <w:lvl w:ilvl="0">
      <w:lvlJc w:val="left"/>
      <w:lvlText w:val="%1."/>
      <w:numFmt w:val="decimal"/>
      <w:start w:val="12"/>
    </w:lvl>
  </w:abstractNum>
  <w:abstractNum w:abstractNumId="49">
    <w:nsid w:val="540A471C"/>
    <w:multiLevelType w:val="hybridMultilevel"/>
    <w:lvl w:ilvl="0">
      <w:lvlJc w:val="left"/>
      <w:lvlText w:val="%1."/>
      <w:numFmt w:val="decimal"/>
      <w:start w:val="13"/>
    </w:lvl>
  </w:abstractNum>
  <w:abstractNum w:abstractNumId="50">
    <w:nsid w:val="7BD3EE7B"/>
    <w:multiLevelType w:val="hybridMultilevel"/>
    <w:lvl w:ilvl="0">
      <w:lvlJc w:val="left"/>
      <w:lvlText w:val="%1."/>
      <w:numFmt w:val="decimal"/>
      <w:start w:val="14"/>
    </w:lvl>
  </w:abstractNum>
  <w:abstractNum w:abstractNumId="51">
    <w:nsid w:val="51D9C564"/>
    <w:multiLevelType w:val="hybridMultilevel"/>
    <w:lvl w:ilvl="0">
      <w:lvlJc w:val="left"/>
      <w:lvlText w:val="%1."/>
      <w:numFmt w:val="decimal"/>
      <w:start w:val="15"/>
    </w:lvl>
  </w:abstractNum>
  <w:abstractNum w:abstractNumId="52">
    <w:nsid w:val="613EFDC5"/>
    <w:multiLevelType w:val="hybridMultilevel"/>
    <w:lvl w:ilvl="0">
      <w:lvlJc w:val="left"/>
      <w:lvlText w:val="%1."/>
      <w:numFmt w:val="decimal"/>
      <w:start w:val="15"/>
    </w:lvl>
  </w:abstractNum>
  <w:abstractNum w:abstractNumId="53">
    <w:nsid w:val="BF72B14"/>
    <w:multiLevelType w:val="hybridMultilevel"/>
    <w:lvl w:ilvl="0">
      <w:lvlJc w:val="left"/>
      <w:lvlText w:val="%1."/>
      <w:numFmt w:val="decimal"/>
      <w:start w:val="15"/>
    </w:lvl>
  </w:abstractNum>
  <w:abstractNum w:abstractNumId="54">
    <w:nsid w:val="11447B73"/>
    <w:multiLevelType w:val="hybridMultilevel"/>
    <w:lvl w:ilvl="0">
      <w:lvlJc w:val="left"/>
      <w:lvlText w:val="%1."/>
      <w:numFmt w:val="decimal"/>
      <w:start w:val="16"/>
    </w:lvl>
  </w:abstractNum>
  <w:abstractNum w:abstractNumId="55">
    <w:nsid w:val="42963E5A"/>
    <w:multiLevelType w:val="hybridMultilevel"/>
    <w:lvl w:ilvl="0">
      <w:lvlJc w:val="left"/>
      <w:lvlText w:val="%1."/>
      <w:numFmt w:val="decimal"/>
      <w:start w:val="16"/>
    </w:lvl>
  </w:abstractNum>
  <w:abstractNum w:abstractNumId="56">
    <w:nsid w:val="A0382C5"/>
    <w:multiLevelType w:val="hybridMultilevel"/>
    <w:lvl w:ilvl="0">
      <w:lvlJc w:val="left"/>
      <w:lvlText w:val="%1."/>
      <w:numFmt w:val="decimal"/>
      <w:start w:val="16"/>
    </w:lvl>
  </w:abstractNum>
  <w:abstractNum w:abstractNumId="57">
    <w:nsid w:val="8F2B15E"/>
    <w:multiLevelType w:val="hybridMultilevel"/>
    <w:lvl w:ilvl="0">
      <w:lvlJc w:val="left"/>
      <w:lvlText w:val="%1."/>
      <w:numFmt w:val="decimal"/>
      <w:start w:val="17"/>
    </w:lvl>
  </w:abstractNum>
  <w:abstractNum w:abstractNumId="58">
    <w:nsid w:val="1A32234B"/>
    <w:multiLevelType w:val="hybridMultilevel"/>
    <w:lvl w:ilvl="0">
      <w:lvlJc w:val="left"/>
      <w:lvlText w:val="%1."/>
      <w:numFmt w:val="decimal"/>
      <w:start w:val="17"/>
    </w:lvl>
  </w:abstractNum>
  <w:abstractNum w:abstractNumId="59">
    <w:nsid w:val="3B0FD379"/>
    <w:multiLevelType w:val="hybridMultilevel"/>
    <w:lvl w:ilvl="0">
      <w:lvlJc w:val="left"/>
      <w:lvlText w:val="%1."/>
      <w:numFmt w:val="decimal"/>
      <w:start w:val="18"/>
    </w:lvl>
  </w:abstractNum>
  <w:abstractNum w:abstractNumId="60">
    <w:nsid w:val="68EB2F63"/>
    <w:multiLevelType w:val="hybridMultilevel"/>
    <w:lvl w:ilvl="0">
      <w:lvlJc w:val="left"/>
      <w:lvlText w:val="%1."/>
      <w:numFmt w:val="decimal"/>
      <w:start w:val="19"/>
    </w:lvl>
  </w:abstractNum>
  <w:abstractNum w:abstractNumId="61">
    <w:nsid w:val="4962813B"/>
    <w:multiLevelType w:val="hybridMultilevel"/>
    <w:lvl w:ilvl="0">
      <w:lvlJc w:val="left"/>
      <w:lvlText w:val="%1."/>
      <w:numFmt w:val="decimal"/>
      <w:start w:val="20"/>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lowerLetter"/>
      <w:start w:val="9"/>
    </w:lvl>
    <w:lvl w:ilvl="1">
      <w:lvlJc w:val="left"/>
      <w:lvlText w:val="(%2)"/>
      <w:numFmt w:val="lowerLetter"/>
      <w:start w:val="1"/>
    </w:lvl>
  </w:abstractNum>
  <w:abstractNum w:abstractNumId="64">
    <w:nsid w:val="14330624"/>
    <w:multiLevelType w:val="hybridMultilevel"/>
    <w:lvl w:ilvl="0">
      <w:lvlJc w:val="left"/>
      <w:lvlText w:val="(%1)"/>
      <w:numFmt w:val="lowerLetter"/>
      <w:start w:val="2"/>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2019-12-13T21:49:26Z</dcterms:created>
  <dcterms:modified xsi:type="dcterms:W3CDTF">2019-12-13T21:49:26Z</dcterms:modified>
</cp:coreProperties>
</file>