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656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
        </w:trPr>
        <w:tc>
          <w:tcPr>
            <w:tcW w:w="6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36"/>
        </w:trPr>
        <w:tc>
          <w:tcPr>
            <w:tcW w:w="6560" w:type="dxa"/>
            <w:vAlign w:val="bottom"/>
          </w:tcPr>
          <w:p>
            <w:pPr>
              <w:jc w:val="center"/>
              <w:ind w:right="15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restart"/>
          </w:tcPr>
          <w:p>
            <w:pPr>
              <w:jc w:val="center"/>
              <w:ind w:right="156"/>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6"/>
        </w:trPr>
        <w:tc>
          <w:tcPr>
            <w:tcW w:w="6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56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5"/>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6560" w:type="dxa"/>
            <w:vAlign w:val="bottom"/>
            <w:vMerge w:val="restart"/>
          </w:tcPr>
          <w:p>
            <w:pPr>
              <w:jc w:val="center"/>
              <w:ind w:right="156"/>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6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-945515</wp:posOffset>
            </wp:positionV>
            <wp:extent cx="7322820" cy="6073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2820" cy="607314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WEISSMAN IRVING</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06/30/2003</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80"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20" w:type="dxa"/>
            <w:vAlign w:val="bottom"/>
            <w:gridSpan w:val="8"/>
          </w:tcPr>
          <w:p>
            <w:pPr>
              <w:jc w:val="right"/>
              <w:ind w:right="177"/>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80" w:type="dxa"/>
            <w:vAlign w:val="bottom"/>
            <w:tcBorders>
              <w:bottom w:val="single" w:sz="8" w:color="2C2C2C"/>
            </w:tcBorders>
            <w:gridSpan w:val="7"/>
          </w:tcPr>
          <w:p>
            <w:pPr>
              <w:spacing w:after="0"/>
              <w:rPr>
                <w:sz w:val="7"/>
                <w:szCs w:val="7"/>
                <w:color w:val="auto"/>
              </w:rPr>
            </w:pPr>
          </w:p>
        </w:tc>
        <w:tc>
          <w:tcPr>
            <w:tcW w:w="2640" w:type="dxa"/>
            <w:vAlign w:val="bottom"/>
            <w:tcBorders>
              <w:bottom w:val="single" w:sz="8" w:color="2C2C2C"/>
            </w:tcBorders>
            <w:gridSpan w:val="5"/>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6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3"/>
                <w:szCs w:val="13"/>
                <w:color w:val="0000FF"/>
              </w:rPr>
              <w:t>Option</w:t>
            </w:r>
          </w:p>
        </w:tc>
        <w:tc>
          <w:tcPr>
            <w:tcW w:w="820" w:type="dxa"/>
            <w:vAlign w:val="bottom"/>
            <w:vMerge w:val="restart"/>
          </w:tcPr>
          <w:p>
            <w:pPr>
              <w:jc w:val="right"/>
              <w:ind w:right="217"/>
              <w:spacing w:after="0"/>
              <w:rPr>
                <w:sz w:val="20"/>
                <w:szCs w:val="20"/>
                <w:color w:val="auto"/>
              </w:rPr>
            </w:pPr>
            <w:r>
              <w:rPr>
                <w:rFonts w:ascii="Arial" w:cs="Arial" w:eastAsia="Arial" w:hAnsi="Arial"/>
                <w:sz w:val="13"/>
                <w:szCs w:val="13"/>
                <w:color w:val="0000FF"/>
              </w:rPr>
              <w:t>0.25</w:t>
            </w:r>
          </w:p>
        </w:tc>
        <w:tc>
          <w:tcPr>
            <w:tcW w:w="1080" w:type="dxa"/>
            <w:vAlign w:val="bottom"/>
            <w:vMerge w:val="restart"/>
          </w:tcPr>
          <w:p>
            <w:pPr>
              <w:jc w:val="right"/>
              <w:ind w:right="130"/>
              <w:spacing w:after="0"/>
              <w:rPr>
                <w:sz w:val="20"/>
                <w:szCs w:val="20"/>
                <w:color w:val="auto"/>
              </w:rPr>
            </w:pPr>
            <w:r>
              <w:rPr>
                <w:rFonts w:ascii="Arial" w:cs="Arial" w:eastAsia="Arial" w:hAnsi="Arial"/>
                <w:sz w:val="13"/>
                <w:szCs w:val="13"/>
                <w:color w:val="0000FF"/>
              </w:rPr>
              <w:t>06/30/2003</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ind w:left="40"/>
              <w:spacing w:after="0" w:line="297"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580" w:type="dxa"/>
            <w:vAlign w:val="bottom"/>
            <w:vMerge w:val="restart"/>
          </w:tcPr>
          <w:p>
            <w:pPr>
              <w:ind w:left="180"/>
              <w:spacing w:after="0"/>
              <w:rPr>
                <w:sz w:val="20"/>
                <w:szCs w:val="20"/>
                <w:color w:val="auto"/>
              </w:rPr>
            </w:pPr>
            <w:r>
              <w:rPr>
                <w:rFonts w:ascii="Arial" w:cs="Arial" w:eastAsia="Arial" w:hAnsi="Arial"/>
                <w:sz w:val="13"/>
                <w:szCs w:val="13"/>
                <w:color w:val="0000FF"/>
              </w:rPr>
              <w:t>4,255</w:t>
            </w:r>
          </w:p>
        </w:tc>
        <w:tc>
          <w:tcPr>
            <w:tcW w:w="3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06/30/2003</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color w:val="0000FF"/>
              </w:rPr>
              <w:t>06/30/2013</w:t>
            </w:r>
          </w:p>
        </w:tc>
        <w:tc>
          <w:tcPr>
            <w:tcW w:w="700" w:type="dxa"/>
            <w:vAlign w:val="bottom"/>
          </w:tcPr>
          <w:p>
            <w:pPr>
              <w:ind w:left="60"/>
              <w:spacing w:after="0" w:line="149"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
              <w:spacing w:after="0"/>
              <w:rPr>
                <w:sz w:val="20"/>
                <w:szCs w:val="20"/>
                <w:color w:val="auto"/>
              </w:rPr>
            </w:pPr>
            <w:r>
              <w:rPr>
                <w:rFonts w:ascii="Arial" w:cs="Arial" w:eastAsia="Arial" w:hAnsi="Arial"/>
                <w:sz w:val="18"/>
                <w:szCs w:val="18"/>
                <w:color w:val="0000FF"/>
                <w:w w:val="83"/>
              </w:rPr>
              <w:t>42,555</w:t>
            </w:r>
          </w:p>
        </w:tc>
        <w:tc>
          <w:tcPr>
            <w:tcW w:w="40" w:type="dxa"/>
            <w:vAlign w:val="bottom"/>
          </w:tcPr>
          <w:p>
            <w:pPr>
              <w:spacing w:after="0"/>
              <w:rPr>
                <w:sz w:val="12"/>
                <w:szCs w:val="12"/>
                <w:color w:val="auto"/>
              </w:rPr>
            </w:pPr>
          </w:p>
        </w:tc>
        <w:tc>
          <w:tcPr>
            <w:tcW w:w="740" w:type="dxa"/>
            <w:vAlign w:val="bottom"/>
            <w:gridSpan w:val="2"/>
            <w:vMerge w:val="restart"/>
          </w:tcPr>
          <w:p>
            <w:pPr>
              <w:ind w:left="160"/>
              <w:spacing w:after="0" w:line="297" w:lineRule="exact"/>
              <w:rPr>
                <w:sz w:val="20"/>
                <w:szCs w:val="20"/>
                <w:color w:val="auto"/>
              </w:rPr>
            </w:pPr>
            <w:r>
              <w:rPr>
                <w:rFonts w:ascii="Arial" w:cs="Arial" w:eastAsia="Arial" w:hAnsi="Arial"/>
                <w:sz w:val="22"/>
                <w:szCs w:val="22"/>
                <w:color w:val="auto"/>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3"/>
                <w:szCs w:val="13"/>
                <w:color w:val="0000FF"/>
              </w:rPr>
              <w:t>4,255</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jc w:val="right"/>
              <w:ind w:right="177"/>
              <w:spacing w:after="0" w:line="149"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3"/>
                <w:szCs w:val="13"/>
                <w:color w:val="0000FF"/>
              </w:rPr>
              <w:t>Option</w:t>
            </w:r>
          </w:p>
        </w:tc>
        <w:tc>
          <w:tcPr>
            <w:tcW w:w="820" w:type="dxa"/>
            <w:vAlign w:val="bottom"/>
            <w:vMerge w:val="restart"/>
          </w:tcPr>
          <w:p>
            <w:pPr>
              <w:jc w:val="right"/>
              <w:ind w:right="257"/>
              <w:spacing w:after="0"/>
              <w:rPr>
                <w:sz w:val="20"/>
                <w:szCs w:val="20"/>
                <w:color w:val="auto"/>
              </w:rPr>
            </w:pPr>
            <w:r>
              <w:rPr>
                <w:rFonts w:ascii="Arial" w:cs="Arial" w:eastAsia="Arial" w:hAnsi="Arial"/>
                <w:sz w:val="13"/>
                <w:szCs w:val="13"/>
                <w:color w:val="0000FF"/>
              </w:rPr>
              <w:t>0.1</w:t>
            </w:r>
          </w:p>
        </w:tc>
        <w:tc>
          <w:tcPr>
            <w:tcW w:w="1080" w:type="dxa"/>
            <w:vAlign w:val="bottom"/>
            <w:vMerge w:val="restart"/>
          </w:tcPr>
          <w:p>
            <w:pPr>
              <w:jc w:val="right"/>
              <w:ind w:right="130"/>
              <w:spacing w:after="0"/>
              <w:rPr>
                <w:sz w:val="20"/>
                <w:szCs w:val="20"/>
                <w:color w:val="auto"/>
              </w:rPr>
            </w:pPr>
            <w:r>
              <w:rPr>
                <w:rFonts w:ascii="Arial" w:cs="Arial" w:eastAsia="Arial" w:hAnsi="Arial"/>
                <w:sz w:val="13"/>
                <w:szCs w:val="13"/>
                <w:color w:val="0000FF"/>
              </w:rPr>
              <w:t>07/01/2003</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580" w:type="dxa"/>
            <w:vAlign w:val="bottom"/>
            <w:vMerge w:val="restart"/>
          </w:tcPr>
          <w:p>
            <w:pPr>
              <w:ind w:left="180"/>
              <w:spacing w:after="0"/>
              <w:rPr>
                <w:sz w:val="20"/>
                <w:szCs w:val="20"/>
                <w:color w:val="auto"/>
              </w:rPr>
            </w:pPr>
            <w:r>
              <w:rPr>
                <w:rFonts w:ascii="Arial" w:cs="Arial" w:eastAsia="Arial" w:hAnsi="Arial"/>
                <w:sz w:val="13"/>
                <w:szCs w:val="13"/>
                <w:color w:val="0000FF"/>
              </w:rPr>
              <w:t>6,819</w:t>
            </w:r>
          </w:p>
        </w:tc>
        <w:tc>
          <w:tcPr>
            <w:tcW w:w="3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07/01/2003</w:t>
            </w:r>
          </w:p>
        </w:tc>
        <w:tc>
          <w:tcPr>
            <w:tcW w:w="740" w:type="dxa"/>
            <w:vAlign w:val="bottom"/>
            <w:gridSpan w:val="2"/>
            <w:vMerge w:val="restart"/>
          </w:tcPr>
          <w:p>
            <w:pPr>
              <w:ind w:left="40"/>
              <w:spacing w:after="0"/>
              <w:rPr>
                <w:sz w:val="20"/>
                <w:szCs w:val="20"/>
                <w:color w:val="auto"/>
              </w:rPr>
            </w:pPr>
            <w:r>
              <w:rPr>
                <w:rFonts w:ascii="Arial" w:cs="Arial" w:eastAsia="Arial" w:hAnsi="Arial"/>
                <w:sz w:val="13"/>
                <w:szCs w:val="13"/>
                <w:color w:val="0000FF"/>
              </w:rPr>
              <w:t>07/01/2013</w:t>
            </w:r>
          </w:p>
        </w:tc>
        <w:tc>
          <w:tcPr>
            <w:tcW w:w="700" w:type="dxa"/>
            <w:vAlign w:val="bottom"/>
          </w:tcPr>
          <w:p>
            <w:pPr>
              <w:ind w:left="60"/>
              <w:spacing w:after="0" w:line="149"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1"/>
              <w:spacing w:after="0"/>
              <w:rPr>
                <w:sz w:val="20"/>
                <w:szCs w:val="20"/>
                <w:color w:val="auto"/>
              </w:rPr>
            </w:pPr>
            <w:r>
              <w:rPr>
                <w:rFonts w:ascii="Arial" w:cs="Arial" w:eastAsia="Arial" w:hAnsi="Arial"/>
                <w:sz w:val="18"/>
                <w:szCs w:val="18"/>
                <w:color w:val="0000FF"/>
                <w:w w:val="93"/>
              </w:rPr>
              <w:t>6,819</w:t>
            </w:r>
          </w:p>
        </w:tc>
        <w:tc>
          <w:tcPr>
            <w:tcW w:w="40" w:type="dxa"/>
            <w:vAlign w:val="bottom"/>
          </w:tcPr>
          <w:p>
            <w:pPr>
              <w:spacing w:after="0"/>
              <w:rPr>
                <w:sz w:val="12"/>
                <w:szCs w:val="12"/>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22"/>
                <w:szCs w:val="22"/>
                <w:color w:val="auto"/>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6,819</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00" w:type="dxa"/>
            <w:vAlign w:val="bottom"/>
          </w:tcPr>
          <w:p>
            <w:pPr>
              <w:jc w:val="right"/>
              <w:ind w:right="177"/>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40" w:right="200" w:firstLine="8"/>
        <w:spacing w:after="0" w:line="250"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Compensation for service on the Board of Directors and for attendance at Board meetings. Non-employee directors receive compensation in the form of options to purchase shares of the Company's common stock at below market prices ($0.25 per share), in lieu of cash payments of $4,500 quarterly, $1,500 per meeting attended in person or videoconference, and $500 for a meeting attended by telephone. The number of shares is calculated using the closing price of the Company's common stock for the date of a Board or Committee meeting or, with respect to the quarterly retainer payments, the closing price for the last business day of the quarter, less the option price of $0.25 per share. Options so issued vest immediately.</w:t>
      </w:r>
    </w:p>
    <w:p>
      <w:pPr>
        <w:spacing w:after="0" w:line="24" w:lineRule="exact"/>
        <w:rPr>
          <w:rFonts w:ascii="Arial" w:cs="Arial" w:eastAsia="Arial" w:hAnsi="Arial"/>
          <w:sz w:val="13"/>
          <w:szCs w:val="13"/>
          <w:color w:val="008000"/>
        </w:rPr>
      </w:pPr>
    </w:p>
    <w:p>
      <w:pPr>
        <w:ind w:left="40" w:right="140" w:firstLine="8"/>
        <w:spacing w:after="0" w:line="287"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Compensation for service as a Consultant to the Company, payable at the Company's election either in cash ($12,500 quarterly) or in the form of options to purchase shares of the Company's common stock at a below market price ($0.10 per share). The number of shares is calculated using the average of the closing prices of the Company's common stock for the 20 trading days prior to payment, less the option price of $0.10 per share. Payment is normally made quarterly in advance, but payment in stock options for the fourth quarter of 2002 was only authorized on October 24, 2002. Options so issued vest immediately.</w:t>
      </w:r>
    </w:p>
    <w:p>
      <w:pPr>
        <w:sectPr>
          <w:pgSz w:w="11900" w:h="16838" w:orient="portrait"/>
          <w:cols w:equalWidth="0" w:num="1">
            <w:col w:w="11520"/>
          </w:cols>
          <w:pgMar w:left="240" w:top="226" w:right="139" w:bottom="1440" w:gutter="0" w:footer="0" w:header="0"/>
          <w:type w:val="continuous"/>
        </w:sectPr>
      </w:pPr>
    </w:p>
    <w:p>
      <w:pPr>
        <w:spacing w:after="0" w:line="33"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Irving Weissman by Iris Brest,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60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-18415</wp:posOffset>
            </wp:positionV>
            <wp:extent cx="748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116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5"/>
          <w:szCs w:val="15"/>
          <w:color w:val="0000FF"/>
        </w:rPr>
        <w:t>07/01/2003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507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6" w:lineRule="exact"/>
        <w:rPr>
          <w:sz w:val="24"/>
          <w:szCs w:val="24"/>
          <w:color w:val="auto"/>
        </w:rPr>
      </w:pPr>
    </w:p>
    <w:p>
      <w:pPr>
        <w:sectPr>
          <w:pgSz w:w="11900" w:h="16838" w:orient="portrait"/>
          <w:cols w:equalWidth="0" w:num="2">
            <w:col w:w="9000" w:space="16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8"/>
          <w:szCs w:val="18"/>
          <w:color w:val="auto"/>
        </w:rPr>
        <w:t>hereby constitutes and appoints each of Iris Brest, George Koshy, and Martin McGlynn, signing singly, the undersigned's true and lawful attorney-in-fact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execute for and on behalf of the undersigned,</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 the undersigned's capacity as an officer and/or director of StemCells, Inc. (the "Company"), Forms 3, 4, and 5 in accordance with Section 16(a) of the Securities Exchange Act of 1934 and the rules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do and</w:t>
      </w:r>
    </w:p>
    <w:p>
      <w:pPr>
        <w:spacing w:after="0" w:line="4"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take any</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w:t>
      </w:r>
    </w:p>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right="2639"/>
        <w:spacing w:after="0"/>
        <w:rPr>
          <w:sz w:val="20"/>
          <w:szCs w:val="20"/>
          <w:color w:val="auto"/>
        </w:rPr>
      </w:pPr>
      <w:r>
        <w:rPr>
          <w:rFonts w:ascii="Courier New" w:cs="Courier New" w:eastAsia="Courier New" w:hAnsi="Courier New"/>
          <w:sz w:val="18"/>
          <w:szCs w:val="18"/>
          <w:color w:val="auto"/>
        </w:rPr>
        <w:t>WITNESS WHEREOF, the undersigned has caused this Power of Attorney to be executed as of this 8th day of March, 2001.</w:t>
      </w:r>
    </w:p>
    <w:p>
      <w:pPr>
        <w:spacing w:after="0" w:line="39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_______________________________________</w:t>
      </w:r>
    </w:p>
    <w:p>
      <w:pPr>
        <w:ind w:left="8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_____________Irving</w:t>
      </w:r>
    </w:p>
    <w:p>
      <w:pPr>
        <w:spacing w:after="0" w:line="238" w:lineRule="auto"/>
        <w:rPr>
          <w:sz w:val="20"/>
          <w:szCs w:val="20"/>
          <w:color w:val="auto"/>
        </w:rPr>
      </w:pPr>
      <w:r>
        <w:rPr>
          <w:rFonts w:ascii="Courier New" w:cs="Courier New" w:eastAsia="Courier New" w:hAnsi="Courier New"/>
          <w:sz w:val="18"/>
          <w:szCs w:val="18"/>
          <w:color w:val="auto"/>
        </w:rPr>
        <w:t>Weissman___________</w:t>
      </w:r>
    </w:p>
    <w:p>
      <w:pPr>
        <w:ind w:left="84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3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30630" TargetMode="External"/><Relationship Id="rId11"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2019-12-24T00:32:23Z</dcterms:created>
  <dcterms:modified xsi:type="dcterms:W3CDTF">2019-12-24T00:32:23Z</dcterms:modified>
</cp:coreProperties>
</file>