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3,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3, 2008, StemCells, Inc. (the "Company") announced that, on November 2, 2008, the Company sold and issued to certain investors 10,000,000 shares of Common Stock and warrants to purchase up to an additional 4,000,000 shares of Common Stock (the "Offering"). The terms of the Offering are described in the Company’s Form 8-K filed on October 28, 2009.</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press release announcing the closing of the Offering is filed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StemCells, Inc. dated 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3,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Press Release of StemCells, Inc. dated November 3,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36"/>
          <w:szCs w:val="36"/>
          <w:color w:val="auto"/>
        </w:rPr>
        <w:t>NEWS RELEASE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Megan Meloni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198" w:lineRule="exact"/>
        <w:rPr>
          <w:sz w:val="20"/>
          <w:szCs w:val="20"/>
          <w:color w:val="auto"/>
        </w:rPr>
      </w:pPr>
    </w:p>
    <w:p>
      <w:pPr>
        <w:sectPr>
          <w:pgSz w:w="11900" w:h="16838" w:orient="portrait"/>
          <w:cols w:equalWidth="0" w:num="2">
            <w:col w:w="3040" w:space="720"/>
            <w:col w:w="7660"/>
          </w:cols>
          <w:pgMar w:left="240" w:top="111" w:right="2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STEMCELLS, INC. CLOSES $12.5 MILLION EQUITY FINANCING</w:t>
      </w:r>
    </w:p>
    <w:p>
      <w:pPr>
        <w:sectPr>
          <w:pgSz w:w="11900" w:h="16838" w:orient="portrait"/>
          <w:cols w:equalWidth="0" w:num="1">
            <w:col w:w="11420"/>
          </w:cols>
          <w:pgMar w:left="240" w:top="111" w:right="239" w:bottom="1440" w:gutter="0" w:footer="0" w:header="0"/>
          <w:type w:val="continuous"/>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PALO ALTO, Calif., November 3, 2009 </w:t>
      </w:r>
      <w:r>
        <w:rPr>
          <w:rFonts w:ascii="Arial" w:cs="Arial" w:eastAsia="Arial" w:hAnsi="Arial"/>
          <w:sz w:val="17"/>
          <w:szCs w:val="17"/>
          <w:color w:val="auto"/>
        </w:rPr>
        <w:t>– StemCells, Inc. (NASDAQ: STEM) announced today that it has closed the sale of 10 million shares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warrants to purchase four million shares of common stock, for gross proceeds of $12.5 million. The common stock and warrants were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units at a price of $1.25 per unit, with each unit consisting of one share of common stock and a warrant to purchase 0.40 share of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$1.50 per share. The units were sold in a registered direct offering under the Company’s effective shelf registration statement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Securities and Exchange Commission (SEC). The Company received total proceeds, net of offering expenses and placement agency fees,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 million. The proceeds will be used for general corporate purposes, including working capital, product development and capital expenditures,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other strategic purposes. At September 30, 2009, the Company had cash, cash equivalents, and marketable debt securities of $33.2 million, and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the net proceeds of this offering, would have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cash balance of $45.1 million.</w:t>
      </w:r>
    </w:p>
    <w:p>
      <w:pPr>
        <w:spacing w:after="0" w:line="19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keenly aware of the immediate dilutive effect of this financing,” said Martin McGlynn, president and CEO of StemCells, Inc. “However, particularly during periods of great uncertainty in the capital markets, we firmly believe that our shareholders’ interests are best served in the long run by maintaining a strong balance sheet, executing our clinical trial agenda, and aggressively pursuing nearer term commercial opportunities by promoting the use of our cell-based technologies to enable research and development in academia and the pharmaceutical industry.”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202" w:lineRule="exact"/>
        <w:rPr>
          <w:sz w:val="20"/>
          <w:szCs w:val="20"/>
          <w:color w:val="auto"/>
        </w:rPr>
      </w:pPr>
    </w:p>
    <w:p>
      <w:pPr>
        <w:ind w:right="320" w:firstLine="456"/>
        <w:spacing w:after="0" w:line="252" w:lineRule="auto"/>
        <w:rPr>
          <w:sz w:val="20"/>
          <w:szCs w:val="20"/>
          <w:color w:val="auto"/>
        </w:rPr>
      </w:pPr>
      <w:r>
        <w:rPr>
          <w:rFonts w:ascii="Arial" w:cs="Arial" w:eastAsia="Arial" w:hAnsi="Arial"/>
          <w:sz w:val="16"/>
          <w:szCs w:val="16"/>
          <w:color w:val="auto"/>
        </w:rPr>
        <w:t>StemCells, Inc. is focused on the development and commercialization of cell-based technologies. In its cellular medicine programs, StemCells is targeting diseases of the central nervous system and liver. StemCells’ lead product candidate, HuCNS-SC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cells (purified human neural stem cells), is in clinical development for the treatment of two fatal neurodegenerative disorders that primarily affect young children. StemCells also markets specialty cell</w:t>
      </w:r>
    </w:p>
    <w:p>
      <w:pPr>
        <w:spacing w:after="0" w:line="3" w:lineRule="exact"/>
        <w:rPr>
          <w:sz w:val="20"/>
          <w:szCs w:val="20"/>
          <w:color w:val="auto"/>
        </w:rPr>
      </w:pPr>
    </w:p>
    <w:p>
      <w:pPr>
        <w:ind w:right="240"/>
        <w:spacing w:after="0" w:line="205" w:lineRule="auto"/>
        <w:rPr>
          <w:sz w:val="20"/>
          <w:szCs w:val="20"/>
          <w:color w:val="auto"/>
        </w:rPr>
      </w:pPr>
      <w:r>
        <w:rPr>
          <w:rFonts w:ascii="Arial" w:cs="Arial" w:eastAsia="Arial" w:hAnsi="Arial"/>
          <w:sz w:val="18"/>
          <w:szCs w:val="18"/>
          <w:color w:val="auto"/>
        </w:rPr>
        <w:t>culture media products under the brand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is developing its cell-based technologies for use in drug screening and drug development.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8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“we”, “us”, or “our”); the Company’s expected use of net proceeds; the development and commercialization of its cell-based technologies; clinical development of its HuCNS-SC cells; and the prospects for the Company to pursue non-therapeutic applications of its cell-based technologies.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including the risk that one or more of our clinical trials or studies could be substantially delayed beyond their expected dates or cause us to incur substantial unanticipated costs; uncertainties in our ability to obtain the capital resources needed to continue our current research and development operations;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obsolescence of our technologies; competition from third parties; intellectual property rights of third parties; litigation risks; and other risks and uncertainties to which the Company is subject, including those described under the heading “Risk Factors” disclosed in Part I, Item 1A in the Company’s Annual Report on Form 10-K for the year ended December 31, 2008 and Part II, Item 1A of the Company’s Quarterly Report on Form 10-Q for the quarter ended March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2019-12-10T10:42:23Z</dcterms:created>
  <dcterms:modified xsi:type="dcterms:W3CDTF">2019-12-10T10:42:23Z</dcterms:modified>
</cp:coreProperties>
</file>