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11, 2023</w:t>
      </w:r>
    </w:p>
    <w:p>
      <w:pPr>
        <w:spacing w:after="0" w:line="225" w:lineRule="exact"/>
        <w:rPr>
          <w:sz w:val="24"/>
          <w:szCs w:val="24"/>
          <w:color w:val="auto"/>
        </w:rPr>
      </w:pPr>
    </w:p>
    <w:p>
      <w:pPr>
        <w:ind w:left="8740"/>
        <w:spacing w:after="0"/>
        <w:rPr>
          <w:sz w:val="20"/>
          <w:szCs w:val="20"/>
          <w:color w:val="auto"/>
        </w:rPr>
      </w:pPr>
      <w:r>
        <w:rPr>
          <w:rFonts w:ascii="Arial" w:cs="Arial" w:eastAsia="Arial" w:hAnsi="Arial"/>
          <w:sz w:val="17"/>
          <w:szCs w:val="17"/>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2836</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94-3078125</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Classification Code Number)</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288 Grove Street, Suite 388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967-6677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967-6677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1425 RXR Plaza</w:t>
      </w:r>
    </w:p>
    <w:p>
      <w:pPr>
        <w:jc w:val="center"/>
        <w:spacing w:after="0" w:line="192" w:lineRule="auto"/>
        <w:rPr>
          <w:sz w:val="20"/>
          <w:szCs w:val="20"/>
          <w:color w:val="auto"/>
        </w:rPr>
      </w:pPr>
      <w:r>
        <w:rPr>
          <w:rFonts w:ascii="Arial" w:cs="Arial" w:eastAsia="Arial" w:hAnsi="Arial"/>
          <w:sz w:val="18"/>
          <w:szCs w:val="18"/>
          <w:color w:val="auto"/>
        </w:rPr>
        <w:t>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East Tower</w:t>
      </w:r>
    </w:p>
    <w:p>
      <w:pPr>
        <w:jc w:val="center"/>
        <w:spacing w:after="0"/>
        <w:rPr>
          <w:sz w:val="20"/>
          <w:szCs w:val="20"/>
          <w:color w:val="auto"/>
        </w:rPr>
      </w:pPr>
      <w:r>
        <w:rPr>
          <w:rFonts w:ascii="Arial" w:cs="Arial" w:eastAsia="Arial" w:hAnsi="Arial"/>
          <w:sz w:val="18"/>
          <w:szCs w:val="18"/>
          <w:color w:val="auto"/>
        </w:rPr>
        <w:t>Uniondale, NY 11556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(516) 663-6600</w:t>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241" w:lineRule="exact"/>
        <w:rPr>
          <w:sz w:val="24"/>
          <w:szCs w:val="24"/>
          <w:color w:val="auto"/>
        </w:rPr>
      </w:pPr>
    </w:p>
    <w:p>
      <w:pPr>
        <w:jc w:val="both"/>
        <w:ind w:firstLine="330"/>
        <w:spacing w:after="0" w:line="23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30"/>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3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3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267"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5" w:right="339" w:bottom="267" w:gutter="0" w:footer="0" w:header="0"/>
          <w:type w:val="continuous"/>
        </w:sectPr>
      </w:pPr>
    </w:p>
    <w:p>
      <w:pPr>
        <w:spacing w:after="0" w:line="32"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5" w:right="339" w:bottom="26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July 11,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154305</wp:posOffset>
            </wp:positionV>
            <wp:extent cx="257175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2,281,626 Shares of Common Stock</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prospectus relates to the sale or other disposition from time to time of up to 2,281,626 shares of our common stock, $0.01 par value per share, including 385,246 issued and outstanding shares of our common stock, and an aggregate of up to 1,896,380 shares issuable upon the exercise of options and warrants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42.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ticker symbol “MBOT.” On July 7, 2023, the last reported closing price of our common stock on the Nasdaq Capital Market was $2.78.</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3900"/>
              <w:spacing w:after="0"/>
              <w:rPr>
                <w:sz w:val="20"/>
                <w:szCs w:val="20"/>
                <w:color w:val="auto"/>
              </w:rPr>
            </w:pPr>
            <w:r>
              <w:rPr>
                <w:rFonts w:ascii="Arial" w:cs="Arial" w:eastAsia="Arial" w:hAnsi="Arial"/>
                <w:sz w:val="18"/>
                <w:szCs w:val="18"/>
                <w:color w:val="auto"/>
              </w:rPr>
              <w:t>The date of this prospectus is</w:t>
            </w:r>
          </w:p>
        </w:tc>
        <w:tc>
          <w:tcPr>
            <w:tcW w:w="4820" w:type="dxa"/>
            <w:vAlign w:val="bottom"/>
          </w:tcPr>
          <w:p>
            <w:pPr>
              <w:jc w:val="right"/>
              <w:ind w:right="3790"/>
              <w:spacing w:after="0"/>
              <w:rPr>
                <w:sz w:val="20"/>
                <w:szCs w:val="20"/>
                <w:color w:val="auto"/>
              </w:rPr>
            </w:pPr>
            <w:r>
              <w:rPr>
                <w:rFonts w:ascii="Arial" w:cs="Arial" w:eastAsia="Arial" w:hAnsi="Arial"/>
                <w:sz w:val="18"/>
                <w:szCs w:val="18"/>
                <w:color w:val="auto"/>
              </w:rPr>
              <w:t>, 2023.</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80" w:type="dxa"/>
            <w:vAlign w:val="bottom"/>
            <w:gridSpan w:val="5"/>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836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RISK FACTOR SUMMARY</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SUMMARY</w:t>
            </w:r>
          </w:p>
        </w:tc>
        <w:tc>
          <w:tcPr>
            <w:tcW w:w="850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THE OFFERING</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934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175"/>
        </w:trPr>
        <w:tc>
          <w:tcPr>
            <w:tcW w:w="266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FINANCIAL STATEMENTS</w:t>
            </w:r>
          </w:p>
        </w:tc>
        <w:tc>
          <w:tcPr>
            <w:tcW w:w="794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5"/>
              </w:rPr>
              <w:t>SPECIAL NOTE REGARDING FORWARD-LOOKING STATEMENTS</w:t>
            </w:r>
          </w:p>
        </w:tc>
        <w:tc>
          <w:tcPr>
            <w:tcW w:w="52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2"/>
              </w:rPr>
              <w:t>BUSINESS</w:t>
            </w:r>
          </w:p>
        </w:tc>
        <w:tc>
          <w:tcPr>
            <w:tcW w:w="97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MANAGEMENT</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6"/>
              </w:rPr>
              <w:t>EXECUTIVE AND DIRECTOR COMPENSATION</w:t>
            </w:r>
          </w:p>
        </w:tc>
        <w:tc>
          <w:tcPr>
            <w:tcW w:w="67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TRANSACTIONS WITH RELATED PERSONS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176"/>
        </w:trPr>
        <w:tc>
          <w:tcPr>
            <w:tcW w:w="6700" w:type="dxa"/>
            <w:vAlign w:val="bottom"/>
            <w:tcBorders>
              <w:top w:val="single" w:sz="8" w:color="0000EE"/>
            </w:tcBorders>
            <w:gridSpan w:val="20"/>
          </w:tcPr>
          <w:p>
            <w:pPr>
              <w:spacing w:after="0" w:line="176" w:lineRule="exact"/>
              <w:rPr>
                <w:sz w:val="20"/>
                <w:szCs w:val="20"/>
                <w:color w:val="auto"/>
              </w:rPr>
            </w:pPr>
            <w:r>
              <w:rPr>
                <w:rFonts w:ascii="Arial" w:cs="Arial" w:eastAsia="Arial" w:hAnsi="Arial"/>
                <w:sz w:val="18"/>
                <w:szCs w:val="18"/>
                <w:color w:val="0000EE"/>
              </w:rPr>
              <w:t>DILUTION</w:t>
            </w:r>
          </w:p>
        </w:tc>
        <w:tc>
          <w:tcPr>
            <w:tcW w:w="390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5"/>
              </w:rPr>
              <w:t>SELLING STOCKHOLDERS</w:t>
            </w:r>
          </w:p>
        </w:tc>
        <w:tc>
          <w:tcPr>
            <w:tcW w:w="838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PLAN OF DISTRIBUTION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286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LEGAL MATTERS</w:t>
            </w:r>
          </w:p>
        </w:tc>
        <w:tc>
          <w:tcPr>
            <w:tcW w:w="774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EXPERTS</w:t>
            </w:r>
          </w:p>
        </w:tc>
        <w:tc>
          <w:tcPr>
            <w:tcW w:w="98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175"/>
        </w:trPr>
        <w:tc>
          <w:tcPr>
            <w:tcW w:w="10600" w:type="dxa"/>
            <w:vAlign w:val="bottom"/>
            <w:gridSpan w:val="22"/>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You should rely only on the information that we have provided or incorporated by reference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and that any information we have incorporated by reference is accurate only as of the date of the document incorporated by reference, regardless of the time of delivery of this prospectus or any prospectus supplement or any sale of a security. Our business, financial condition, results of operations and prospects may have changed since those dates.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urge you to carefully read this prospectus and any prospectus supplement, together with the information incorporated herein by reference as described under the heading “Where You Can Find More Information” and “Incorporation of Documents by Reference.”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own or have rights to various U.S. federal trademark registrations and applications, and unregistered trademarks and servicemarks, including</w:t>
      </w:r>
    </w:p>
    <w:p>
      <w:pPr>
        <w:spacing w:after="0" w:line="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LIBERTY</w:t>
      </w:r>
      <w:r>
        <w:rPr>
          <w:rFonts w:ascii="Arial" w:cs="Arial" w:eastAsia="Arial" w:hAnsi="Arial"/>
          <w:sz w:val="28"/>
          <w:szCs w:val="28"/>
          <w:color w:val="auto"/>
          <w:vertAlign w:val="superscript"/>
        </w:rPr>
        <w:t>®</w:t>
      </w:r>
      <w:r>
        <w:rPr>
          <w:rFonts w:ascii="Arial" w:cs="Arial" w:eastAsia="Arial" w:hAnsi="Arial"/>
          <w:sz w:val="17"/>
          <w:szCs w:val="17"/>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substantial doubt regarding on our ability to continue as a going concern.</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subject to litigation, which may divert management’s attention and, in the event of an adverse judgment or settlement for some or all of the $6,750,000 being litigated, will have a material adverse effect on our financial condition and our ability to continue our operations.</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Microbot has a limited operating history outside of being a research and development-stage company, which may make it difficult to evaluate the prospects for the Company’s future viability.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still be subject to significant disruptions to our clinical trials or other business operations as a result of the COVID-19 pandemic, which could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Unsuccessful animal studies, clinical trials or procedures relating to product candidates under development could have a material adverse effect on Microbot’s prospects.</w:t>
      </w:r>
    </w:p>
    <w:p>
      <w:pPr>
        <w:spacing w:after="0" w:line="168" w:lineRule="exact"/>
        <w:rPr>
          <w:rFonts w:ascii="Arial" w:cs="Arial" w:eastAsia="Arial" w:hAnsi="Arial"/>
          <w:sz w:val="18"/>
          <w:szCs w:val="18"/>
          <w:color w:val="auto"/>
        </w:rPr>
      </w:pPr>
    </w:p>
    <w:p>
      <w:pPr>
        <w:ind w:left="660" w:hanging="328"/>
        <w:spacing w:after="0" w:line="189"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Microbot’s business depends heavily on the success of its lead product candidate, the LIBERTY</w:t>
      </w:r>
      <w:r>
        <w:rPr>
          <w:rFonts w:ascii="Arial" w:cs="Arial" w:eastAsia="Arial" w:hAnsi="Arial"/>
          <w:sz w:val="29"/>
          <w:szCs w:val="29"/>
          <w:color w:val="auto"/>
          <w:vertAlign w:val="superscript"/>
        </w:rPr>
        <w:t>®</w:t>
      </w:r>
      <w:r>
        <w:rPr>
          <w:rFonts w:ascii="Arial" w:cs="Arial" w:eastAsia="Arial" w:hAnsi="Arial"/>
          <w:sz w:val="18"/>
          <w:szCs w:val="18"/>
          <w:color w:val="auto"/>
        </w:rPr>
        <w:t>. If Microbot is unable to commercialize the LIBERTY, or experiences significant delays in doing so, Microbot’s business will be materially harmed.</w:t>
      </w:r>
    </w:p>
    <w:p>
      <w:pPr>
        <w:spacing w:after="0" w:line="201" w:lineRule="exact"/>
        <w:rPr>
          <w:rFonts w:ascii="Arial" w:cs="Arial" w:eastAsia="Arial" w:hAnsi="Arial"/>
          <w:sz w:val="36"/>
          <w:szCs w:val="36"/>
          <w:color w:val="auto"/>
          <w:vertAlign w:val="superscript"/>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Microbot’s research and development efforts are uncertain and there can be no assurance of the commercial success of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Microbot’s ability to expand its technology platforms for other uses may be limited.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this time, Microbot does not know the extent of the clinical trial that the FDA will require it to submit in support of its future marketing applications for its LIBERTY product candidate, which creates uncertainty for Microbot as well as the possibility of increased product development costs and time to market.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Microbot’s One &amp; Done technology is subject to a buy-back clause which, if triggered, could cause us to lose rights to the technology.</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the commercial opportunity for LIBERTY and any other commercial products that may be developed by Microbot is smaller than Microbot anticipates, Microbot’s future revenue from LIBERTY and such other products will be adversely affected and Microbot’s business will suffer.</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will be unlikely to buy the LIBERTY or any other product candidates unless Microbot can demonstrate that they can be produced for sale to consumers at attractive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 has relied on, and intends to continue to rely on, third-party manufacturers to produce its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Microbot’s product candidates are not considered to be a safe and effective alternative to existing technologies, Microbot will not be commercially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 may be subject to penalties and may be precluded from marketing its product candidates if Microbot fails to comply with extensive governmental regulations.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Clinical outcome studies for the LIBERTY may not provide sufficient data to make Microbot’s product candidates the standard of care.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Microbot products may in the future be subject to mandatory product recalls that could harm its reputation, business and financial results.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Microbot could be exposed to significant liability claims if Microbot is unable to obtain insurance at acceptable costs and adequate levels or otherwise protect itself against potential product liability claims.</w:t>
      </w:r>
    </w:p>
    <w:p>
      <w:pPr>
        <w:sectPr>
          <w:pgSz w:w="11900" w:h="16838" w:orient="portrait"/>
          <w:cols w:equalWidth="0" w:num="1">
            <w:col w:w="11240"/>
          </w:cols>
          <w:pgMar w:left="320" w:top="688" w:right="339" w:bottom="0" w:gutter="0" w:footer="0" w:header="0"/>
        </w:sectPr>
      </w:pPr>
    </w:p>
    <w:bookmarkStart w:id="6" w:name="page7"/>
    <w:bookmarkEnd w:id="6"/>
    <w:p>
      <w:pPr>
        <w:ind w:left="328"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operations in international markets involve inherent risks that Microbot may not be able to control.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Microbot’s financial results may be affected by fluctuations in exchange rates and Microbot’s current currency hedging strategy may not be sufficient to counter such fluctuations.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Termination of the license with respect to one or more of our technology platforms may result in Microbot ceasing its development efforts for the applicable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Microbot may not meet its product candidates’ development and commercialization objectives in a timely manner or at all.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litigation and infringement claims could cause Microbot to incur significant expenses or prevent Microbot from selling certain of its product candidates.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Microbot has facilities located in Israel, and therefore, political conditions in Israel may affect Microbot’s operations and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relations could limit Microbot’s ability to sell or buy internationally.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Israel’s economy may become unstable.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rate fluctuations between the U.S. dollar and the NIS currencies may negatively affect Microbot’s operating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of Microbot’s employees and officers are obligated to perform military reserve duty in Israel.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may be difficult to enforce a non-Israeli judgment against Microbot or its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expect to pay cash dividends on our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Raising additional capital may cause dilution to the Company’s investors, restrict its operations or require it to relinquish rights to its technologies or product candidates.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for our Common Stock may be volatile.</w:t>
      </w:r>
    </w:p>
    <w:p>
      <w:pPr>
        <w:spacing w:after="0" w:line="225" w:lineRule="exact"/>
        <w:rPr>
          <w:rFonts w:ascii="Arial" w:cs="Arial" w:eastAsia="Arial" w:hAnsi="Arial"/>
          <w:sz w:val="18"/>
          <w:szCs w:val="18"/>
          <w:color w:val="auto"/>
        </w:rPr>
      </w:pPr>
    </w:p>
    <w:p>
      <w:pPr>
        <w:ind w:left="5580" w:right="80" w:hanging="5248"/>
        <w:spacing w:after="0" w:line="527"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issuance of shares upon exercise of outstanding warrants and options could cause immediate and substantial dilution to existing stockholders.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0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or incorporated by reference into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Using our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technological platform, we are developing the first ever fully disposable robot for various endovascular interventional procedures.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and Private Placement Offerings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26, 2023, we entered into a securities purchase agreement with institutional investors, pursuant to which we agreed to issue and sell in a registered direct offering an aggregate of 624,618 shares of our common stock, at an offering price of $3.25 per share, for aggregate gross proceeds, with the private placement described below, of approximately $2 million before deducting the placement agent fee and related offering expenses (the “Second June Offering”). We also agreed to issue to H.C. Wainwright &amp; Co., LLC or its designees preferred investment options to purchase 31,231 shares of our common stock. The registered direct offering was consummated on June 28, 2023. In a concurrent private placement, we also issued to the purchasers of our shares of common stock in the Second June Offering, series D preferred investment options to purchase up to 312,309 shares of our common stock. Each series D preferred investment option is exercisable for one share of common stock at an exercise price of $3.19 commencing on the date of issuance and expires five and one-half years from the initial exercise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 2023, we entered into a securities purchase agreement with institutional investors, pursuant to which we agreed to issue and sell in a registered direct offering an aggregate of 701,756 shares of our common stock, at an offering price of $2.1375 per share, for aggregate gross proceeds, with the private placement described below, of approximately $1.5 million before deducting the placement agent fee and related offering expenses (the “First June Offering”). We also agreed to issue to H.C. Wainwright &amp; Co., LLC or its designees preferred investment options to purchase 35,088 shares of our common stock. The registered direct offering was consummated on June 6, 2023. In a concurrent private placement, we also issued to the purchasers of our shares of common stock in the First June Offering, series C preferred investment options to purchase up to 350,878 shares of our common stock. Each series C preferred investment option is exercisable for one share of common stock at an exercise price of $2.075 commencing on the date of issuance and expires five and one-half years from the initial exercise date.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23, 2023, we entered into a securities purchase agreement with an institutional investor, pursuant to which we agreed to issue and sell in a registered direct offering (i) an aggregate of 975,000 shares of our common stock, at an offering price of $2.20 per share and (ii) pre-funded warrants exercisable for up to 234,500 shares of our common stock, at an offering price of $2.1999 per pre-funded warrant, for aggregate gross proceeds of approximately $2.66 million before deducting the placement agent fee and related offering expenses (the “Second May Offering”). We also agreed to issue to H.C. Wainwright &amp; Co., LLC or its designees preferred investment options to purchase 60,476 shares of our common stock. The Second May Offering was consummated on May 24, 2023.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22, 2023, we entered into a securities purchase agreement with an institutional investor, pursuant to which we agreed to issue and sell in a registered direct offering an aggregate of 655,569 shares of our common stock, at an offering price of $2.20 per share, for aggregate gross proceeds of approximately $1.4 million before deducting the placement agent fee and related offering expenses (the “First May Offering”). We also agreed to issue to H.C. Wainwright &amp; Co., LLC or its designees preferred investment options to purchase 32,778 shares of our common stock. The First May Offering was consummated on May 23,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Preferred Investment Options Amendment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Second May Offering, we agreed to amend the terms of (i) the Series A preferred investment options to purchase 1,022,495 shares of our common stock for an exercise price of $4.64 per share which are scheduled to expire on October 25, 2027 and (ii) the Series B preferred investment options to purchase 1,022,495 shares of our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and further described in our Current Report on Form 8-K filed on October 25,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On June 16, 2023, the holder of the Series B Preferred Investment Options exercised all of such Series B Preferred Investment Options pursuant to its cashless exercise provision into 385,246 shares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for Grant from The Israel Innovation Authority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 2023, we announced that we received approval for grant from the Israel Innovation Authority (“IIA”) in the amount of NIS 1.62 million, which based on a recent exchange rate to the U.S. dollar, would be approximately $440,000, to further finance the development of our manufacturing process of our flagship robotic surgical system, the LIBERTY.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relation to the IIA grant, we are obligated to pay royalties amounting to between 3%-5% of our future sales of the LIBERTY product up to the grant amount plus interest. The grant is linked to the U.S. dollar and bears interest at Libor per annum. The grant monies will be paid over time based on the terms of the grant, and the U.S. dollar amount actually received will be based on the exchange rate of the U.S. dollar to the New Israeli Shekel at the time of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Core-Business Focus Program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the Board of Directors of the Company authorized, and the Company commenced, a cost reduction plan while the Company seeks to raise additional capital to continue development of the LIBERTY robotic system. This cost reduction plan includes:</w:t>
      </w:r>
    </w:p>
    <w:p>
      <w:pPr>
        <w:spacing w:after="0" w:line="18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Postpone a Good Laboratory Practice study for LIBERTY until the completion of the V&amp;V.</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Harel Gadot, Chairman, President and CEO of the Company, has agreed to a reduction of 50% of his base salary, with terms and conditions with respect to the reduction period to be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ind w:left="66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Rachel Vaknin, CFO. Pursuant to an Addendum to Employment Agreement, Ms. Vaknin’s gross monthly salary was decreased to a gross amount of NIS 35,000. Social and fringe benefits due to Ms. Vaknin shall be calculated based upon the updated salary, excluding sick days and vacation days which will continue to be accumulated per her existing employment agreement. Notwithstanding the foregoing, in the event of termination of Ms. Vaknin’s employment, either by us or by Ms. Vaknin, the redemption of accrued vacation days and the payment of prior notice period shall be calculated based on Ms. Vaknin’s salary prior to May 15, 2023.</w:t>
      </w:r>
    </w:p>
    <w:p>
      <w:pPr>
        <w:spacing w:after="0" w:line="176"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Simon Sharon, CTO and General Manager. Pursuant to an Addendum to Employment Agreement, Mr. Sharon’s gross monthly salary was 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us or by Mr. Sharon, the redemption of accrued vacation days and the payment of prior notice period shall be calculated based on Mr. Sharon’s salary prior to May 15, 2023.</w:t>
      </w:r>
    </w:p>
    <w:p>
      <w:pPr>
        <w:spacing w:after="0" w:line="176"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Eyal Morag, CMO. Pursuant to an Addendum to Employment Agreement, Dr. Morag’s gross monthly salary was decreased to a gross amount 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us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was shortened to ninety days.</w:t>
      </w:r>
    </w:p>
    <w:p>
      <w:pPr>
        <w:spacing w:after="0" w:line="178"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independent members of the Board of Directors have agreed to a suspension of their director fees, with reinstatement of such fees to be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its Scientific Advisory Board, waived his SAB fees, with fees payable to the remaining SAB members to be restructured.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that the savings generated from such cost-reduction activities, along with the net proceeds raised from the First May Offering, the Second May Offering, the First June Offering and the Second June Offering, will enable us to continue the V&amp;V, explore a first-in-human trial outside of the U.S., prepare and submit an Investigational device exemption with the U.S. Food and Drug Administration, and commence a clinical trial in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Pre-Clinical Study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First-In-Human Clinical Cases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also exploring options to conduct First-In-Human trials or cases in other places where the regulatory laws allow.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Catheterization Milestone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r>
        <w:rPr>
          <w:rFonts w:ascii="Arial" w:cs="Arial" w:eastAsia="Arial" w:hAnsi="Arial"/>
          <w:sz w:val="29"/>
          <w:szCs w:val="29"/>
          <w:b w:val="1"/>
          <w:bCs w:val="1"/>
          <w:i w:val="1"/>
          <w:iCs w:val="1"/>
          <w:color w:val="auto"/>
          <w:vertAlign w:val="superscript"/>
        </w:rPr>
        <w:t>®</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LIBERTY’s addressable markets are the Interventional Cardiology, Interventional Radiology and Interventional Neuroradiology markets.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Streamlines Cath-lab procedures - Can be made compatible with Microbot’s NitiLoop’s NovaCross products or possibly other guidewire/microcatheter technologies, that combines guidewire and microcatheter into a single device.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guidewire, as well as linear motion for an additional “over the wire” device.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Ease of use - LIBERTY’s intuitive remote controls aims to simplify advanced procedures while shortening the physician’s learning curve.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Telemedicine compatible - Capable of supporting tele-catheterization, carried out remotely by highly trained specialists.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results of the study allow it to move forward and focus on the next phases to ultimately include a U.S.-based pivotal pre-clinical study.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together with its regulatory experts and consultants, believe a larger sample size and robust data generated by this study will advance the company’s efforts towards the submission of Investigational Device Exemption (IDE) with the U.S. Food and Drug Administration (FDA).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&amp; Done</w:t>
      </w:r>
      <w:r>
        <w:rPr>
          <w:rFonts w:ascii="Arial" w:cs="Arial" w:eastAsia="Arial" w:hAnsi="Arial"/>
          <w:sz w:val="29"/>
          <w:szCs w:val="29"/>
          <w:b w:val="1"/>
          <w:bCs w:val="1"/>
          <w:i w:val="1"/>
          <w:iCs w:val="1"/>
          <w:color w:val="auto"/>
          <w:vertAlign w:val="superscript"/>
        </w:rPr>
        <w:t>TM</w:t>
      </w:r>
      <w:r>
        <w:rPr>
          <w:rFonts w:ascii="Arial" w:cs="Arial" w:eastAsia="Arial" w:hAnsi="Arial"/>
          <w:sz w:val="18"/>
          <w:szCs w:val="18"/>
          <w:b w:val="1"/>
          <w:bCs w:val="1"/>
          <w:i w:val="1"/>
          <w:iCs w:val="1"/>
          <w:color w:val="auto"/>
        </w:rPr>
        <w:t xml:space="preserve"> Technology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8, 2018, we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had been exploring the integration of the One &amp; Done</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into the LIBERTY endovascular robotic system for a range of potential applications in the cardiovascular, peripheral vascular and neurovascular spaces. However, as a result of its recently enacted core-business focus program and its cost reduction plan, the Company has terminated its existing agreement with CardioSert Ltd. effective as of August 17, 2023 and ceased its research</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and development of and commercialization efforts for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which could result in the technology being re-acquired by CardioSert Ltd. for nominal consideration.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NovaCross</w:t>
      </w:r>
      <w:r>
        <w:rPr>
          <w:rFonts w:ascii="Arial" w:cs="Arial" w:eastAsia="Arial" w:hAnsi="Arial"/>
          <w:sz w:val="29"/>
          <w:szCs w:val="29"/>
          <w:b w:val="1"/>
          <w:bCs w:val="1"/>
          <w:i w:val="1"/>
          <w:iCs w:val="1"/>
          <w:color w:val="auto"/>
          <w:vertAlign w:val="superscript"/>
        </w:rPr>
        <w:t>TM</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11, 2022, we announced that we are planning to focus our strategic efforts on the growing endovascular space and advancing the LIBERTY Robotic System to achieve its regulatory and commercial milestones, as well as expanding the LIBERTY ecosystem, and made a strategic decision to suspend the continued research and development of the SCS project, effective at that date. The SCS generally performed as expected during testing, both internally and externally, and we believe it continues to have potential clinical value as evidenced by the pre-clinical data submitted to the FDA, which allowed us to successfully apply for the Early Feasibility Study program administered by the FDA. However, the conflicting commercialization pathways between LIBERTY and the SCS due to different hospital call points, and the anticipated lengthier regulatory process of the SCS, led us to believe that focusing our strategic efforts on the LIBERTY Robotic System will provide us with a greater opportunity for success and future growth. We had been exploring opportunities with the SCS assets with the focus on maximizing shareholders value, including seeking buyers for the assets, entering into joint ventures, licensing arrangements, spinning-off the assets into a new operating company or discontinue the project altogether. However, as a result of our recently enacted core-business focus program and our cost reduction plan, we have been in contact with TRDF, the licensor of the technology, and intend to return the licensed intellectual property for the SCS (ViRob) back to TRDF as early as the end of July 2023 in accordance with the terms of its license agreement, as we have not been successful in any such possible other opportunities.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been exploring the use of the TipCAT for minimally invasive neurosurgical and endovascular applications to complement our other technologies. However, as a result of our recently enacted core-business focus program and our cost reduction plan, we returned the licensed intellectual property for the TipCAT back to TRDF, the licensor of the technology, in June 2023, as we do not have the funds to continue to develop this technology.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relates to the resale by the selling stockholders identified in this prospectus of up to 2,281,626 shares of our common stock, as follows:</w:t>
      </w:r>
    </w:p>
    <w:p>
      <w:pPr>
        <w:spacing w:after="0" w:line="24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385,246 shares of our common stock issued in June 2023 upon the cashless exercise of series B preferred investment options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$6.1125;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60,476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35,088 shares of our common stock issuable upon the exercise of outstanding warrants expiring in November 2026, at an exercise price per share of $2.6719;</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350,878 shares of our common stock issuable upon the exercise of outstanding series C preferred investment options expiring in December 2028, at an exercise price per share of $2.075;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312,309 shares of our common stock issuable upon the exercise of outstanding series D preferred investment options expiring in December 2028, at an exercise price per share of $3.19;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31,231 shares of our common stock issuable upon the exercise of outstanding warrants expiring in June 2028, at an exercise price per share of $4.0625.</w:t>
      </w:r>
    </w:p>
    <w:p>
      <w:pPr>
        <w:sectPr>
          <w:pgSz w:w="11900" w:h="16838" w:orient="portrait"/>
          <w:cols w:equalWidth="0" w:num="1">
            <w:col w:w="11240"/>
          </w:cols>
          <w:pgMar w:left="320" w:top="688"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Common stock offered by the selling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Common stock outstanding before the offering (1)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the offering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Nasdaq Capital Market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2,281,626 shares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11,707,317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13,603,697 shares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MBOT</w:t>
      </w:r>
    </w:p>
    <w:p>
      <w:pPr>
        <w:spacing w:after="0" w:line="200" w:lineRule="exact"/>
        <w:rPr>
          <w:sz w:val="20"/>
          <w:szCs w:val="20"/>
          <w:color w:val="auto"/>
        </w:rPr>
      </w:pPr>
    </w:p>
    <w:p>
      <w:pPr>
        <w:sectPr>
          <w:pgSz w:w="11900" w:h="16838" w:orient="portrait"/>
          <w:cols w:equalWidth="0" w:num="2">
            <w:col w:w="7700" w:space="720"/>
            <w:col w:w="2820"/>
          </w:cols>
          <w:pgMar w:left="320" w:top="688" w:right="339" w:bottom="1440" w:gutter="0" w:footer="0" w:header="0"/>
          <w:type w:val="continuous"/>
        </w:sectPr>
      </w:pPr>
    </w:p>
    <w:p>
      <w:pPr>
        <w:spacing w:after="0" w:line="5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number of shares outstanding as of July 7, 2023.</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the exercise of all of the 1,896,380 options and warrants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385,246 issued and outstanding shares of our common stock and the 1,896,380 shares of common stock issuable upon the exercise of currently outstanding options and warrants, in each case that are being offered for resale by the selling stockholders will be sold for the accounts of the selling stockholders named in this prospectus. As a result, all proceeds from the sales of the such shares of common stock offered for resale hereby will go to the selling stockholders and we will not receive any proceeds from the resale of those shares of common stock by the selling stockholders.</w:t>
      </w:r>
    </w:p>
    <w:p>
      <w:pPr>
        <w:spacing w:after="0" w:line="157"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We may receive up to a total of $4,763,404 in gross proceeds if all of the options and warrants are exercised hereunder for cash. However, as we are unable to predict the timing or amount of potential exercises of the warrants, we have not allocated any proceeds of such exercises to any particular purpose. Accordingly, all such proceeds, if any would be allocated to working capital. Pursuant to conditions set forth in the warrants, the warrants are exercisable under certain circumstances on a cashless basis, and should a selling stockholder elect to exercise on a cashless basis we will not receive any proceeds from the sale of common stock issued upon the cashless exercise of the warrant.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Investing in our common stock involves a high degree of risk. Please read the information contained under the heading “Risk Factors” beginning on page 11 of this prospectus and in any subsequent report incorporated by reference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This prospectus and the documents incorporated in this prospectus by reference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or in the documents incorporated in this prospectus by reference. Forward-looking statements speak only as of the date of this report. We do not undertake any obligation to publicly update any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substantial doubt regarding on our ability to continue as a going concern.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stated elsewhere in this prospectus or in the documents incorporated by reference into this prospectus, including in our Annual report on Form 10-K for the fiscal year ended December 31, 2022 and our Quarterly Report on Form 10-Q for the fiscal quarter ended March 31, 2023, we have not generated any revenues, have sustained losses and have accumulated a significant deficit since our inception. Also, we estimate that our cash resources are only sufficient to fund our operations for approximately 9 months from the date of this prospectus and as a result, our continued existence is dependent upon our ability to obtain additional debt or equity financing and to ultimately become a commercially viable organization.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additional necessary debt or equity financing will be available, or will be available on terms acceptable to us, in which case we may be unable to meet our obligations or fully implement our business plan, if at all, beyond such 9 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9 months, which could adversely affect our ability to raise capital, expand our business and develop our planned products.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litigation, which may divert management’s attention and, in the event of an adverse judgment or settlement for some or all of the $6,750,000 being litigated, have a material adverse effect on our financial condition and our ability to continue our operations.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seeks rescission of the SPA and return of the Plaintiffs’ $6.75 million purchase price with respect to the Financing.</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308" w:lineRule="auto"/>
        <w:rPr>
          <w:sz w:val="20"/>
          <w:szCs w:val="20"/>
          <w:color w:val="auto"/>
        </w:rPr>
      </w:pPr>
      <w:r>
        <w:rPr>
          <w:rFonts w:ascii="Arial" w:cs="Arial" w:eastAsia="Arial" w:hAnsi="Arial"/>
          <w:sz w:val="17"/>
          <w:szCs w:val="17"/>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 device;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LIBERTY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is a development-stage medical device company and currently generates no revenue from product sales, and may never be able to commercialize LIBERTY or other future product candidates. Microbot does not currently have the required approvals or clearances to market or test in humans the LIBERTY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 LIBERTY device.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expects the research and development expenses of the Company to continue to increase substantially in future periods as it conducts pre-clinical studies in large animals and potentially clinical trials for its product candidates, and especially if it initiates additional research programs for future product candidates. This is the case even with the recent suspension of the research and development program relating to the SCS device.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prospectus and in the documents incorporated by reference into this prospectus.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 introduction of LIBERTY. The Company’s future capital requirements, generally, will depend on many factors, including:</w:t>
      </w:r>
    </w:p>
    <w:p>
      <w:pPr>
        <w:spacing w:after="0" w:line="18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outcomes of the product candidates’ regulatory reviews, subsequent approvals or clearances, or other regulatory actions;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final outcome of the Company’s existing lawsuit with Empery and Hudson Bay;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design, duration and any potential delays of the clinical trials that could be conducted at the FDA’s request using Microbot’s product candidates;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new and existing businesses, product candidates and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to maintain, expand and defend the scope of Microbot’s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to secure or establish sales, marketing and commercial manufacturing capabilities or arrangements with third parties regarding same;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need and ability to hire additional management and scientific and medical personnel;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to operate as a public company in the United States.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still be subject to significant disruptions to our clinical trials or other business operations as a result of the COVID-19 pandemic, which could have a material adverse effect on our business.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have not yet commenced clinical trials, in the event the coronavirus pandemic or another pandemic is continuing when we are prepared to commence such trials, the coronavirus disease may cause significant delays and disruptions to our clinical trials and our interactions with the FDA. If the patients involved with any such clinical trials become infected with the coronavirus disease, we may have more AEs and deaths in our clinical trials as a result. We may also face difficulties enrolling patients in our clinical trials if the patient populations that are eligible for our clinical trials are impacted by the coronavirus or other disease. Additionally, if our clinical trial patients are unable to travel to our clinical trial sites as a result of quarantines or other restrictions resulting from the coronavirus or other disease, we may experience higher drop-out rates or delays in our clinical trials, and some patients may not be able to comply with clinical trial protocols if quarantines impede patient movement or interrupt healthcare services, which could impact our ability to determine the efficacy or safety of our LIBERTY device. Site initiation and patient enrollment may also be delayed due to prioritization of hospital resources toward the coronavirus disease outbreak.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Additionally, travel restrictions and expanded screenings may be implemented locally or worldwide in an effort to contain the coronavirus or other disease. As such, we and our contract research organizations may be unable to visit our trial sites and monitor the data from our trials on timely basis. Our employees may also face travel restrictions, which would impact our business. Furthermore, some of our manufacturers and suppliers are in Europe and Asia and may be impacted by port closures and other restrictions resulting from any such outbreak, which may disrupt our supply chain or limit our ability to obtain sufficient materials for our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ultimate impact of the coronavirus disease outbreak or a similar health epidemic is highly uncertain and subject to change, and we cannot presently predict the scope and severity of any further potential business shutdowns or disruptions, but if we or any of the third parties with whom we engage, including the suppliers, clinical trial sites, contract research organizations, regulators, including the FDA health care providers and other third parties with whom we conduct business, were to experience shutdowns or other business disruptions, our ability to conduct our business and operations could be materially and negatively impacted, which could prevent or delay us from obtaining approval for our LIBERTY device.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Failure to successfully complete the studies or trials in a timely and cost-effective manner could have a material adverse effect on Microbot’s prospects with respect to the LIBERTY device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sole lead product candidate, the LIBERTY. If Microbot is unable to commercialize the LIBERTY, or experiences significant delays in doing so, Microbot’s business will be materially harmed.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Generally, after all necessary clinical and performance data supporting the safety and effectiveness of the LIBERTY device, or any other product candidate,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the LIBERTY device, or any of our other product candidates from time to time. The success of commercializing any of our product candidates, include the LIBERTY device, will depend on a number of factors, including the following: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generating commercial sales, if and when approved, whether alone or in collaboration with other entities;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competing with existing and competitive products on the market and any new competing products that may enter the market; and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recently suspended our research and development programs for all of our product candidates and platforms other than LIBERTY as a result of, among other things, some of the above factors, and our short and medium term success is no longer tied to multiple product candidates but rather just the LIBERTY device. If Microbot does not achieve one or more of these factors in a timely manner or at all, it could experience significant delays or an inability to successfully commercialize the LIBERTY or any other product candidate, which would materially harm its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Microbot’s ability to expand its technology platforms for other uses may be limited.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b w:val="1"/>
          <w:bCs w:val="1"/>
          <w:i w:val="1"/>
          <w:iCs w:val="1"/>
          <w:color w:val="auto"/>
        </w:rPr>
        <w:t>At this time, Microbot does not know the extent of the clinical trial that the FDA will require it to submit in support of its future marketing applications for its LIBERTY product candidate, which creates uncertainty for Microbot as well as the possibility of increased product development costs and time to market.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identified a predicate device for the LIBERTY device,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requires clinical data to be submitted as part of the LIBERTY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Thus, the addition of one or more mandatory clinical trials to the development timeline for the LIBERTY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LIBERTY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Microbot’s One &amp; Done technology is subject to a buy-back clause which, if triggered, could cause us to lose rights to the technology.</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 we entered into in January 2018 to acquire the One &amp; Done technology, we are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failure to meet the applicable commercialization deadline could therefore result in the sale back of the technology to CardioSert. In addition, as a result of our recently enacted core-business focus program and cost reduction plan, we terminated our existing agreement with Cardiosert Ltd. effective as of August 17, 2023, which could result in the technology being re-acquired by Cardiosert Ltd. for nominal consideration. Although we have not yet been notified of any such election, any such sale would materially adversely affect our ability to develop and commercialize, or materially delay the development and commercialization of, our One &amp; Done technology, if we were to otherwise determine to restart that product platform.</w:t>
      </w:r>
    </w:p>
    <w:p>
      <w:pPr>
        <w:spacing w:after="0" w:line="17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342" w:lineRule="auto"/>
        <w:rPr>
          <w:sz w:val="20"/>
          <w:szCs w:val="20"/>
          <w:color w:val="auto"/>
        </w:rPr>
      </w:pPr>
      <w:r>
        <w:rPr>
          <w:rFonts w:ascii="Arial" w:cs="Arial" w:eastAsia="Arial" w:hAnsi="Arial"/>
          <w:sz w:val="16"/>
          <w:szCs w:val="16"/>
          <w:b w:val="1"/>
          <w:bCs w:val="1"/>
          <w:i w:val="1"/>
          <w:iCs w:val="1"/>
          <w:color w:val="auto"/>
        </w:rPr>
        <w:t>If the commercial opportunity for LIBERTY and any other commercial products that may be developed by Microbot is smaller than Microbot anticipates, Microbot’s future revenue from LIBERTY and such other products will be adversely affected and Microbot’s business will suffer.</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commercial success of LIBERTY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Customers will be unlikely to buy the LIBERTY or any other product candidates unless Microbot can demonstrate that they can be produced for sale to consumers at attractive prices.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date, Microbot has focused primarily on research and development of the LIBERTY device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relied on, and intends to continue to rely on, third-party manufacturers to produce its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internal operational problems or scheduling constraints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regulatory non-compliance or other violations by the third-party manufacturer that could result in quality assurance;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various factors beyond Microbot’s control;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 parties for various reasons beyond Microbot’s control, at a time that is costly or inconvenient to Microbot.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LIBERTY and our other product candidates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LIBERTY or our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Microbot’s product offerings are used across diverse healthcare settings, they will be affected to varying degrees by the different payment systems.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outcome studies for the LIBERTY may not provide sufficient data to make such product candidates the standard of care.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Microbot’s business plan with respect to the LIBERTY relies on the broad adoption by surgeons of the products for their respective planned applications.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Clinical studies may not show an advantage in LIBERTY based procedures in a timely manner, or at all, and outcome studies have not been designed at this time, and may be too large and too costly for Microbot to conduct. Both situations could prevent broad adoption of the LIBERTY and materially impact Microbot’s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t>Microbot products may in the future be subject to mandatory product recalls that could harm its reputation, business and financial results.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6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detention or seizure of Microbot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premarket approval of new products or modified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withdrawing 510(k) clearances or other types of regulatory authorizations -that have already been granted;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to grant export approval for Microbot products;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cost reduction program, we have reduced all executive officers’ salaries by between 30-50%.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for Microbot to market its product candidates in countries other than the United States, it must comply with the safety and quality regulations in such countries.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cannot be certain that it will be successful in complying with the requirements of the CE Certificate of Conformity and receiving a CE Mark for its product candidates or in continuing to meet the requirements of the Medical Devices Directive in the European Economic Area (EEA).</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Microbot operations in international markets involve inherent risks that Microbot may not be able to control.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macroeconomic conditions affecting geographies where Microbot intends to do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closing of international borders, including as a result of biohazards or pandemics;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of doing business in certain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infringement claims on foreign patents, copyrights or trademark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across disparate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associated with enforcing agreements and intellectual property rights through foreign legal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protection measures and other regulatory requirements, which affect Microbot’s ability to import or export its product candidates from or to various countries;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military conflict, terrorist activities, natural disasters and medical epidemics;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Microbot’s ability to recruit and retain channel partners in foreign jurisdictions.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Microbot’s right to develop and commercialize the LIBERTY product candidate is subject to the terms and condition of a license granted to Microbot by Technion Research and Development Foundation Ltd. and termination of the license with respect to the technology platform underlying the product candidate could result in Microbot ceasing its development efforts for the LIBERTY platform.</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Microbot entered into a license agreement with Technion Research and Development Foundation Ltd., or TRDF, pursuant to which Microbot obtained an exclusive, worldwide, royalty-bearing, sub-licensable license to certain patents and inventions, originally relating to the SCS and TipCAT technology platforms and subsequently amended to include our LIBERTY platform.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in the event Microbot fails to meet a development milestone associated with such technology. Therefore, the failure to meet development milestones may lead to a complete termination of the license agreement and result in Microbot ceasing its development efforts for the applicable product candidate. Failure to meet any development milestone will give TRDF the right to terminate the license with respect to the technology underlying the missed milestone. TRDF has previously demonstrated flexibility with respect to amending the terms of the license to extend the milestone dates, although we can give no assurance at this time that TRDF will continue to be so flexible with respect to amending the terms of the license. We have informed TRDF of our suspension of our SCS research and development program and our plans exploring strategic alternatives for such product and technology. Furthermore, we have returned the intellectual property relating to the TipCat platform as part of our core-business focus program and we may similarly return the intellectual property relating to the SCS(ViRob) platform. To-date, TRDF has not taken any action to so terminate the license, although we can give no assurance they will not do so.</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TRDF were to terminate the license agreement or if Microbot was to otherwise lose the ability to exploit the licensed patents, Microbot’s competitive advantage with respect to its LIBERTY technology platform could be reduced or terminated, and Microbot will likely not be able to find a source to replace the licensed technology.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if there is any future dispute between Microbot and TRDF regarding the respective parties’ rights under the license agreement, Microbot’s ability to develop and commercialize the LIBERTY may be materially harmed, although at this time no material development or commercialization of either platform is in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may not meet its product candidates’ development and commercialization objectives in a timely manner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ectPr>
          <w:pgSz w:w="11900" w:h="16838" w:orient="portrait"/>
          <w:cols w:equalWidth="0" w:num="1">
            <w:col w:w="11240"/>
          </w:cols>
          <w:pgMar w:left="320" w:top="692" w:right="339" w:bottom="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TRDF licensed patents,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the first right, but not the obligation, to control the prosecution, maintenance or enforcement of the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TRDF licensed patents, TRDF may elect to do so but may fail to take the steps that are necessary or desirable in order to obtain, maintain and enforce the licensed patents.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facilities located in Israel, and therefore, political conditions in Israel may affect Microbot’s operations and results.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Microbot has facilities located in Israel. In addition, one of its seven directors, its General Manager and Chief Technology Officer, Chief Medical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relations could limit Microbot’s ability to sell or buy internationally.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Israel’s economy may become unstable.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NIS currencies may negatively affect Microbot’s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Microbot’s research and development efforts from inception until now have been financed in part through such Israeli Innovation Authority royalty bearing grants in an aggregate amount of approximately $1,500,000 through March 31, 2023, plus a recent approval for a grant in the amount of NIS 1.62 million, which based on a recent exchange rate to the U.S. dollar, would be approximately $440,000, to further finance the development of a manufacturing process for the LIBERTY. In addition, as a result of our 2018 agreement with CardioSert and our 2022 agreement with Nitiloop, we took over the liability to repay CardioSert’s and Nitiloop’s IIA grants in the aggregate amount of approximately $530,000 and $925,000, respectively.</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Some of Microbot’s employees and officers are obligated to perform military reserve duty in Israel.</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enforce a non-Israeli judgment against Microbot or its officers and directors.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LIBERTY and other products that it is seeking to develop or commercialize with respect to its other product candidates in the future.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LIBERTY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have in the past and may again in the future pursue other acquisitions of businesses and technologies. Acquisitions entail numerous risks, including:</w:t>
      </w:r>
    </w:p>
    <w:p>
      <w:pPr>
        <w:spacing w:after="0" w:line="24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integration of acquired operations, services and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expected synergies;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 of unknown material liabilities of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of acquired intangible assets, which could reduce future reported earnings;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funding to properly and adequately develop and commercialize the technologies acquired;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clients or key employees of acquired companies;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dilution to existing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or operational estimates or projections;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acquisitions, strategic partnerships, joint ventures or capital commitments;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intellectual property position;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Israel or elsewhere.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issuance of shares upon exercise of outstanding warrants and options could cause immediate and substantial dilution to existing stockholders.</w:t>
      </w: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385,246 issued and outstanding shares of our common stock and the 1,896,380 shares of common stock issuable upon the exercise of currently outstanding options and warrants,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7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We may receive up to a total of $4,763,404 in gross proceeds if all of the warrants are exercised hereunder for cash. However, as we are unable to predict the timing or amount of potential exercises of the warrants, we have not allocated any proceeds of such exercises to any particular purpose. Accordingly, all such proceeds, if any would be allocated to working capital. Pursuant to conditions set forth in the warrants, the warrants are exercisable under certain circumstances on a cashless basis, and should a selling stockholder elect to exercise on a cashless basis we will not receive any proceeds from the sale of common stock issued upon the cashless exercise of the warrant.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since November 29, 2016. Prior to that, our common stock was traded under the symbol “STEM.”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7, 2023, there were approximately 101 holders of record of our common stock, and the closing price of our common stock as reported on the NASDAQ Capital Market was $2.78.</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Part II, Item 8 in our Annual Report on Form 10-K for the fiscal year ended December 31, 2022, filed with the SEC on March 31, 2023, which is incorporated herein by reference, for the following financial statements:</w:t>
      </w:r>
    </w:p>
    <w:p>
      <w:pPr>
        <w:spacing w:after="0" w:line="170" w:lineRule="exact"/>
        <w:rPr>
          <w:sz w:val="20"/>
          <w:szCs w:val="20"/>
          <w:color w:val="auto"/>
        </w:rPr>
      </w:pPr>
    </w:p>
    <w:p>
      <w:pPr>
        <w:spacing w:after="0"/>
        <w:rPr>
          <w:rFonts w:ascii="Arial" w:cs="Arial" w:eastAsia="Arial" w:hAnsi="Arial"/>
          <w:sz w:val="18"/>
          <w:szCs w:val="18"/>
          <w:color w:val="0000EE"/>
        </w:rPr>
      </w:pPr>
      <w:hyperlink r:id="rId46">
        <w:r>
          <w:rPr>
            <w:rFonts w:ascii="Arial" w:cs="Arial" w:eastAsia="Arial" w:hAnsi="Arial"/>
            <w:sz w:val="18"/>
            <w:szCs w:val="18"/>
            <w:u w:val="single" w:color="auto"/>
            <w:color w:val="0000EE"/>
          </w:rPr>
          <w:t>Report of Independent Registered Public Accounting Firm</w:t>
        </w:r>
        <w:r>
          <w:rPr>
            <w:rFonts w:ascii="Arial" w:cs="Arial" w:eastAsia="Arial" w:hAnsi="Arial"/>
            <w:sz w:val="18"/>
            <w:szCs w:val="18"/>
            <w:color w:val="0000EE"/>
          </w:rPr>
          <w:t xml:space="preserve">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1197)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Consolidated Balance Sheets as of December 31, 2022, and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Consolidated Statements of Comprehensive Loss for the years ended December 31, 2022 and 2021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Consolidated Statements of Shareholders’ Equity for the years ended December 31, 2022 and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Consolidated Statements of Cash Flows for the years ended December 31, 2022 and 2021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Notes to the Consolidated Financial Statements</w:t>
        </w:r>
      </w:hyperlink>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also Part I, Item 1 in our Quarterly Report on Form 10-Q for the quarter ended March 31, 2023, filed with the SEC on May 17, 2023, which is incorporated herein by reference, for the following financial statements:</w:t>
      </w:r>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Interim Consolidated Balance Sheets as of March 31, 2023 (Unaudited) and December 31, 2022 (Audited)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Interim Consolidated Statements of Comprehensive Loss for the Three Months Ended March 31, 2023 and 2022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Interim Consolidated Statements of Shareholders’ Equity for the Three Months Ended March 31, 2023 and 2022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Interim Consolidated Statements of Cash Flows for the Three Months Ended March 31, 2023 and 2022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Notes to Interim Consolidated Financial Statements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prospectus, any prospectus supplement and the information incorporated by reference in 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Please see Item 7 in our Annual Report on Form 10-K for the fiscal year ended December 31, 2022, filed with the SEC on March 31, 2023, and Item 2 in our Quarterly Report on Form 10-Q for the quarter ended March 31, 2023, filed with the SEC on May 17, 2023, both of which are incorporated herein by reference, for our management’s discussion and analysis of financial condition and results of operations for the respective periods.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Item 1 in our Annual Report on Form 10-K for the fiscal year ended December 31, 2022 filed with the SEC on March 31, 2023, which is incorporated herein by reference, for a discussion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r>
        <w:rPr>
          <w:rFonts w:ascii="Arial" w:cs="Arial" w:eastAsia="Arial" w:hAnsi="Arial"/>
          <w:sz w:val="29"/>
          <w:szCs w:val="29"/>
          <w:b w:val="1"/>
          <w:bCs w:val="1"/>
          <w:i w:val="1"/>
          <w:iCs w:val="1"/>
          <w:color w:val="auto"/>
          <w:vertAlign w:val="superscript"/>
        </w:rPr>
        <w:t>®</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LIBERTY’s addressable markets are the Interventional Cardiology, Interventional Radiology and Interventional Neuroradiology markets.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Streamlines Cath-lab procedures - Can be made compatible with Microbot’s NitiLoop’s NovaCross products or possibly other guidewire/microcatheter technologies, that combines guidewire and microcatheter into a single device.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guidewire, as well as linear motion for an additional “over the wire” device.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Ease of use - LIBERTY’s intuitive remote controls aims to simplify advanced procedures while shortening the physician’s learning curve.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Telemedicine compatible - Capable of supporting tele-catheterization, carried out remotely by highly trained specialists.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results of the study allow it to move forward and focus on the next phases to ultimately include a U.S.-based pivotal pre-clinical study.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together with its regulatory experts and consultants, believe a larger sample size and robust data generated by this study will advance the company’s efforts towards the submission of Investigational Device Exemption (IDE) with the U.S. Food and Drug Administration (FDA).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One &amp; Done</w:t>
      </w:r>
      <w:r>
        <w:rPr>
          <w:rFonts w:ascii="Arial" w:cs="Arial" w:eastAsia="Arial" w:hAnsi="Arial"/>
          <w:sz w:val="29"/>
          <w:szCs w:val="29"/>
          <w:b w:val="1"/>
          <w:bCs w:val="1"/>
          <w:i w:val="1"/>
          <w:iCs w:val="1"/>
          <w:color w:val="auto"/>
          <w:vertAlign w:val="superscript"/>
        </w:rPr>
        <w:t>TM</w:t>
      </w:r>
      <w:r>
        <w:rPr>
          <w:rFonts w:ascii="Arial" w:cs="Arial" w:eastAsia="Arial" w:hAnsi="Arial"/>
          <w:sz w:val="18"/>
          <w:szCs w:val="18"/>
          <w:b w:val="1"/>
          <w:bCs w:val="1"/>
          <w:i w:val="1"/>
          <w:iCs w:val="1"/>
          <w:color w:val="auto"/>
        </w:rPr>
        <w:t xml:space="preserve"> Technology</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8, 2018, we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8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 had been exploring the integration of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technology into the LIBERTY endovascular robotic system for a range of potential applications in the cardiovascular, peripheral vascular and neurovascular spaces. However, as a result of its recently enacted core-business focus program and its cost reduction plan, the Company has terminated its existing agreement with CardioSert Ltd. effective as of August 17, 2023 and ceased its research and development of and commercialization efforts for the One &amp; Done, which could result in the technology being re-acquired by CardioSert Ltd. for nominal consideration.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NovaCross</w:t>
      </w:r>
      <w:r>
        <w:rPr>
          <w:rFonts w:ascii="Arial" w:cs="Arial" w:eastAsia="Arial" w:hAnsi="Arial"/>
          <w:sz w:val="29"/>
          <w:szCs w:val="29"/>
          <w:b w:val="1"/>
          <w:bCs w:val="1"/>
          <w:i w:val="1"/>
          <w:iCs w:val="1"/>
          <w:color w:val="auto"/>
          <w:vertAlign w:val="superscript"/>
        </w:rPr>
        <w:t>TM</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11, 2022, we announced that we are planning to focus our strategic efforts on the growing endovascular space and advancing the LIBERTY Robotic System to achieve its regulatory and commercial milestones, as well as expanding the LIBERTY ecosystem, and made a strategic decision to suspend the continued research and development of the SCS project, effective at that date. The SCS generally performed as expected during testing, both internally and externally, and we believe it continues to have potential clinical value as evidenced by the pre-clinical data submitted to the FDA, which allowed us to successfully apply for the Early Feasibility Study program administered by the FDA. However, the conflicting commercialization pathways between LIBERTY and the SCS due to different hospital call points, and the anticipated lengthier regulatory process of the SCS, led us to believe that focusing our strategic efforts on the LIBERTY Robotic System will provide us with a greater opportunity for success and future growth. We had been exploring opportunities with the SCS assets with the focus on maximizing shareholders value, including seeking buyers for the assets, entering into joint ventures, licensing arrangements, spinning-off the assets into a new operating company or discontinue the project altogether. However, as a result of our recently enacted core-business focus program and our cost reduction plan , we have been in contact with TRDF, the licensor of the technology, and intend to return the licensed intellectual property for the SCS (ViRob) back to TRDF as early as the end of July 2023 in accordance with the terms of its license agreement, as we have not been successful in any such possible other opportunities.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been exploring the use of the TipCAT for minimally invasive neurosurgical and endovascular applications to complement our other technologies. However, as a result of our recently enacted core-business focus program and our cost reduction plan , we returned the licensed intellectual property for the TipCAT back to TRDF, the licensor of the technology, in June 2023, as we do not have the funds to continue to develop this technology.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and Private Placement Offerings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26, 2023, we entered into a securities purchase agreement with institutional investors, pursuant to which we agreed to issue and sell in a registered direct offering an aggregate of 624,618 shares of our common stock, at an offering price of $3.25 per share, for aggregate gross proceeds, with the private placement described below, of approximately $2 million before deducting the placement agent fee and related offering expenses (the “Second June Offering”). We also agreed to issue to H.C. Wainwright &amp; Co., LLC or its designees preferred investment options to purchase 31,231 shares of our common stock. The registered direct offering was consummated on June 28, 2023. In a concurrent private placement, we also issued to the purchasers of our shares of common stock in the Second June Offering, series D preferred investment options to purchase up to 312,309 shares of our common stock. Each series D preferred investment option is exercisable for one share of common stock at an exercise price of $3.19 commencing on the date of issuance and expires five and one-half years from the initial exercise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 2023, we entered into a securities purchase agreement with institutional investors, pursuant to which we agreed to issue and sell in a registered direct offering an aggregate of 701,756 shares of our common stock, at an offering price of $2.1375 per share, for aggregate gross proceeds, with the private placement described below, of approximately $1.5 million before deducting the placement agent fee and related offering expenses (the “First June Offering”). We also agreed to issue to H.C. Wainwright &amp; Co., LLC or its designees preferred investment options to purchase 35,088 shares of our common stock. The registered direct offering was consummated on June 6, 2023. In a concurrent private placement, we also issued to the purchasers of our shares of common stock in the First June Offering, series C preferred investment options to purchase up to 350,878 shares of our common stock. Each series C preferred investment option is exercisable for one share of common stock at an exercise price of $2.075 commencing on the date of issuance and expires five and one-half years from the initial exercise date.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23, 2023, we entered into a securities purchase agreement with an institutional investor, pursuant to which we agreed to issue and sell in a registered direct offering (i) an aggregate of 975,000 shares of our common stock, at an offering price of $2.20 per share and (ii) pre-funded warrants exercisable for up to 234,500 shares of our common stock, at an offering price of $2.1999 per pre-funded warrant, for aggregate gross proceeds of approximately $2.66 million before deducting the placement agent fee and related offering expenses (the “Second May Offering”). We also agreed to issue to H.C. Wainwright &amp; Co., LLC or its designees preferred investment options to purchase 60,476 shares of our common stock. The Second May Offering was consummated on May 24, 2023.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22, 2023, we entered into a securities purchase agreement with an institutional investor, pursuant to which we agreed to issue and sell in a registered direct offering an aggregate of 655,569 shares of our common stock, at an offering price of $2.20 per share, for aggregate gross proceeds of approximately $1.4 million before deducting the placement agent fee and related offering expenses (the “First May Offering”). We also agreed to issue to H.C. Wainwright &amp; Co., LLC or its designees preferred investment options to purchase 32,778 shares of our common stock. The First May Offering was consummated on May 23,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Preferred Investment Options Amendment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Second May Offering, we agreed to amend the terms of (i) the Series A preferred investment options to purchase 1,022,495 shares of our common stock for an exercise price of $4.64 per share which are scheduled to expire on October 25, 2027 and (ii) the Series B preferred investment options to purchase 1,022,495 shares of our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and further described in our Current Report on Form 8-K filed on October 25,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On June 16, 2023, the holder of the Series B Preferred Investment Options exercised all of such Series B Preferred Investment Options pursuant to its cashless exercise provision into 385,246 shares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for Grant from The Israel Innovation Authority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 2023, we announced that we received a grant from the Israel Innovation Authority (“IIA”) in the amount of NIS 1.62 million, which based on a recent exchange rate to the U.S. dollar, would be approximately $440,000, to further finance the development of our manufacturing process of our flagship robotic surgical system, the LIBERTY.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relation to the IIA grant, we are obligated to pay royalties amounting to between 3%-5% of our future sales of the LIBERTY product up to the grant amount plus interest. The grant is linked to the U.S. dollar and bears interest at Libor per annum. The grant monies will be paid over time based on the terms of the grant, and the U.S. dollar amount actually received will be based on the exchange rate of the U.S. dollar to the New Israeli Shekel at the time of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Core-Business Focus Program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the Board of Directors of the Company authorized, and the Company commenced, a cost reduction plan while the Company seeks to raise additional capital to continue development of the LIBERTY robotic system. This cost reduction plan includes:</w:t>
      </w:r>
    </w:p>
    <w:p>
      <w:pPr>
        <w:spacing w:after="0" w:line="184" w:lineRule="exact"/>
        <w:rPr>
          <w:sz w:val="20"/>
          <w:szCs w:val="20"/>
          <w:color w:val="auto"/>
        </w:rPr>
      </w:pPr>
    </w:p>
    <w:p>
      <w:pPr>
        <w:ind w:left="980" w:hanging="648"/>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Postpone a Good Laboratory Practice study for LIBERTY until the completion of the V&amp;V.</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Harel Gadot, Chairman, President and CEO of the Company, has agreed to a reduction of 50% of his base salary, with terms and conditions with respect to the reduction period to be determined.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as follows:</w:t>
      </w:r>
    </w:p>
    <w:p>
      <w:pPr>
        <w:spacing w:after="0" w:line="252" w:lineRule="exact"/>
        <w:rPr>
          <w:rFonts w:ascii="Arial" w:cs="Arial" w:eastAsia="Arial" w:hAnsi="Arial"/>
          <w:sz w:val="18"/>
          <w:szCs w:val="18"/>
          <w:color w:val="auto"/>
        </w:rPr>
      </w:pPr>
    </w:p>
    <w:p>
      <w:pPr>
        <w:jc w:val="both"/>
        <w:ind w:left="1620" w:hanging="532"/>
        <w:spacing w:after="0" w:line="255"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Rachel Vaknin, CFO. Pursuant to an Addendum to Employment Agreement, Ms. Vaknin’s gross monthly salary was decreased to a gross amount of NIS 35,000. Social and fringe benefits due to Ms. Vaknin shall be calculated based upon the updated salary, excluding sick days and vacation days which will continue to be accumulated per her existing employment agreement. Notwithstanding the foregoing, in the event of termination of Ms. Vaknin’s employment, either by us or by Ms. Vaknin, the redemption of accrued vacation days and the payment of prior notice period shall be calculated based on Ms. Vaknin’s salary prior to May 15, 2023.</w:t>
      </w:r>
    </w:p>
    <w:p>
      <w:pPr>
        <w:spacing w:after="0" w:line="192" w:lineRule="exact"/>
        <w:rPr>
          <w:rFonts w:ascii="Arial" w:cs="Arial" w:eastAsia="Arial" w:hAnsi="Arial"/>
          <w:sz w:val="18"/>
          <w:szCs w:val="18"/>
          <w:color w:val="auto"/>
        </w:rPr>
      </w:pPr>
    </w:p>
    <w:p>
      <w:pPr>
        <w:jc w:val="both"/>
        <w:ind w:left="1620" w:hanging="532"/>
        <w:spacing w:after="0" w:line="255"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Simon Sharon, CTO and General Manager. Pursuant to an Addendum to Employment Agreement, Mr. Sharon’s gross monthly salary was 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us or by Mr. Sharon, the redemption of accrued vacation days and the payment of prior notice period shall be calculated based on Mr. Sharon’s salary prior to May 15, 2023.</w:t>
      </w:r>
    </w:p>
    <w:p>
      <w:pPr>
        <w:spacing w:after="0" w:line="192" w:lineRule="exact"/>
        <w:rPr>
          <w:rFonts w:ascii="Arial" w:cs="Arial" w:eastAsia="Arial" w:hAnsi="Arial"/>
          <w:sz w:val="18"/>
          <w:szCs w:val="18"/>
          <w:color w:val="auto"/>
        </w:rPr>
      </w:pPr>
    </w:p>
    <w:p>
      <w:pPr>
        <w:jc w:val="both"/>
        <w:ind w:left="1620" w:hanging="532"/>
        <w:spacing w:after="0" w:line="25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Eyal Morag, CMO. Pursuant to an Addendum to Employment Agreement, Dr. Morag’s gross monthly salary was decreased to a gross amount 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us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was shortened to ninety days.</w:t>
      </w:r>
    </w:p>
    <w:p>
      <w:pPr>
        <w:spacing w:after="0" w:line="221"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independent members of the Board of Directors have agreed to a suspension of their director fees, with reinstatement of such fees to be determined.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225"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83"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its Scientific Advisory Board, waived his SAB fees, with fees payable to the remaining SAB members to be restructured.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that the savings generated from such cost-reduction activities, along with the net proceeds raised from the First May Offering, the Second May Offering, the First June Offering and the Second June Offering, will enable us to continue the V&amp;V, explore a first-in-human trial outside of the U.S., prepare and submit an Investigational device exemption with the U.S. Food and Drug Administration, and commence a clinical trial in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Pre-Clinical Study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First-In-Human Clinical Cases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also exploring options to conduct First-In-Human trials or cases in other places where the regulatory laws allow.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Catheterization Milestone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Litigation Resulting from 2017 Financing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are currently in the discovery phase and we are commencing court-ordered mediation. Management is unable to assess the outcome of any such mediation, or the likelihood that we will succeed at trial with respect to the SPA or the Financing, having previously lost another lawsuit with respect to the 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recently terminated its lease at its Hingham, Massachusetts facility as a result of its cost reduction plan, and is exploring a possible replacement office for its U.S. staff. Pending new U.S. facilities, the Company’s U.S. employees are working remotely. It has retained a small leased storage facility and a mailing address in the United States.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July 7, 2023, we have 17 employees (including full-time and hourly employees).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Chief Executive Officer, President and Chairman, Harel Gadot, along with 1 full-time and one part-time employee, are based in the United States. Additionally, Microbot has 13 full-time employees and 1 hourly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Benefits and Wellbeing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competitive compensation for our employees We have historically offered annual bonuses and stock-based compensation for eligible employees. As a result of our recent cost reduction plan, our executive officers and certain of our employees have taken salary reductions. We can give no assurance that such plan will not have an adverse effect on our ability to attract and/or retain employees or remain competitive for talent.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Leadership, Training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strive to encourage a diversity of views and to create an equal opportunity workplace. During the past year, we have increased the total number of women in management positions.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Item 10 in our Annual Report on Form 10-K for the fiscal year ended December 31, 2022 filed with the SEC on March 31, 2023, which is incorporated herein by reference, for information regarding our board and directors and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the sections captioned “Director Compensation,” “Executive Compensation,” and “Corporate Governance — Compensation Committee Interlocks and Insider Participation” in our Annual Report on Form 10-K for the fiscal year ended December 31, 2022 filed with the SEC on March 31, 2023, which is incorporated herein by reference, for a discussion of executive and director compensation.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“Certain Relationships and Related Transactions” in our Annual Report on Form 10-K for the fiscal year ended December 31, 2022 filed with the SEC on March 31, 2023, which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July 7, 2023, by (i) each of our directors and director nominees,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July 7, 2023. We calculated percentage ownership in accordance with the rules of the SEC. The percentage of common stock beneficially owned is based on 11,707,317 shares outstanding as of July 7, 2023. In addition, shares issuable pursuant to options or other convertible securities that may be acquired within 60 days of March 30, 2023 are deemed to be issued and outstanding and have been treated as outstanding in calculating and determining the beneficial ownership and percentage ownership of those persons possessing those securities, but not for any other persons.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Number of Shares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Owner</w:t>
            </w: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Beneficially Owned</w:t>
            </w:r>
          </w:p>
        </w:tc>
        <w:tc>
          <w:tcPr>
            <w:tcW w:w="2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 w:type="dxa"/>
            <w:vAlign w:val="bottom"/>
            <w:tcBorders>
              <w:bottom w:val="single" w:sz="8" w:color="CCEEFF"/>
            </w:tcBorders>
          </w:tcPr>
          <w:p>
            <w:pPr>
              <w:spacing w:after="0"/>
              <w:rPr>
                <w:sz w:val="20"/>
                <w:szCs w:val="20"/>
                <w:color w:val="auto"/>
              </w:rPr>
            </w:pP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Chasing Value Asset Management Inc.</w:t>
            </w:r>
            <w:r>
              <w:rPr>
                <w:rFonts w:ascii="Arial" w:cs="Arial" w:eastAsia="Arial" w:hAnsi="Arial"/>
                <w:sz w:val="29"/>
                <w:szCs w:val="29"/>
                <w:color w:val="auto"/>
                <w:vertAlign w:val="superscript"/>
              </w:rPr>
              <w:t>(1)</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610,657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70"/>
        </w:trPr>
        <w:tc>
          <w:tcPr>
            <w:tcW w:w="6940" w:type="dxa"/>
            <w:vAlign w:val="bottom"/>
          </w:tcPr>
          <w:p>
            <w:pPr>
              <w:spacing w:after="0" w:line="270"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779,706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6.31%</w:t>
            </w: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267,089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70"/>
        </w:trPr>
        <w:tc>
          <w:tcPr>
            <w:tcW w:w="6940" w:type="dxa"/>
            <w:vAlign w:val="bottom"/>
          </w:tcPr>
          <w:p>
            <w:pPr>
              <w:spacing w:after="0" w:line="270"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(4)</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25,061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(4)</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25,061</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70"/>
        </w:trPr>
        <w:tc>
          <w:tcPr>
            <w:tcW w:w="6940" w:type="dxa"/>
            <w:vAlign w:val="bottom"/>
          </w:tcPr>
          <w:p>
            <w:pPr>
              <w:spacing w:after="0" w:line="270"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(4)</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25,061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r>
      <w:tr>
        <w:trPr>
          <w:trHeight w:val="256"/>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Aileen Stockburger</w:t>
            </w:r>
            <w:r>
              <w:rPr>
                <w:rFonts w:ascii="Arial" w:cs="Arial" w:eastAsia="Arial" w:hAnsi="Arial"/>
                <w:sz w:val="29"/>
                <w:szCs w:val="29"/>
                <w:color w:val="auto"/>
                <w:vertAlign w:val="superscript"/>
              </w:rPr>
              <w:t>(4)</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19,894</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70"/>
        </w:trPr>
        <w:tc>
          <w:tcPr>
            <w:tcW w:w="6940" w:type="dxa"/>
            <w:vAlign w:val="bottom"/>
          </w:tcPr>
          <w:p>
            <w:pPr>
              <w:spacing w:after="0" w:line="270" w:lineRule="exact"/>
              <w:rPr>
                <w:sz w:val="20"/>
                <w:szCs w:val="20"/>
                <w:color w:val="auto"/>
              </w:rPr>
            </w:pPr>
            <w:r>
              <w:rPr>
                <w:rFonts w:ascii="Arial" w:cs="Arial" w:eastAsia="Arial" w:hAnsi="Arial"/>
                <w:sz w:val="18"/>
                <w:szCs w:val="18"/>
                <w:color w:val="auto"/>
              </w:rPr>
              <w:t>Simon Sharon</w:t>
            </w:r>
            <w:r>
              <w:rPr>
                <w:rFonts w:ascii="Arial" w:cs="Arial" w:eastAsia="Arial" w:hAnsi="Arial"/>
                <w:sz w:val="29"/>
                <w:szCs w:val="29"/>
                <w:color w:val="auto"/>
                <w:vertAlign w:val="superscript"/>
              </w:rPr>
              <w:t>(4)</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55,341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Eyal Morag</w:t>
            </w:r>
            <w:r>
              <w:rPr>
                <w:rFonts w:ascii="Arial" w:cs="Arial" w:eastAsia="Arial" w:hAnsi="Arial"/>
                <w:sz w:val="29"/>
                <w:szCs w:val="29"/>
                <w:color w:val="auto"/>
                <w:vertAlign w:val="superscript"/>
              </w:rPr>
              <w:t>(4)</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36,875</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56"/>
        </w:trPr>
        <w:tc>
          <w:tcPr>
            <w:tcW w:w="6940" w:type="dxa"/>
            <w:vAlign w:val="bottom"/>
          </w:tcPr>
          <w:p>
            <w:pPr>
              <w:spacing w:after="0" w:line="256" w:lineRule="exact"/>
              <w:rPr>
                <w:sz w:val="20"/>
                <w:szCs w:val="20"/>
                <w:color w:val="auto"/>
              </w:rPr>
            </w:pPr>
            <w:r>
              <w:rPr>
                <w:rFonts w:ascii="Arial" w:cs="Arial" w:eastAsia="Arial" w:hAnsi="Arial"/>
                <w:sz w:val="18"/>
                <w:szCs w:val="18"/>
                <w:color w:val="auto"/>
              </w:rPr>
              <w:t>Tal Wenderow</w:t>
            </w:r>
            <w:r>
              <w:rPr>
                <w:rFonts w:ascii="Arial" w:cs="Arial" w:eastAsia="Arial" w:hAnsi="Arial"/>
                <w:sz w:val="29"/>
                <w:szCs w:val="29"/>
                <w:color w:val="auto"/>
                <w:vertAlign w:val="superscript"/>
              </w:rPr>
              <w:t>(4)</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18,422</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r>
      <w:tr>
        <w:trPr>
          <w:trHeight w:val="270"/>
        </w:trPr>
        <w:tc>
          <w:tcPr>
            <w:tcW w:w="69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Rachel Vaknin</w:t>
            </w:r>
            <w:r>
              <w:rPr>
                <w:rFonts w:ascii="Arial" w:cs="Arial" w:eastAsia="Arial" w:hAnsi="Arial"/>
                <w:sz w:val="29"/>
                <w:szCs w:val="29"/>
                <w:color w:val="auto"/>
                <w:vertAlign w:val="superscript"/>
              </w:rPr>
              <w:t>(4)</w:t>
            </w:r>
          </w:p>
        </w:tc>
        <w:tc>
          <w:tcPr>
            <w:tcW w:w="2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12,750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r>
      <w:tr>
        <w:trPr>
          <w:trHeight w:val="390"/>
        </w:trPr>
        <w:tc>
          <w:tcPr>
            <w:tcW w:w="6940" w:type="dxa"/>
            <w:vAlign w:val="bottom"/>
          </w:tcPr>
          <w:p>
            <w:pPr>
              <w:spacing w:after="0"/>
              <w:rPr>
                <w:sz w:val="20"/>
                <w:szCs w:val="20"/>
                <w:color w:val="auto"/>
              </w:rPr>
            </w:pPr>
            <w:r>
              <w:rPr>
                <w:rFonts w:ascii="Arial" w:cs="Arial" w:eastAsia="Arial" w:hAnsi="Arial"/>
                <w:sz w:val="18"/>
                <w:szCs w:val="18"/>
                <w:color w:val="auto"/>
              </w:rPr>
              <w:t>All current directors and executive officers as a group (10 persons)</w:t>
            </w:r>
            <w:r>
              <w:rPr>
                <w:rFonts w:ascii="Arial" w:cs="Arial" w:eastAsia="Arial" w:hAnsi="Arial"/>
                <w:sz w:val="29"/>
                <w:szCs w:val="29"/>
                <w:color w:val="auto"/>
                <w:vertAlign w:val="superscript"/>
              </w:rPr>
              <w:t>(5)</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1,265,260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10.05%</w:t>
            </w:r>
          </w:p>
        </w:tc>
      </w:tr>
    </w:tbl>
    <w:p>
      <w:pPr>
        <w:spacing w:after="0" w:line="6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a Schedule 13G filed by the reporting person on January 20, 2021, the reporting person has sole voting power over 207,000 shares and sole dispositive power over 610,657 shares. Sheldon D. Liber is the Chief Executive Officer of the reporting person. The address of the principal business office of the reporting person is 2444 Wilshire Boulevard, Suite 300, Santa Monica, California 90403.</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77,846 shares of our common stock issuable upon the exercise of options granted to MEDX Ventures Group LLC, and (iii) 565,013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jc w:val="both"/>
        <w:ind w:left="340" w:hanging="332"/>
        <w:spacing w:after="0" w:line="28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(i) 242,028 shares of our common stock owned by LSA - Life Science Accelerator Ltd. and (ii) 25,061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(2), (3) and (4).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common stock to be sold by the selling stockholders upon conversion of their warrants is common stock that is issuable upon such exercise. To the extent the common stock underlying the warrants is issued, there will be dilution to the ownership interests of our existing stockholders.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 forth certain information regarding the selling stockholders and the shares of common stock beneficially owned by them, which information is available to us as of July 7, 2023.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42.</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Beneficial ownership is determined in accordance with Rule 13d-3(d) promulgated by the SEC under the Exchange Act. The percentage of shares beneficially owned prior to the offering is based on 11,707,317 shares of our common stock outstanding as of July 7,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Shares of</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Common</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Shares of Common Stock</w:t>
            </w: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Beneficially Owned After Sale of</w:t>
            </w: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Shares of</w:t>
            </w: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All Shares of Common Stock</w:t>
            </w:r>
          </w:p>
        </w:tc>
      </w:tr>
      <w:tr>
        <w:trPr>
          <w:trHeight w:val="255"/>
        </w:trPr>
        <w:tc>
          <w:tcPr>
            <w:tcW w:w="3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Owned</w:t>
            </w: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Pursuant to this Prospectus</w:t>
            </w:r>
          </w:p>
        </w:tc>
      </w:tr>
      <w:tr>
        <w:trPr>
          <w:trHeight w:val="198"/>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7"/>
              </w:rPr>
              <w:t>Before</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Stock</w:t>
            </w:r>
          </w:p>
        </w:tc>
        <w:tc>
          <w:tcPr>
            <w:tcW w:w="112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Number of</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Stockholder</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Any Sale</w:t>
            </w:r>
          </w:p>
        </w:tc>
        <w:tc>
          <w:tcPr>
            <w:tcW w:w="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of Class</w:t>
            </w:r>
          </w:p>
        </w:tc>
        <w:tc>
          <w:tcPr>
            <w:tcW w:w="3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7"/>
        </w:trPr>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Armistice Capital LLC</w:t>
            </w:r>
            <w:r>
              <w:rPr>
                <w:rFonts w:ascii="Arial" w:cs="Arial" w:eastAsia="Arial" w:hAnsi="Arial"/>
                <w:sz w:val="29"/>
                <w:szCs w:val="29"/>
                <w:color w:val="auto"/>
                <w:vertAlign w:val="superscript"/>
              </w:rPr>
              <w:t>(1)</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1,745,763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1,745,763</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spacing w:after="0" w:line="270" w:lineRule="exact"/>
              <w:rPr>
                <w:sz w:val="20"/>
                <w:szCs w:val="20"/>
                <w:color w:val="auto"/>
              </w:rPr>
            </w:pPr>
            <w:r>
              <w:rPr>
                <w:rFonts w:ascii="Arial" w:cs="Arial" w:eastAsia="Arial" w:hAnsi="Arial"/>
                <w:sz w:val="18"/>
                <w:szCs w:val="18"/>
                <w:color w:val="auto"/>
              </w:rPr>
              <w:t>Intracoastal Capital, LLC</w:t>
            </w:r>
            <w:r>
              <w:rPr>
                <w:rFonts w:ascii="Arial" w:cs="Arial" w:eastAsia="Arial" w:hAnsi="Arial"/>
                <w:sz w:val="29"/>
                <w:szCs w:val="29"/>
                <w:color w:val="auto"/>
                <w:vertAlign w:val="superscript"/>
              </w:rPr>
              <w:t>(2)</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color w:val="auto"/>
              </w:rPr>
              <w:t>221,062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221,062</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3"/>
                <w:szCs w:val="23"/>
                <w:color w:val="auto"/>
              </w:rPr>
            </w:pPr>
          </w:p>
        </w:tc>
        <w:tc>
          <w:tcPr>
            <w:tcW w:w="12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CVI Investments, Inc.</w:t>
            </w:r>
            <w:r>
              <w:rPr>
                <w:rFonts w:ascii="Arial" w:cs="Arial" w:eastAsia="Arial" w:hAnsi="Arial"/>
                <w:sz w:val="29"/>
                <w:szCs w:val="29"/>
                <w:color w:val="auto"/>
                <w:vertAlign w:val="superscript"/>
              </w:rPr>
              <w:t>(3)(4)</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104,103</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104,103</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spacing w:after="0" w:line="270" w:lineRule="exact"/>
              <w:rPr>
                <w:sz w:val="20"/>
                <w:szCs w:val="20"/>
                <w:color w:val="auto"/>
              </w:rPr>
            </w:pPr>
            <w:r>
              <w:rPr>
                <w:rFonts w:ascii="Arial" w:cs="Arial" w:eastAsia="Arial" w:hAnsi="Arial"/>
                <w:sz w:val="18"/>
                <w:szCs w:val="18"/>
                <w:color w:val="auto"/>
              </w:rPr>
              <w:t>Noam Rubenstein</w:t>
            </w:r>
            <w:r>
              <w:rPr>
                <w:rFonts w:ascii="Arial" w:cs="Arial" w:eastAsia="Arial" w:hAnsi="Arial"/>
                <w:sz w:val="29"/>
                <w:szCs w:val="29"/>
                <w:color w:val="auto"/>
                <w:vertAlign w:val="superscript"/>
              </w:rPr>
              <w:t>(4)</w:t>
            </w:r>
          </w:p>
        </w:tc>
        <w:tc>
          <w:tcPr>
            <w:tcW w:w="1740" w:type="dxa"/>
            <w:vAlign w:val="bottom"/>
            <w:gridSpan w:val="3"/>
          </w:tcPr>
          <w:p>
            <w:pPr>
              <w:jc w:val="right"/>
              <w:ind w:right="220"/>
              <w:spacing w:after="0" w:line="270" w:lineRule="exact"/>
              <w:rPr>
                <w:sz w:val="20"/>
                <w:szCs w:val="20"/>
                <w:color w:val="auto"/>
              </w:rPr>
            </w:pPr>
            <w:r>
              <w:rPr>
                <w:rFonts w:ascii="Arial" w:cs="Arial" w:eastAsia="Arial" w:hAnsi="Arial"/>
                <w:sz w:val="18"/>
                <w:szCs w:val="18"/>
                <w:color w:val="auto"/>
              </w:rPr>
              <w:t>66,369</w:t>
            </w:r>
            <w:r>
              <w:rPr>
                <w:rFonts w:ascii="Arial" w:cs="Arial" w:eastAsia="Arial" w:hAnsi="Arial"/>
                <w:sz w:val="29"/>
                <w:szCs w:val="29"/>
                <w:color w:val="auto"/>
                <w:vertAlign w:val="subscript"/>
              </w:rPr>
              <w:t>(5)</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66,369</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3"/>
                <w:szCs w:val="23"/>
                <w:color w:val="auto"/>
              </w:rPr>
            </w:pPr>
          </w:p>
        </w:tc>
        <w:tc>
          <w:tcPr>
            <w:tcW w:w="12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Vasinkevich</w:t>
            </w:r>
            <w:r>
              <w:rPr>
                <w:rFonts w:ascii="Arial" w:cs="Arial" w:eastAsia="Arial" w:hAnsi="Arial"/>
                <w:sz w:val="29"/>
                <w:szCs w:val="29"/>
                <w:color w:val="auto"/>
                <w:vertAlign w:val="superscript"/>
              </w:rPr>
              <w:t>(4)</w:t>
            </w:r>
          </w:p>
        </w:tc>
        <w:tc>
          <w:tcPr>
            <w:tcW w:w="1740" w:type="dxa"/>
            <w:vAlign w:val="bottom"/>
            <w:gridSpan w:val="3"/>
            <w:shd w:val="clear" w:color="auto" w:fill="CCEEFF"/>
          </w:tcPr>
          <w:p>
            <w:pPr>
              <w:jc w:val="right"/>
              <w:ind w:right="220"/>
              <w:spacing w:after="0" w:line="256" w:lineRule="exact"/>
              <w:rPr>
                <w:sz w:val="20"/>
                <w:szCs w:val="20"/>
                <w:color w:val="auto"/>
              </w:rPr>
            </w:pPr>
            <w:r>
              <w:rPr>
                <w:rFonts w:ascii="Arial" w:cs="Arial" w:eastAsia="Arial" w:hAnsi="Arial"/>
                <w:sz w:val="18"/>
                <w:szCs w:val="18"/>
                <w:color w:val="auto"/>
              </w:rPr>
              <w:t>135,110</w:t>
            </w:r>
            <w:r>
              <w:rPr>
                <w:rFonts w:ascii="Arial" w:cs="Arial" w:eastAsia="Arial" w:hAnsi="Arial"/>
                <w:sz w:val="29"/>
                <w:szCs w:val="29"/>
                <w:color w:val="auto"/>
                <w:vertAlign w:val="subscript"/>
              </w:rPr>
              <w:t>(5)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135,110</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spacing w:after="0" w:line="270" w:lineRule="exact"/>
              <w:rPr>
                <w:sz w:val="20"/>
                <w:szCs w:val="20"/>
                <w:color w:val="auto"/>
              </w:rPr>
            </w:pPr>
            <w:r>
              <w:rPr>
                <w:rFonts w:ascii="Arial" w:cs="Arial" w:eastAsia="Arial" w:hAnsi="Arial"/>
                <w:sz w:val="18"/>
                <w:szCs w:val="18"/>
                <w:color w:val="auto"/>
              </w:rPr>
              <w:t>Craig Schwabe</w:t>
            </w:r>
            <w:r>
              <w:rPr>
                <w:rFonts w:ascii="Arial" w:cs="Arial" w:eastAsia="Arial" w:hAnsi="Arial"/>
                <w:sz w:val="29"/>
                <w:szCs w:val="29"/>
                <w:color w:val="auto"/>
                <w:vertAlign w:val="superscript"/>
              </w:rPr>
              <w:t>(4)</w:t>
            </w:r>
          </w:p>
        </w:tc>
        <w:tc>
          <w:tcPr>
            <w:tcW w:w="1740" w:type="dxa"/>
            <w:vAlign w:val="bottom"/>
            <w:gridSpan w:val="3"/>
          </w:tcPr>
          <w:p>
            <w:pPr>
              <w:jc w:val="right"/>
              <w:ind w:right="220"/>
              <w:spacing w:after="0" w:line="270" w:lineRule="exact"/>
              <w:rPr>
                <w:sz w:val="20"/>
                <w:szCs w:val="20"/>
                <w:color w:val="auto"/>
              </w:rPr>
            </w:pPr>
            <w:r>
              <w:rPr>
                <w:rFonts w:ascii="Arial" w:cs="Arial" w:eastAsia="Arial" w:hAnsi="Arial"/>
                <w:sz w:val="18"/>
                <w:szCs w:val="18"/>
                <w:color w:val="auto"/>
              </w:rPr>
              <w:t>7,111</w:t>
            </w:r>
            <w:r>
              <w:rPr>
                <w:rFonts w:ascii="Arial" w:cs="Arial" w:eastAsia="Arial" w:hAnsi="Arial"/>
                <w:sz w:val="29"/>
                <w:szCs w:val="29"/>
                <w:color w:val="auto"/>
                <w:vertAlign w:val="subscript"/>
              </w:rPr>
              <w:t>(5)</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7,111</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3"/>
                <w:szCs w:val="23"/>
                <w:color w:val="auto"/>
              </w:rPr>
            </w:pPr>
          </w:p>
        </w:tc>
        <w:tc>
          <w:tcPr>
            <w:tcW w:w="12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Charles Worthman</w:t>
            </w:r>
            <w:r>
              <w:rPr>
                <w:rFonts w:ascii="Arial" w:cs="Arial" w:eastAsia="Arial" w:hAnsi="Arial"/>
                <w:sz w:val="29"/>
                <w:szCs w:val="29"/>
                <w:color w:val="auto"/>
                <w:vertAlign w:val="superscript"/>
              </w:rPr>
              <w:t>(4)</w:t>
            </w:r>
          </w:p>
        </w:tc>
        <w:tc>
          <w:tcPr>
            <w:tcW w:w="1740" w:type="dxa"/>
            <w:vAlign w:val="bottom"/>
            <w:gridSpan w:val="3"/>
            <w:shd w:val="clear" w:color="auto" w:fill="CCEEFF"/>
          </w:tcPr>
          <w:p>
            <w:pPr>
              <w:jc w:val="right"/>
              <w:ind w:right="220"/>
              <w:spacing w:after="0" w:line="256" w:lineRule="exact"/>
              <w:rPr>
                <w:sz w:val="20"/>
                <w:szCs w:val="20"/>
                <w:color w:val="auto"/>
              </w:rPr>
            </w:pPr>
            <w:r>
              <w:rPr>
                <w:rFonts w:ascii="Arial" w:cs="Arial" w:eastAsia="Arial" w:hAnsi="Arial"/>
                <w:sz w:val="18"/>
                <w:szCs w:val="18"/>
                <w:color w:val="auto"/>
              </w:rPr>
              <w:t>2,108</w:t>
            </w:r>
            <w:r>
              <w:rPr>
                <w:rFonts w:ascii="Arial" w:cs="Arial" w:eastAsia="Arial" w:hAnsi="Arial"/>
                <w:sz w:val="29"/>
                <w:szCs w:val="29"/>
                <w:color w:val="auto"/>
                <w:vertAlign w:val="subscript"/>
              </w:rPr>
              <w:t>(5)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2,108</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color w:val="auto"/>
              </w:rPr>
              <w:t>2,281,626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16.77%</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2,281,626</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0"/>
                <w:szCs w:val="20"/>
                <w:color w:val="auto"/>
              </w:rPr>
            </w:pPr>
          </w:p>
        </w:tc>
        <w:tc>
          <w:tcPr>
            <w:tcW w:w="1220" w:type="dxa"/>
            <w:vAlign w:val="bottom"/>
            <w:gridSpan w:val="2"/>
          </w:tcPr>
          <w:p>
            <w:pPr>
              <w:ind w:left="10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outstanding shares of our common stock.</w:t>
      </w:r>
    </w:p>
    <w:p>
      <w:pPr>
        <w:spacing w:after="0" w:line="225" w:lineRule="exact"/>
        <w:rPr>
          <w:sz w:val="20"/>
          <w:szCs w:val="20"/>
          <w:color w:val="auto"/>
        </w:rPr>
      </w:pPr>
    </w:p>
    <w:p>
      <w:pPr>
        <w:jc w:val="both"/>
        <w:ind w:left="340" w:hanging="332"/>
        <w:spacing w:after="0" w:line="25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(i) 385,246 shares of common stock and (ii) options to purchase 1,360,517 shares of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Armistice Capital from exercising that portion of the warrants that would result in Armistice Capital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options to purchase an aggregate of 221,062 shares of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address of Intracoastal is 245 Palm Trail, Delray Beach, FL 33483.</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warrants to purchase shares of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address of CVI is c/o Heights Capital Management, Inc., 101 California Street, Suite 3250, San Francisco, CA 94111.</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selling stockholder is an affiliate of a registered broker-dealer.</w:t>
      </w:r>
    </w:p>
    <w:p>
      <w:pPr>
        <w:spacing w:after="0" w:line="9" w:lineRule="exact"/>
        <w:rPr>
          <w:rFonts w:ascii="Arial" w:cs="Arial" w:eastAsia="Arial" w:hAnsi="Arial"/>
          <w:sz w:val="18"/>
          <w:szCs w:val="18"/>
          <w:color w:val="auto"/>
        </w:rPr>
      </w:pPr>
    </w:p>
    <w:p>
      <w:pPr>
        <w:jc w:val="both"/>
        <w:ind w:left="340" w:hanging="332"/>
        <w:spacing w:after="0" w:line="25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warrants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the Selling Stockholders</w:t>
      </w:r>
    </w:p>
    <w:p>
      <w:pPr>
        <w:sectPr>
          <w:pgSz w:w="11900" w:h="16838" w:orient="portrait"/>
          <w:cols w:equalWidth="0" w:num="1">
            <w:col w:w="11240"/>
          </w:cols>
          <w:pgMar w:left="320" w:top="688" w:right="339" w:bottom="42"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88" w:right="339" w:bottom="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authorized capital stock consists of 60,000,000 shares of common stock, par value $0.01, of which 11,707,317 shares were issued and outstanding as of July 7, 2023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July 7, 2023, we had:</w:t>
      </w:r>
    </w:p>
    <w:p>
      <w:pPr>
        <w:spacing w:after="0" w:line="225" w:lineRule="exact"/>
        <w:rPr>
          <w:sz w:val="20"/>
          <w:szCs w:val="20"/>
          <w:color w:val="auto"/>
        </w:rPr>
      </w:pPr>
    </w:p>
    <w:p>
      <w:pPr>
        <w:ind w:left="6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1,529,304 shares of our common stock issuable upon the exercise of outstanding stock options granted to employees, directors and consultants, with exercise prices ranging from approximately $0.005 to $15.75 and having a weighted-average exercise price of $7.05 per share;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131,585 shares of our common stock reserved for future grant under our 2017 Equity Incentive Plan;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522,904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July 7, 2023, we had outstanding:</w:t>
      </w:r>
    </w:p>
    <w:p>
      <w:pPr>
        <w:spacing w:after="0" w:line="225" w:lineRule="exact"/>
        <w:rPr>
          <w:sz w:val="20"/>
          <w:szCs w:val="20"/>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$6.1125;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60,476 shares of our common stock issuable upon the exercise of outstanding warrants expiring in November 2026, at an exercise price per share of $2.75;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35,088 shares of our common stock issuable upon the exercise of outstanding warrants expiring in November 2026, at an exercise price per share of $2.6719;</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350,878 shares of our common stock issuable upon the exercise of outstanding series C preferred investment options expiring in December 2028, at an exercise price per share of $2.075;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312,309 shares of our common stock issuable upon the exercise of outstanding series D preferred investment options expiring in December 2028, at an exercise price per share of $3.19;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31,231 shares of our common stock issuable upon the exercise of outstanding warrants expiring in June 2028, at an exercise price per share of $4.0625.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of our common stock is Computershare Trust Company, N.A. Its address is 33 North LaSalle Street, Suite 1100, Chicago, IL 60602.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Law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Staggered Board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provisions for stockholder proposals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meetings of stockholders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stockholder action by written consent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Super-majority stockholder vote required for certain actions.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Section 174 of the DGCL;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Ruskin Moscou Faltischek, PC, Uniondale,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We also maintain a website at</w:t>
      </w:r>
      <w:r>
        <w:rPr>
          <w:rFonts w:ascii="Arial" w:cs="Arial" w:eastAsia="Arial" w:hAnsi="Arial"/>
          <w:sz w:val="18"/>
          <w:szCs w:val="18"/>
          <w:i w:val="1"/>
          <w:iCs w:val="1"/>
          <w:color w:val="auto"/>
        </w:rPr>
        <w:t xml:space="preserve"> http://www.microbotmedical.com</w:t>
      </w:r>
      <w:r>
        <w:rPr>
          <w:rFonts w:ascii="Arial" w:cs="Arial" w:eastAsia="Arial" w:hAnsi="Arial"/>
          <w:sz w:val="18"/>
          <w:szCs w:val="18"/>
          <w:color w:val="auto"/>
        </w:rPr>
        <w:t>, at which you may access these materials free of charge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(908) 967-6677.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S-1 under the Securities Act of 1933, as amended, with the SEC with respect to the securities being offered pursuant to this prospectus. This prospectus omits certain information contained in the registration statement, as permitted by the SEC. You should refer to the registration statement, including the exhibits, for further information about 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We are incorporating by reference the documents listed below, which we have already filed with the SEC, and all documents subsequently filed by us pursuant to Sections 13(a), 13(c), 14 or 15(d) of the Exchange Act, except as to any portion of any future report or document that is not deemed filed under such provisions, prior to the termination of the offering:</w:t>
      </w:r>
    </w:p>
    <w:p>
      <w:pPr>
        <w:spacing w:after="0" w:line="17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March 31, 2023;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8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17, 2023;</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3"/>
        </w:numPr>
        <w:rPr>
          <w:rFonts w:ascii="Arial" w:cs="Arial" w:eastAsia="Arial" w:hAnsi="Arial"/>
          <w:sz w:val="18"/>
          <w:szCs w:val="18"/>
          <w:color w:val="0000EE"/>
        </w:rPr>
      </w:pPr>
      <w:hyperlink r:id="rId82">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23,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18, 2023 May 22,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23,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24,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25,</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EE"/>
          </w:rPr>
          <w:t>2023</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3">
        <w:r>
          <w:rPr>
            <w:rFonts w:ascii="Arial" w:cs="Arial" w:eastAsia="Arial" w:hAnsi="Arial"/>
            <w:sz w:val="18"/>
            <w:szCs w:val="18"/>
            <w:u w:val="single" w:color="auto"/>
            <w:color w:val="0000EE"/>
          </w:rPr>
          <w:t>May 31, 2023</w:t>
        </w:r>
      </w:hyperlink>
      <w:hyperlink r:id="rId8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4">
        <w:r>
          <w:rPr>
            <w:rFonts w:ascii="Arial" w:cs="Arial" w:eastAsia="Arial" w:hAnsi="Arial"/>
            <w:sz w:val="18"/>
            <w:szCs w:val="18"/>
            <w:u w:val="single" w:color="auto"/>
            <w:color w:val="0000EE"/>
          </w:rPr>
          <w:t>June 2, 2023</w:t>
        </w:r>
      </w:hyperlink>
      <w:hyperlink r:id="rId8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5">
        <w:r>
          <w:rPr>
            <w:rFonts w:ascii="Arial" w:cs="Arial" w:eastAsia="Arial" w:hAnsi="Arial"/>
            <w:sz w:val="18"/>
            <w:szCs w:val="18"/>
            <w:u w:val="single" w:color="auto"/>
            <w:color w:val="0000EE"/>
          </w:rPr>
          <w:t>June 6, 2023</w:t>
        </w:r>
      </w:hyperlink>
      <w:hyperlink r:id="rId8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6">
        <w:r>
          <w:rPr>
            <w:rFonts w:ascii="Arial" w:cs="Arial" w:eastAsia="Arial" w:hAnsi="Arial"/>
            <w:sz w:val="18"/>
            <w:szCs w:val="18"/>
            <w:u w:val="single" w:color="auto"/>
            <w:color w:val="0000EE"/>
          </w:rPr>
          <w:t>June 16, 2023</w:t>
        </w:r>
      </w:hyperlink>
      <w:hyperlink r:id="rId8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7">
        <w:r>
          <w:rPr>
            <w:rFonts w:ascii="Arial" w:cs="Arial" w:eastAsia="Arial" w:hAnsi="Arial"/>
            <w:sz w:val="18"/>
            <w:szCs w:val="18"/>
            <w:u w:val="single" w:color="auto"/>
            <w:color w:val="0000EE"/>
          </w:rPr>
          <w:t xml:space="preserve">June 22, 2023 </w:t>
        </w:r>
      </w:hyperlink>
      <w:hyperlink r:id="rId82">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8">
        <w:r>
          <w:rPr>
            <w:rFonts w:ascii="Arial" w:cs="Arial" w:eastAsia="Arial" w:hAnsi="Arial"/>
            <w:sz w:val="18"/>
            <w:szCs w:val="18"/>
            <w:u w:val="single" w:color="auto"/>
            <w:color w:val="0000EE"/>
          </w:rPr>
          <w:t xml:space="preserve">June 29, 2023 </w:t>
        </w:r>
      </w:hyperlink>
      <w:hyperlink r:id="rId82">
        <w:r>
          <w:rPr>
            <w:rFonts w:ascii="Arial" w:cs="Arial" w:eastAsia="Arial" w:hAnsi="Arial"/>
            <w:sz w:val="18"/>
            <w:szCs w:val="18"/>
            <w:color w:val="000000"/>
          </w:rPr>
          <w:t>(except in each case for information contained</w:t>
        </w:r>
      </w:hyperlink>
      <w:r>
        <w:rPr>
          <w:rFonts w:ascii="Arial" w:cs="Arial" w:eastAsia="Arial" w:hAnsi="Arial"/>
          <w:sz w:val="18"/>
          <w:szCs w:val="18"/>
          <w:color w:val="0000EE"/>
        </w:rPr>
        <w:t xml:space="preserve"> </w:t>
      </w:r>
      <w:r>
        <w:rPr>
          <w:rFonts w:ascii="Arial" w:cs="Arial" w:eastAsia="Arial" w:hAnsi="Arial"/>
          <w:sz w:val="18"/>
          <w:szCs w:val="18"/>
          <w:color w:val="000000"/>
        </w:rPr>
        <w:t>therein which is furnished rather than filed); and</w:t>
      </w:r>
    </w:p>
    <w:p>
      <w:pPr>
        <w:spacing w:after="0" w:line="1" w:lineRule="exact"/>
        <w:rPr>
          <w:rFonts w:ascii="Arial" w:cs="Arial" w:eastAsia="Arial" w:hAnsi="Arial"/>
          <w:sz w:val="18"/>
          <w:szCs w:val="18"/>
          <w:color w:val="0000EE"/>
        </w:rPr>
      </w:pPr>
    </w:p>
    <w:p>
      <w:pPr>
        <w:ind w:left="660" w:hanging="328"/>
        <w:spacing w:after="0" w:line="2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auto"/>
        </w:rPr>
        <w:t>Form 8-A</w:t>
      </w:r>
      <w:r>
        <w:rPr>
          <w:rFonts w:ascii="Arial" w:cs="Arial" w:eastAsia="Arial" w:hAnsi="Arial"/>
          <w:sz w:val="18"/>
          <w:szCs w:val="18"/>
          <w:color w:val="auto"/>
        </w:rPr>
        <w:t>, filed with the SEC on August 3, 1998, including all amendments and reports filed for the purpose of updating such description.</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1438275</wp:posOffset>
            </wp:positionH>
            <wp:positionV relativeFrom="paragraph">
              <wp:posOffset>-858520</wp:posOffset>
            </wp:positionV>
            <wp:extent cx="511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511175" cy="889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-721360</wp:posOffset>
            </wp:positionV>
            <wp:extent cx="511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165" w:lineRule="exact"/>
        <w:rPr>
          <w:rFonts w:ascii="Arial" w:cs="Arial" w:eastAsia="Arial" w:hAnsi="Arial"/>
          <w:sz w:val="18"/>
          <w:szCs w:val="18"/>
          <w:color w:val="0000EE"/>
        </w:rPr>
      </w:pPr>
    </w:p>
    <w:p>
      <w:pPr>
        <w:jc w:val="both"/>
        <w:spacing w:after="0" w:line="255" w:lineRule="auto"/>
        <w:rPr>
          <w:sz w:val="20"/>
          <w:szCs w:val="20"/>
          <w:color w:val="auto"/>
        </w:rPr>
      </w:pPr>
      <w:r>
        <w:rPr>
          <w:rFonts w:ascii="Arial" w:cs="Arial" w:eastAsia="Arial" w:hAnsi="Arial"/>
          <w:sz w:val="18"/>
          <w:szCs w:val="18"/>
          <w:color w:val="auto"/>
        </w:rPr>
        <w:t>Any statement contained in this prospectus and any applicable prospectus supplement or in a document incorporated or deemed to be incorporated by reference into this prospectus and any applicable prospectus supplement will be deemed to be modified or superseded for purposes of this prospectus and any prospectus supplement to the extent that a statement contained in this prospectus and any applicable prospectus supplement or any other subsequently filed document that is deemed to be incorporated by reference into this prospectus and any applicable prospectus supplement modifies or supersedes the statement. Any statement so modified or superseded will not be deemed, except as so modified or superseded, to constitute a part of this prospectus and any applicable prospectus supplement.</w:t>
      </w:r>
    </w:p>
    <w:p>
      <w:pPr>
        <w:spacing w:after="0" w:line="192" w:lineRule="exact"/>
        <w:rPr>
          <w:rFonts w:ascii="Arial" w:cs="Arial" w:eastAsia="Arial" w:hAnsi="Arial"/>
          <w:sz w:val="18"/>
          <w:szCs w:val="18"/>
          <w:color w:val="0000EE"/>
        </w:rPr>
      </w:pPr>
    </w:p>
    <w:p>
      <w:pPr>
        <w:jc w:val="both"/>
        <w:spacing w:after="0" w:line="263" w:lineRule="auto"/>
        <w:rPr>
          <w:sz w:val="20"/>
          <w:szCs w:val="20"/>
          <w:color w:val="auto"/>
        </w:rPr>
      </w:pPr>
      <w:r>
        <w:rPr>
          <w:rFonts w:ascii="Arial" w:cs="Arial" w:eastAsia="Arial" w:hAnsi="Arial"/>
          <w:sz w:val="18"/>
          <w:szCs w:val="18"/>
          <w:color w:val="auto"/>
        </w:rPr>
        <w:t>We will furnish without charge to you, on written or oral request, a copy of any filing or report incorporated by reference, including exhibits to the document. You should direct any requests for documents to Microbot Medical Inc., 288 Grove Street, Suite 388, Braintree, MA 02184, (908) 967-6677, Attention: Harel Gadot.</w:t>
      </w:r>
    </w:p>
    <w:p>
      <w:pPr>
        <w:spacing w:after="0" w:line="184"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Amount Paid</w:t>
            </w:r>
          </w:p>
        </w:tc>
      </w:tr>
      <w:tr>
        <w:trPr>
          <w:trHeight w:val="241"/>
        </w:trPr>
        <w:tc>
          <w:tcPr>
            <w:tcW w:w="9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or to be Paid</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Printing expenses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r>
      <w:tr>
        <w:trPr>
          <w:trHeight w:val="249"/>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2,307.29*</w:t>
            </w:r>
          </w:p>
        </w:tc>
      </w:tr>
      <w:tr>
        <w:trPr>
          <w:trHeight w:val="217"/>
        </w:trPr>
        <w:tc>
          <w:tcPr>
            <w:tcW w:w="9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24,000.00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10"/>
          </w:tcPr>
          <w:p>
            <w:pPr>
              <w:ind w:left="460"/>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120" w:type="dxa"/>
            <w:vAlign w:val="bottom"/>
            <w:tcBorders>
              <w:bottom w:val="single" w:sz="8" w:color="0000EE"/>
            </w:tcBorders>
            <w:gridSpan w:val="16"/>
          </w:tcPr>
          <w:p>
            <w:pPr>
              <w:spacing w:after="0" w:line="176"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Microbot Medical Ltd. (incorporated by reference to the Company’s Current Report on Form 8-K filed on August 15, 2016).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fiscal 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Report on Form 8-K filed on November 29, 2016).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8-K filed on September 4, 2018).</w:t>
              </w:r>
            </w:hyperlink>
          </w:p>
        </w:tc>
        <w:tc>
          <w:tcPr>
            <w:tcW w:w="7740" w:type="dxa"/>
            <w:vAlign w:val="bottom"/>
            <w:gridSpan w:val="1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2016).</w:t>
              </w:r>
            </w:hyperlink>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Certificate of Elimination (incorporated by reference to the Company’s Current Report on Form 8-K filed on December 12,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8-K filed on September 11, 2019).</w:t>
              </w:r>
            </w:hyperlink>
          </w:p>
        </w:tc>
        <w:tc>
          <w:tcPr>
            <w:tcW w:w="766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Report on Form 8-K filed on May 3,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ended December 31,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92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Form of Series A Warrant (incorporated by reference to the Registrant’s Current Report on Form 8-K filed on October 25, 2022)</w:t>
              </w:r>
            </w:hyperlink>
          </w:p>
        </w:tc>
        <w:tc>
          <w:tcPr>
            <w:tcW w:w="90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7"/>
                <w:szCs w:val="17"/>
                <w:color w:val="auto"/>
              </w:rPr>
            </w:pPr>
          </w:p>
        </w:tc>
        <w:tc>
          <w:tcPr>
            <w:tcW w:w="94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Form of Wainwright Warrant (incorporated by reference to the Registrant’s Current Report on Form 8-K filed on October 25, 2022)</w:t>
              </w:r>
            </w:hyperlink>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900" w:type="dxa"/>
            <w:vAlign w:val="bottom"/>
            <w:gridSpan w:val="9"/>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900" w:type="dxa"/>
            <w:vAlign w:val="bottom"/>
            <w:gridSpan w:val="9"/>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Form of Warrant Amendment Agreement (incorporated by reference to the Registrant’s Current Report on Form 8-K filed on May 24, 2023)</w:t>
              </w:r>
            </w:hyperlink>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7"/>
                <w:szCs w:val="17"/>
                <w:color w:val="auto"/>
              </w:rPr>
            </w:pPr>
          </w:p>
        </w:tc>
        <w:tc>
          <w:tcPr>
            <w:tcW w:w="101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Form of Series C Warrant (incorporated by reference to the Registrant’s Current Report on Form 8-K filed on June 6, 2023)</w:t>
              </w:r>
            </w:hyperlink>
          </w:p>
        </w:tc>
        <w:tc>
          <w:tcPr>
            <w:tcW w:w="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90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7"/>
                <w:szCs w:val="17"/>
                <w:color w:val="auto"/>
              </w:rPr>
            </w:pPr>
          </w:p>
        </w:tc>
        <w:tc>
          <w:tcPr>
            <w:tcW w:w="91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Form of Wainwright Warrant (incorporated by reference to the Registrant’s Current Report on Form 8-K filed on June 6, 2023)</w:t>
              </w:r>
            </w:hyperlink>
          </w:p>
        </w:tc>
        <w:tc>
          <w:tcPr>
            <w:tcW w:w="100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Form of Series D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0" w:type="dxa"/>
            <w:vAlign w:val="bottom"/>
            <w:gridSpan w:val="10"/>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Form of Wainwright Warrant (incorporated by reference to the Registrant’s Current Report on Form 8-K filed on June 28, 2023)</w:t>
              </w:r>
            </w:hyperlink>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0"/>
                <w:szCs w:val="20"/>
                <w:color w:val="auto"/>
              </w:rPr>
            </w:pPr>
          </w:p>
        </w:tc>
        <w:tc>
          <w:tcPr>
            <w:tcW w:w="92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Opinion of Ruskin Moscou Faltischek, PC</w:t>
            </w:r>
          </w:p>
        </w:tc>
        <w:tc>
          <w:tcPr>
            <w:tcW w:w="920" w:type="dxa"/>
            <w:vAlign w:val="bottom"/>
            <w:gridSpan w:val="5"/>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left="900" w:hanging="772"/>
        <w:spacing w:after="0" w:line="258"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14">
        <w:r>
          <w:rPr>
            <w:rFonts w:ascii="Arial" w:cs="Arial" w:eastAsia="Arial" w:hAnsi="Arial"/>
            <w:sz w:val="18"/>
            <w:szCs w:val="18"/>
            <w:u w:val="single" w:color="auto"/>
            <w:color w:val="0000EE"/>
          </w:rPr>
          <w:t>Form of Indemnification Agreement, between the Company and each of its Directors and Officers (incorporated by reference to the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Company’s Current Report on Form 8-K filed on November 29, 2016).</w:t>
        </w:r>
      </w:hyperlink>
    </w:p>
    <w:p>
      <w:pPr>
        <w:spacing w:after="0" w:line="1" w:lineRule="exact"/>
        <w:rPr>
          <w:sz w:val="20"/>
          <w:szCs w:val="20"/>
          <w:color w:val="auto"/>
        </w:rPr>
      </w:pPr>
    </w:p>
    <w:p>
      <w:pPr>
        <w:ind w:left="1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15">
        <w:r>
          <w:rPr>
            <w:rFonts w:ascii="Arial" w:cs="Arial" w:eastAsia="Arial" w:hAnsi="Arial"/>
            <w:sz w:val="16"/>
            <w:szCs w:val="16"/>
            <w:u w:val="single" w:color="auto"/>
            <w:color w:val="0000EE"/>
          </w:rPr>
          <w:t>Employment Agreement with Harel Gadot (incorporated by reference to the Company’s Current Report on Form 8-K filed on November 29,</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2016).</w:t>
        </w:r>
      </w:hyperlink>
    </w:p>
    <w:p>
      <w:pPr>
        <w:spacing w:after="0" w:line="9" w:lineRule="exact"/>
        <w:rPr>
          <w:sz w:val="20"/>
          <w:szCs w:val="20"/>
          <w:color w:val="auto"/>
        </w:rPr>
      </w:pPr>
    </w:p>
    <w:p>
      <w:pPr>
        <w:jc w:val="both"/>
        <w:ind w:left="900" w:hanging="77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16">
        <w:r>
          <w:rPr>
            <w:rFonts w:ascii="Arial" w:cs="Arial" w:eastAsia="Arial" w:hAnsi="Arial"/>
            <w:sz w:val="18"/>
            <w:szCs w:val="18"/>
            <w:u w:val="single" w:color="auto"/>
            <w:color w:val="0000EE"/>
          </w:rPr>
          <w:t>License Agreement, dated June 20, 2012, by and between Technion Research and Development Foundation, and Microbot Medical Ltd.</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(incorporated by reference to the Company’s Annual Report on Form 10-K for the fiscal year ended December 31, 2016 and filed on March</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21, 2017).</w:t>
        </w:r>
      </w:hyperlink>
    </w:p>
    <w:p>
      <w:pPr>
        <w:spacing w:after="0" w:line="1" w:lineRule="exact"/>
        <w:rPr>
          <w:rFonts w:ascii="Arial" w:cs="Arial" w:eastAsia="Arial" w:hAnsi="Arial"/>
          <w:sz w:val="18"/>
          <w:szCs w:val="18"/>
          <w:u w:val="single" w:color="auto"/>
          <w:color w:val="0000EE"/>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17">
        <w:r>
          <w:rPr>
            <w:rFonts w:ascii="Arial" w:cs="Arial" w:eastAsia="Arial" w:hAnsi="Arial"/>
            <w:sz w:val="18"/>
            <w:szCs w:val="18"/>
            <w:u w:val="single" w:color="auto"/>
            <w:color w:val="0000EE"/>
          </w:rPr>
          <w:t>Form of Stock Option Agreement under the Microbot Medical Inc. 2017 Equity Incentive Plan (incorporated by reference to the Company’s</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Quarterly Report on Form 10-Q for the Quarter ended September 30, 2017, filed on November 14, 2017).</w:t>
        </w:r>
      </w:hyperlink>
    </w:p>
    <w:p>
      <w:pPr>
        <w:spacing w:after="0" w:line="1" w:lineRule="exact"/>
        <w:rPr>
          <w:sz w:val="20"/>
          <w:szCs w:val="20"/>
          <w:color w:val="auto"/>
        </w:rPr>
      </w:pPr>
    </w:p>
    <w:p>
      <w:pPr>
        <w:ind w:left="900" w:hanging="77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18">
        <w:r>
          <w:rPr>
            <w:rFonts w:ascii="Arial" w:cs="Arial" w:eastAsia="Arial" w:hAnsi="Arial"/>
            <w:sz w:val="18"/>
            <w:szCs w:val="18"/>
            <w:u w:val="single" w:color="auto"/>
            <w:color w:val="0000EE"/>
          </w:rPr>
          <w:t>Agreement, dated January 4, 2018, by and between CardioSert Ltd. and Microbot Medical Ltd. (incorporated by reference to the Company’s</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Current Report on Form 8-K filed on January 8, 2018).</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18">
        <w:r>
          <w:rPr>
            <w:rFonts w:ascii="Arial" w:cs="Arial" w:eastAsia="Arial" w:hAnsi="Arial"/>
            <w:sz w:val="18"/>
            <w:szCs w:val="18"/>
            <w:u w:val="single" w:color="auto"/>
            <w:color w:val="0000EE"/>
          </w:rPr>
          <w:t>Employment Agreement with Dr. Eyal Morag (incorporated by reference to the Registrant’s Annual Report on Form 10-K for the fiscal year</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ended December 31, 2019 filed on April 14, 2020).</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19">
        <w:r>
          <w:rPr>
            <w:rFonts w:ascii="Arial" w:cs="Arial" w:eastAsia="Arial" w:hAnsi="Arial"/>
            <w:sz w:val="18"/>
            <w:szCs w:val="18"/>
            <w:u w:val="single" w:color="auto"/>
            <w:color w:val="0000EE"/>
          </w:rPr>
          <w:t>Microbot Medical Inc. 2017 Equity Incentive Plan (incorporated by reference to Exhibit A of the Company’s Definitive Proxy Statement on</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Schedule 14A filed on August 11, 2017).</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0">
        <w:r>
          <w:rPr>
            <w:rFonts w:ascii="Arial" w:cs="Arial" w:eastAsia="Arial" w:hAnsi="Arial"/>
            <w:sz w:val="18"/>
            <w:szCs w:val="18"/>
            <w:u w:val="single" w:color="auto"/>
            <w:color w:val="0000EE"/>
          </w:rPr>
          <w:t>Microbot Medical Inc. 2020 Omnibus Performance Award Plan (incorporated by reference to Exhibit A of the Company’s definitive Proxy</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Statement on Schedule 14A filed on July 31, 2020)</w:t>
        </w:r>
      </w:hyperlink>
    </w:p>
    <w:p>
      <w:pPr>
        <w:spacing w:after="0" w:line="1" w:lineRule="exact"/>
        <w:rPr>
          <w:sz w:val="20"/>
          <w:szCs w:val="20"/>
          <w:color w:val="auto"/>
        </w:rPr>
      </w:pPr>
    </w:p>
    <w:p>
      <w:pPr>
        <w:jc w:val="both"/>
        <w:ind w:left="900" w:hanging="817"/>
        <w:spacing w:after="0" w:line="265"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121">
        <w:r>
          <w:rPr>
            <w:rFonts w:ascii="Arial" w:cs="Arial" w:eastAsia="Arial" w:hAnsi="Arial"/>
            <w:sz w:val="17"/>
            <w:szCs w:val="17"/>
            <w:u w:val="single" w:color="auto"/>
            <w:color w:val="0000EE"/>
          </w:rPr>
          <w:t>Form of Restricted Stock Unit Award Agreement under the Microbot Medical Inc. 2020 Omnibus Performance Award Plan (incorporated by</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reference to Exhibit 4.2 of the registration Statement on Form S-8 of the Company filed on November 25, 2020)</w:t>
        </w:r>
      </w:hyperlink>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2">
        <w:r>
          <w:rPr>
            <w:rFonts w:ascii="Arial" w:cs="Arial" w:eastAsia="Arial" w:hAnsi="Arial"/>
            <w:sz w:val="18"/>
            <w:szCs w:val="18"/>
            <w:u w:val="single" w:color="auto"/>
            <w:color w:val="0000EE"/>
          </w:rPr>
          <w:t>Form of NQO Award Agreement under the Microbot Medical Ltd. 2020 Omnibus Performance Award Plan (incorporated by reference to</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900" w:hanging="859"/>
        <w:spacing w:after="0" w:line="265"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10.11*</w:t>
      </w:r>
      <w:r>
        <w:rPr>
          <w:sz w:val="20"/>
          <w:szCs w:val="20"/>
          <w:color w:val="auto"/>
        </w:rPr>
        <w:tab/>
      </w:r>
      <w:hyperlink r:id="rId123">
        <w:r>
          <w:rPr>
            <w:rFonts w:ascii="Arial" w:cs="Arial" w:eastAsia="Arial" w:hAnsi="Arial"/>
            <w:sz w:val="17"/>
            <w:szCs w:val="17"/>
            <w:u w:val="single" w:color="auto"/>
            <w:color w:val="0000EE"/>
          </w:rPr>
          <w:t>Form of Restricted Stock Award Agreement under the Microbot Medical Ltd. 2020 Omnibus Performance Award Plan (incorporated by</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reference to Exhibit 4.4 of the registration Statement on Form S-8 of the Company filed on November 25, 2020)</w:t>
        </w:r>
      </w:hyperlink>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4">
        <w:r>
          <w:rPr>
            <w:rFonts w:ascii="Arial" w:cs="Arial" w:eastAsia="Arial" w:hAnsi="Arial"/>
            <w:sz w:val="18"/>
            <w:szCs w:val="18"/>
            <w:u w:val="single" w:color="auto"/>
            <w:color w:val="0000EE"/>
          </w:rPr>
          <w:t>Form of SAR Award Agreement under the Microbot Medical Ltd. 2020 Omnibus Performance Award Plan (incorporated by reference to</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5">
        <w:r>
          <w:rPr>
            <w:rFonts w:ascii="Arial" w:cs="Arial" w:eastAsia="Arial" w:hAnsi="Arial"/>
            <w:sz w:val="18"/>
            <w:szCs w:val="18"/>
            <w:u w:val="single" w:color="auto"/>
            <w:color w:val="0000EE"/>
          </w:rPr>
          <w:t>Form of ISO Award Agreement under the Microbot Medical Ltd. 2020 Omnibus Performance Award Plan (incorporated by reference to</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6">
        <w:r>
          <w:rPr>
            <w:rFonts w:ascii="Arial" w:cs="Arial" w:eastAsia="Arial" w:hAnsi="Arial"/>
            <w:sz w:val="18"/>
            <w:szCs w:val="18"/>
            <w:u w:val="single" w:color="auto"/>
            <w:color w:val="0000EE"/>
          </w:rPr>
          <w:t>Employment Agreement, as of March 31, 2018, with Simon Sharon (incorporated by reference to Exhibit 10.1 of the Company’s Form 8-K</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filed on April 7, 2021)</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27">
        <w:r>
          <w:rPr>
            <w:rFonts w:ascii="Arial" w:cs="Arial" w:eastAsia="Arial" w:hAnsi="Arial"/>
            <w:sz w:val="18"/>
            <w:szCs w:val="18"/>
            <w:u w:val="single" w:color="auto"/>
            <w:color w:val="0000EE"/>
          </w:rPr>
          <w:t>First Amendment to Employment Agreement, dated as of April 19, 2021, with Simon Sharon (incorporated by reference to Exhibit 10.1 of</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 Company’s Form 8-K filed on April 22, 2021)</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28">
        <w:r>
          <w:rPr>
            <w:rFonts w:ascii="Arial" w:cs="Arial" w:eastAsia="Arial" w:hAnsi="Arial"/>
            <w:sz w:val="18"/>
            <w:szCs w:val="18"/>
            <w:u w:val="single" w:color="auto"/>
            <w:color w:val="0000EE"/>
          </w:rPr>
          <w:t>At the Market Offering Agreement, dated June 10, 2021, by and between Microbot Medical Inc. and H.C. Wainwright &amp; Co., LLC</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900" w:hanging="90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29">
        <w:r>
          <w:rPr>
            <w:rFonts w:ascii="Arial" w:cs="Arial" w:eastAsia="Arial" w:hAnsi="Arial"/>
            <w:sz w:val="18"/>
            <w:szCs w:val="18"/>
            <w:u w:val="single" w:color="auto"/>
            <w:color w:val="0000EE"/>
          </w:rPr>
          <w:t>Strategic Collaboration Agreement for Technology Co-Development with Stryker Corporation, acting through its Neurovascular Division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1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30">
        <w:r>
          <w:rPr>
            <w:rFonts w:ascii="Arial" w:cs="Arial" w:eastAsia="Arial" w:hAnsi="Arial"/>
            <w:sz w:val="16"/>
            <w:szCs w:val="16"/>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8-K filed on October 7, 2022)</w:t>
        </w:r>
      </w:hyperlink>
    </w:p>
    <w:p>
      <w:pPr>
        <w:spacing w:after="0" w:line="9" w:lineRule="exact"/>
        <w:rPr>
          <w:sz w:val="20"/>
          <w:szCs w:val="20"/>
          <w:color w:val="auto"/>
        </w:rPr>
      </w:pPr>
    </w:p>
    <w:p>
      <w:pPr>
        <w:ind w:left="40"/>
        <w:spacing w:after="0"/>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131">
        <w:r>
          <w:rPr>
            <w:rFonts w:ascii="Arial" w:cs="Arial" w:eastAsia="Arial" w:hAnsi="Arial"/>
            <w:sz w:val="17"/>
            <w:szCs w:val="17"/>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2022)</w:t>
        </w:r>
      </w:hyperlink>
    </w:p>
    <w:p>
      <w:pPr>
        <w:spacing w:after="0" w:line="9"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32">
        <w:r>
          <w:rPr>
            <w:rFonts w:ascii="Arial" w:cs="Arial" w:eastAsia="Arial" w:hAnsi="Arial"/>
            <w:sz w:val="18"/>
            <w:szCs w:val="18"/>
            <w:u w:val="single" w:color="auto"/>
            <w:color w:val="0000EE"/>
          </w:rPr>
          <w:t>Second Amendment to Employment Agreement with Harel Gadot (incorporated by reference to the Company’s Current Report on Form 8-K</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filed on February 1, 2022)</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3">
        <w:r>
          <w:rPr>
            <w:rFonts w:ascii="Arial" w:cs="Arial" w:eastAsia="Arial" w:hAnsi="Arial"/>
            <w:sz w:val="18"/>
            <w:szCs w:val="18"/>
            <w:u w:val="single" w:color="auto"/>
            <w:color w:val="0000EE"/>
          </w:rPr>
          <w:t>Letter Agreements dated March 18, 2021 between Microbot Medical Ltd. and Technion Research and Development Foundation Ltd.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(incorporated by reference to the Company’s Annual Report on Form 10-K for the Fiscal Year ended December 31, 2022, filed on March 31,</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2023)</w:t>
        </w:r>
      </w:hyperlink>
    </w:p>
    <w:p>
      <w:pPr>
        <w:spacing w:after="0" w:line="1" w:lineRule="exact"/>
        <w:rPr>
          <w:rFonts w:ascii="Arial" w:cs="Arial" w:eastAsia="Arial" w:hAnsi="Arial"/>
          <w:sz w:val="18"/>
          <w:szCs w:val="18"/>
          <w:u w:val="single" w:color="auto"/>
          <w:color w:val="0000EE"/>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34">
        <w:r>
          <w:rPr>
            <w:rFonts w:ascii="Arial" w:cs="Arial" w:eastAsia="Arial" w:hAnsi="Arial"/>
            <w:sz w:val="18"/>
            <w:szCs w:val="18"/>
            <w:u w:val="single" w:color="auto"/>
            <w:color w:val="0000EE"/>
          </w:rPr>
          <w:t>Form of Securities Purchase Agreement, dated as of October 21, 2022, by and among Microbot Medical Inc. and the purchaser party thereto</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35">
        <w:r>
          <w:rPr>
            <w:rFonts w:ascii="Arial" w:cs="Arial" w:eastAsia="Arial" w:hAnsi="Arial"/>
            <w:sz w:val="18"/>
            <w:szCs w:val="18"/>
            <w:u w:val="single" w:color="auto"/>
            <w:color w:val="0000EE"/>
          </w:rPr>
          <w:t>Addendum to Employment Agreement with Rachel Vaknin (incorporated by reference to the Company’s Current Report on Form 8-K filed</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on May 22, 2023)</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36">
        <w:r>
          <w:rPr>
            <w:rFonts w:ascii="Arial" w:cs="Arial" w:eastAsia="Arial" w:hAnsi="Arial"/>
            <w:sz w:val="18"/>
            <w:szCs w:val="18"/>
            <w:u w:val="single" w:color="auto"/>
            <w:color w:val="0000EE"/>
          </w:rPr>
          <w:t>Addendum to Employment Agreement with Simon Sharon (incorporated by reference to the Company’s Current Report on Form 8-K filed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on May 22, 2023)</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37">
        <w:r>
          <w:rPr>
            <w:rFonts w:ascii="Arial" w:cs="Arial" w:eastAsia="Arial" w:hAnsi="Arial"/>
            <w:sz w:val="18"/>
            <w:szCs w:val="18"/>
            <w:u w:val="single" w:color="auto"/>
            <w:color w:val="0000EE"/>
          </w:rPr>
          <w:t>Addendum to Employment Agreement with Eyal Morag (incorporated by reference to the Company’s Current Report on Form 8-K filed on</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May 22, 2023)</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38">
        <w:r>
          <w:rPr>
            <w:rFonts w:ascii="Arial" w:cs="Arial" w:eastAsia="Arial" w:hAnsi="Arial"/>
            <w:sz w:val="18"/>
            <w:szCs w:val="18"/>
            <w:u w:val="single" w:color="auto"/>
            <w:color w:val="0000EE"/>
          </w:rPr>
          <w:t>Addendum to Employment Agreement with Eyal Morag. (incorporated by reference to the Company’s Current Report on Form 8-K filed on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May 22, 2023)</w:t>
        </w:r>
      </w:hyperlink>
    </w:p>
    <w:p>
      <w:pPr>
        <w:spacing w:after="0" w:line="1" w:lineRule="exact"/>
        <w:rPr>
          <w:sz w:val="20"/>
          <w:szCs w:val="20"/>
          <w:color w:val="auto"/>
        </w:rPr>
      </w:pPr>
    </w:p>
    <w:p>
      <w:pPr>
        <w:ind w:left="900" w:hanging="817"/>
        <w:spacing w:after="0" w:line="26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39">
        <w:r>
          <w:rPr>
            <w:rFonts w:ascii="Arial" w:cs="Arial" w:eastAsia="Arial" w:hAnsi="Arial"/>
            <w:sz w:val="18"/>
            <w:szCs w:val="18"/>
            <w:u w:val="single" w:color="auto"/>
            <w:color w:val="0000EE"/>
          </w:rPr>
          <w:t>Form of Securities Purchase Agreement, dated as of May 22, 2023, by and among Microbot Medical Inc. and the purchasers party thereto</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(incorporated by reference to the Registrant’s Current Report on Form 8-K filed on May 23, 2023)</w:t>
        </w:r>
      </w:hyperlink>
    </w:p>
    <w:p>
      <w:pPr>
        <w:spacing w:after="0" w:line="21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20" w:top="692" w:right="339" w:bottom="1440" w:gutter="0" w:footer="0" w:header="0"/>
        </w:sectPr>
      </w:pPr>
    </w:p>
    <w:bookmarkStart w:id="59" w:name="page60"/>
    <w:bookmarkEnd w:id="59"/>
    <w:p>
      <w:pPr>
        <w:ind w:left="1100" w:hanging="817"/>
        <w:spacing w:after="0" w:line="258"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41">
        <w:r>
          <w:rPr>
            <w:rFonts w:ascii="Arial" w:cs="Arial" w:eastAsia="Arial" w:hAnsi="Arial"/>
            <w:sz w:val="18"/>
            <w:szCs w:val="18"/>
            <w:u w:val="single" w:color="auto"/>
            <w:color w:val="0000EE"/>
          </w:rPr>
          <w:t>Form of Securities Purchase Agreement, dated as of May 23, 2023, by and among Microbot Medical Inc. and the purchaser party thereto</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17"/>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42">
        <w:r>
          <w:rPr>
            <w:rFonts w:ascii="Arial" w:cs="Arial" w:eastAsia="Arial" w:hAnsi="Arial"/>
            <w:sz w:val="18"/>
            <w:szCs w:val="18"/>
            <w:u w:val="single" w:color="auto"/>
            <w:color w:val="0000EE"/>
          </w:rPr>
          <w:t>Form of Securities Purchase Agreement, dated as of June 2, 2023, by and among Microbot Medical Inc. and the purchasers party thereto</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17"/>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43">
        <w:r>
          <w:rPr>
            <w:rFonts w:ascii="Arial" w:cs="Arial" w:eastAsia="Arial" w:hAnsi="Arial"/>
            <w:sz w:val="18"/>
            <w:szCs w:val="18"/>
            <w:u w:val="single" w:color="auto"/>
            <w:color w:val="0000EE"/>
          </w:rPr>
          <w:t>Form of Securities Purchase Agreement, dated as of June 26, 2023, by and among Microbot Medical Inc. and the purchasers party thereto</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144">
        <w:r>
          <w:rPr>
            <w:rFonts w:ascii="Arial" w:cs="Arial" w:eastAsia="Arial" w:hAnsi="Arial"/>
            <w:sz w:val="16"/>
            <w:szCs w:val="16"/>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Independent Registered Public Accounting Firm</w:t>
      </w:r>
    </w:p>
    <w:p>
      <w:pPr>
        <w:spacing w:after="0" w:line="9"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Ruskin Moscou Faltischek PC (included in Exhibit 5.1)</w:t>
      </w:r>
    </w:p>
    <w:p>
      <w:pPr>
        <w:spacing w:after="0" w:line="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(included on signature page)</w:t>
      </w:r>
    </w:p>
    <w:p>
      <w:pPr>
        <w:spacing w:after="0" w:line="9" w:lineRule="exact"/>
        <w:rPr>
          <w:sz w:val="20"/>
          <w:szCs w:val="20"/>
          <w:color w:val="auto"/>
        </w:rPr>
      </w:pPr>
    </w:p>
    <w:p>
      <w:pPr>
        <w:ind w:left="1100" w:hanging="741"/>
        <w:spacing w:after="0"/>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5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“Act”);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097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15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67" w:lineRule="exact"/>
        <w:rPr>
          <w:sz w:val="20"/>
          <w:szCs w:val="20"/>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548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50" w:lineRule="exact"/>
        <w:rPr>
          <w:sz w:val="20"/>
          <w:szCs w:val="20"/>
          <w:color w:val="auto"/>
        </w:rPr>
      </w:pPr>
    </w:p>
    <w:p>
      <w:pPr>
        <w:jc w:val="both"/>
        <w:ind w:left="660" w:hanging="328"/>
        <w:spacing w:after="0" w:line="291"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66"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-1791335</wp:posOffset>
            </wp:positionV>
            <wp:extent cx="7132320" cy="960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0">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68" w:lineRule="exact"/>
        <w:rPr>
          <w:sz w:val="20"/>
          <w:szCs w:val="20"/>
          <w:color w:val="auto"/>
        </w:rPr>
      </w:pPr>
    </w:p>
    <w:p>
      <w:pPr>
        <w:jc w:val="both"/>
        <w:ind w:left="340" w:hanging="332"/>
        <w:spacing w:after="0" w:line="25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July 11, 2023.</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Harel Gadot and Rachel Vaknin as his or her true and lawful attorneys-in-fact and agents, each with the full power of substitution, for him of her and in his or her name, place or stead, in any and all capacities, to sign any and all amendments to this registration statement (including post-effective amendments), and any subsequent registration statement filed by the registrant pursuant to Rule 462(b) of the Securities Act of 1933, as amended, which relates to this registration statement,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or her substitute or substitutes, may lawfully do or cause to be done by virtue hereof.</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4840" w:type="dxa"/>
            <w:vAlign w:val="bottom"/>
            <w:gridSpan w:val="2"/>
          </w:tcPr>
          <w:p>
            <w:pPr>
              <w:ind w:left="1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4"/>
        </w:trPr>
        <w:tc>
          <w:tcPr>
            <w:tcW w:w="3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shd w:val="clear" w:color="auto" w:fill="000000"/>
          </w:tcPr>
          <w:p>
            <w:pPr>
              <w:spacing w:after="0"/>
              <w:rPr>
                <w:sz w:val="2"/>
                <w:szCs w:val="2"/>
                <w:color w:val="auto"/>
              </w:rPr>
            </w:pPr>
          </w:p>
        </w:tc>
      </w:tr>
      <w:tr>
        <w:trPr>
          <w:trHeight w:val="452"/>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Chairman, President and Chief Executive Officer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11, 2023</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Harel Gadot</w:t>
            </w:r>
          </w:p>
        </w:tc>
        <w:tc>
          <w:tcPr>
            <w:tcW w:w="48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Rachel Vaknin</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11, 2023</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Rachel Vaknin</w:t>
            </w:r>
          </w:p>
        </w:tc>
        <w:tc>
          <w:tcPr>
            <w:tcW w:w="48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Yoseph Bornstein</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11, 2023</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Yoseph Bornstein</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Prattipati Laxminarain</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11, 2023</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Prattipati Laxminarain</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Burell</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11, 2023</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Scott Burell</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Madden</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11, 2023</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Aileen Stockburger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11, 2023</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Aileen Stockburger</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Tal Wenderow</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11, 2023</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Tal Wenderow</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1"/>
        </w:trPr>
        <w:tc>
          <w:tcPr>
            <w:tcW w:w="3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S-1 of our report dated March 31, 2023, relating to the financial statements of Microbot Medical Inc. appearing in the Annual Report on Form 10-K of Microbot Medical Inc. for the year ended December 31, 2022.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Fee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Calculation</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Rule or</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Maximum</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Carry</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 of</w:t>
            </w:r>
          </w:p>
        </w:tc>
      </w:tr>
      <w:tr>
        <w:trPr>
          <w:trHeight w:val="216"/>
        </w:trPr>
        <w:tc>
          <w:tcPr>
            <w:tcW w:w="15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18"/>
                <w:szCs w:val="18"/>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Security</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Forward</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7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Per</w:t>
            </w:r>
          </w:p>
        </w:tc>
        <w:tc>
          <w:tcPr>
            <w:tcW w:w="2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Registration</w:t>
            </w:r>
          </w:p>
        </w:tc>
      </w:tr>
      <w:tr>
        <w:trPr>
          <w:trHeight w:val="277"/>
        </w:trPr>
        <w:tc>
          <w:tcPr>
            <w:tcW w:w="15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5"/>
              </w:rPr>
              <w:t>Type</w:t>
            </w:r>
          </w:p>
        </w:tc>
        <w:tc>
          <w:tcPr>
            <w:tcW w:w="180" w:type="dxa"/>
            <w:vAlign w:val="bottom"/>
          </w:tcPr>
          <w:p>
            <w:pPr>
              <w:spacing w:after="0"/>
              <w:rPr>
                <w:sz w:val="24"/>
                <w:szCs w:val="2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Class Title</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Rule</w:t>
            </w:r>
          </w:p>
        </w:tc>
        <w:tc>
          <w:tcPr>
            <w:tcW w:w="1300" w:type="dxa"/>
            <w:vAlign w:val="bottom"/>
            <w:gridSpan w:val="2"/>
          </w:tcPr>
          <w:p>
            <w:pPr>
              <w:jc w:val="center"/>
              <w:ind w:right="280"/>
              <w:spacing w:after="0" w:line="270" w:lineRule="exact"/>
              <w:rPr>
                <w:sz w:val="20"/>
                <w:szCs w:val="20"/>
                <w:color w:val="auto"/>
              </w:rPr>
            </w:pPr>
            <w:r>
              <w:rPr>
                <w:rFonts w:ascii="Arial" w:cs="Arial" w:eastAsia="Arial" w:hAnsi="Arial"/>
                <w:sz w:val="18"/>
                <w:szCs w:val="18"/>
                <w:b w:val="1"/>
                <w:bCs w:val="1"/>
                <w:color w:val="auto"/>
                <w:w w:val="83"/>
              </w:rPr>
              <w:t xml:space="preserve">Registered </w:t>
            </w:r>
            <w:r>
              <w:rPr>
                <w:rFonts w:ascii="Arial" w:cs="Arial" w:eastAsia="Arial" w:hAnsi="Arial"/>
                <w:sz w:val="29"/>
                <w:szCs w:val="29"/>
                <w:b w:val="1"/>
                <w:bCs w:val="1"/>
                <w:color w:val="auto"/>
                <w:w w:val="83"/>
                <w:vertAlign w:val="superscript"/>
              </w:rPr>
              <w:t>(1)</w:t>
            </w:r>
          </w:p>
        </w:tc>
        <w:tc>
          <w:tcPr>
            <w:tcW w:w="120" w:type="dxa"/>
            <w:vAlign w:val="bottom"/>
          </w:tcPr>
          <w:p>
            <w:pPr>
              <w:spacing w:after="0"/>
              <w:rPr>
                <w:sz w:val="24"/>
                <w:szCs w:val="24"/>
                <w:color w:val="auto"/>
              </w:rPr>
            </w:pPr>
          </w:p>
        </w:tc>
        <w:tc>
          <w:tcPr>
            <w:tcW w:w="700" w:type="dxa"/>
            <w:vAlign w:val="bottom"/>
          </w:tcPr>
          <w:p>
            <w:pPr>
              <w:jc w:val="center"/>
              <w:ind w:right="50"/>
              <w:spacing w:after="0" w:line="270" w:lineRule="exact"/>
              <w:rPr>
                <w:sz w:val="20"/>
                <w:szCs w:val="20"/>
                <w:color w:val="auto"/>
              </w:rPr>
            </w:pPr>
            <w:r>
              <w:rPr>
                <w:rFonts w:ascii="Arial" w:cs="Arial" w:eastAsia="Arial" w:hAnsi="Arial"/>
                <w:sz w:val="18"/>
                <w:szCs w:val="18"/>
                <w:b w:val="1"/>
                <w:bCs w:val="1"/>
                <w:color w:val="auto"/>
                <w:w w:val="88"/>
              </w:rPr>
              <w:t>Unit</w:t>
            </w:r>
            <w:r>
              <w:rPr>
                <w:rFonts w:ascii="Arial" w:cs="Arial" w:eastAsia="Arial" w:hAnsi="Arial"/>
                <w:sz w:val="29"/>
                <w:szCs w:val="29"/>
                <w:b w:val="1"/>
                <w:bCs w:val="1"/>
                <w:color w:val="auto"/>
                <w:w w:val="88"/>
                <w:vertAlign w:val="superscript"/>
              </w:rPr>
              <w:t>(2)</w:t>
            </w:r>
          </w:p>
        </w:tc>
        <w:tc>
          <w:tcPr>
            <w:tcW w:w="240" w:type="dxa"/>
            <w:vAlign w:val="bottom"/>
          </w:tcPr>
          <w:p>
            <w:pPr>
              <w:spacing w:after="0"/>
              <w:rPr>
                <w:sz w:val="24"/>
                <w:szCs w:val="24"/>
                <w:color w:val="auto"/>
              </w:rPr>
            </w:pPr>
          </w:p>
        </w:tc>
        <w:tc>
          <w:tcPr>
            <w:tcW w:w="1100" w:type="dxa"/>
            <w:vAlign w:val="bottom"/>
            <w:gridSpan w:val="2"/>
          </w:tcPr>
          <w:p>
            <w:pPr>
              <w:jc w:val="center"/>
              <w:ind w:right="240"/>
              <w:spacing w:after="0" w:line="270" w:lineRule="exact"/>
              <w:rPr>
                <w:sz w:val="20"/>
                <w:szCs w:val="20"/>
                <w:color w:val="auto"/>
              </w:rPr>
            </w:pPr>
            <w:r>
              <w:rPr>
                <w:rFonts w:ascii="Arial" w:cs="Arial" w:eastAsia="Arial" w:hAnsi="Arial"/>
                <w:sz w:val="18"/>
                <w:szCs w:val="18"/>
                <w:b w:val="1"/>
                <w:bCs w:val="1"/>
                <w:color w:val="auto"/>
                <w:w w:val="85"/>
              </w:rPr>
              <w:t>Price</w:t>
            </w:r>
            <w:r>
              <w:rPr>
                <w:rFonts w:ascii="Arial" w:cs="Arial" w:eastAsia="Arial" w:hAnsi="Arial"/>
                <w:sz w:val="29"/>
                <w:szCs w:val="29"/>
                <w:b w:val="1"/>
                <w:bCs w:val="1"/>
                <w:color w:val="auto"/>
                <w:w w:val="85"/>
                <w:vertAlign w:val="superscript"/>
              </w:rPr>
              <w:t>(1)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3"/>
              </w:rPr>
              <w:t>Fee Rate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340"/>
              <w:spacing w:after="0" w:line="269" w:lineRule="exact"/>
              <w:rPr>
                <w:sz w:val="20"/>
                <w:szCs w:val="20"/>
                <w:color w:val="auto"/>
              </w:rPr>
            </w:pPr>
            <w:r>
              <w:rPr>
                <w:rFonts w:ascii="Arial" w:cs="Arial" w:eastAsia="Arial" w:hAnsi="Arial"/>
                <w:sz w:val="31"/>
                <w:szCs w:val="31"/>
                <w:b w:val="1"/>
                <w:bCs w:val="1"/>
                <w:color w:val="auto"/>
                <w:w w:val="98"/>
                <w:vertAlign w:val="subscript"/>
              </w:rPr>
              <w:t>Fee</w:t>
            </w:r>
            <w:r>
              <w:rPr>
                <w:rFonts w:ascii="Arial" w:cs="Arial" w:eastAsia="Arial" w:hAnsi="Arial"/>
                <w:sz w:val="14"/>
                <w:szCs w:val="14"/>
                <w:b w:val="1"/>
                <w:bCs w:val="1"/>
                <w:color w:val="auto"/>
                <w:w w:val="98"/>
              </w:rPr>
              <w:t>(2)</w:t>
            </w:r>
          </w:p>
        </w:tc>
      </w:tr>
      <w:tr>
        <w:trPr>
          <w:trHeight w:val="213"/>
        </w:trPr>
        <w:tc>
          <w:tcPr>
            <w:tcW w:w="1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Common Stock, $0.01</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73"/>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Fees to be Paid</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18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80"/>
              <w:spacing w:after="0" w:line="273" w:lineRule="exact"/>
              <w:rPr>
                <w:sz w:val="20"/>
                <w:szCs w:val="20"/>
                <w:color w:val="auto"/>
              </w:rPr>
            </w:pPr>
            <w:r>
              <w:rPr>
                <w:rFonts w:ascii="Arial" w:cs="Arial" w:eastAsia="Arial" w:hAnsi="Arial"/>
                <w:sz w:val="18"/>
                <w:szCs w:val="18"/>
                <w:color w:val="auto"/>
                <w:w w:val="86"/>
              </w:rPr>
              <w:t>par value per share</w:t>
            </w:r>
            <w:r>
              <w:rPr>
                <w:rFonts w:ascii="Arial" w:cs="Arial" w:eastAsia="Arial" w:hAnsi="Arial"/>
                <w:sz w:val="29"/>
                <w:szCs w:val="29"/>
                <w:color w:val="auto"/>
                <w:w w:val="86"/>
                <w:vertAlign w:val="superscript"/>
              </w:rPr>
              <w:t>(3)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457(c)</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2,281,626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$6,285,880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.0001102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w:t>
            </w:r>
          </w:p>
        </w:tc>
        <w:tc>
          <w:tcPr>
            <w:tcW w:w="100" w:type="dxa"/>
            <w:vAlign w:val="bottom"/>
            <w:shd w:val="clear" w:color="auto" w:fill="CCEEFF"/>
          </w:tcPr>
          <w:p>
            <w:pPr>
              <w:spacing w:after="0"/>
              <w:rPr>
                <w:sz w:val="23"/>
                <w:szCs w:val="23"/>
                <w:color w:val="auto"/>
              </w:rPr>
            </w:pP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Fees Previously</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Paid</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21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Carry Forward</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15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Total Offering Amounts</w:t>
            </w: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$6,285,880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.0001102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w:t>
            </w:r>
          </w:p>
        </w:tc>
        <w:tc>
          <w:tcPr>
            <w:tcW w:w="100" w:type="dxa"/>
            <w:vAlign w:val="bottom"/>
            <w:shd w:val="clear" w:color="auto" w:fill="CCEEFF"/>
          </w:tcPr>
          <w:p>
            <w:pPr>
              <w:spacing w:after="0"/>
              <w:rPr>
                <w:sz w:val="21"/>
                <w:szCs w:val="21"/>
                <w:color w:val="auto"/>
              </w:rPr>
            </w:pPr>
          </w:p>
        </w:tc>
      </w:tr>
      <w:tr>
        <w:trPr>
          <w:trHeight w:val="210"/>
        </w:trPr>
        <w:tc>
          <w:tcPr>
            <w:tcW w:w="154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2160" w:type="dxa"/>
            <w:vAlign w:val="bottom"/>
            <w:tcBorders>
              <w:top w:val="single" w:sz="8" w:color="CCEEFF"/>
              <w:bottom w:val="single" w:sz="8" w:color="CCEEFF"/>
            </w:tcBorders>
            <w:gridSpan w:val="2"/>
          </w:tcPr>
          <w:p>
            <w:pPr>
              <w:jc w:val="center"/>
              <w:spacing w:after="0" w:line="203" w:lineRule="exact"/>
              <w:rPr>
                <w:sz w:val="20"/>
                <w:szCs w:val="20"/>
                <w:color w:val="auto"/>
              </w:rPr>
            </w:pPr>
            <w:r>
              <w:rPr>
                <w:rFonts w:ascii="Arial" w:cs="Arial" w:eastAsia="Arial" w:hAnsi="Arial"/>
                <w:sz w:val="18"/>
                <w:szCs w:val="18"/>
                <w:b w:val="1"/>
                <w:bCs w:val="1"/>
                <w:color w:val="auto"/>
                <w:w w:val="87"/>
              </w:rPr>
              <w:t>Total Fee Offsets</w:t>
            </w:r>
          </w:p>
        </w:tc>
        <w:tc>
          <w:tcPr>
            <w:tcW w:w="8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15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Net Fee Due</w:t>
            </w:r>
          </w:p>
        </w:tc>
        <w:tc>
          <w:tcPr>
            <w:tcW w:w="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Pursuant to Rule 416 under the Securities Act, this registration statement shall also cover any additional shares of the registrant’s securities that become issuable by reason of any share splits, share dividends or similar transactions.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Estimated in accordance with Rules 457(c) solely for purposes of calculating the registration fee, based on the average of the high and low prices of the Registrant’s common stock as reported on the Nasdaq Capital Market on July 7, 2023 ($2.755 per share of common stock).</w:t>
      </w:r>
    </w:p>
    <w:p>
      <w:pPr>
        <w:ind w:left="340" w:hanging="332"/>
        <w:spacing w:after="0" w:line="260"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385,246 issued and outstanding shares of the Registrant’s common stock and an aggregate of 1,896,380 shares of the Registrant’s common stock issuable upon the exercise of outstanding options and warrants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lvl w:ilvl="1">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lvl w:ilvl="1">
      <w:lvlJc w:val="left"/>
      <w:lvlText w:val="%2"/>
      <w:numFmt w:val="decimal"/>
      <w:start w:val="107"/>
    </w:lvl>
  </w:abstractNum>
  <w:abstractNum w:abstractNumId="35">
    <w:nsid w:val="51EAD36B"/>
    <w:multiLevelType w:val="hybridMultilevel"/>
    <w:lvl w:ilvl="0">
      <w:lvlJc w:val="left"/>
      <w:lvlText w:val="**"/>
      <w:numFmt w:val="bullet"/>
      <w:start w:val="1"/>
    </w:lvl>
    <w:lvl w:ilvl="1">
      <w:lvlJc w:val="left"/>
      <w:lvlText w:val="%2"/>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153EA438"/>
    <w:multiLevelType w:val="hybridMultilevel"/>
    <w:lvl w:ilvl="0">
      <w:lvlJc w:val="left"/>
      <w:lvlText w:val="(%1)"/>
      <w:numFmt w:val="decimal"/>
      <w:start w:val="2"/>
    </w:lvl>
  </w:abstractNum>
  <w:abstractNum w:abstractNumId="39">
    <w:nsid w:val="3855585C"/>
    <w:multiLevelType w:val="hybridMultilevel"/>
    <w:lvl w:ilvl="0">
      <w:lvlJc w:val="left"/>
      <w:lvlText w:val="%1"/>
      <w:numFmt w:val="lowerLetter"/>
      <w:start w:val="1"/>
    </w:lvl>
    <w:lvl w:ilvl="1">
      <w:lvlJc w:val="left"/>
      <w:lvlText w:val="(%2)"/>
      <w:numFmt w:val="decimal"/>
      <w:start w:val="5"/>
    </w:lvl>
  </w:abstractNum>
  <w:abstractNum w:abstractNumId="40">
    <w:nsid w:val="70A64E2A"/>
    <w:multiLevelType w:val="hybridMultilevel"/>
    <w:lvl w:ilvl="0">
      <w:lvlJc w:val="left"/>
      <w:lvlText w:val="(%1)"/>
      <w:numFmt w:val="lowerLetter"/>
      <w:start w:val="2"/>
    </w:lvl>
    <w:lvl w:ilvl="1">
      <w:lvlJc w:val="left"/>
      <w:lvlText w:val="%2"/>
      <w:numFmt w:val="decimal"/>
      <w:start w:val="1"/>
    </w:lvl>
  </w:abstractNum>
  <w:abstractNum w:abstractNumId="41">
    <w:nsid w:val="6A2342EC"/>
    <w:multiLevelType w:val="hybridMultilevel"/>
    <w:lvl w:ilvl="0">
      <w:lvlJc w:val="left"/>
      <w:lvlText w:val="(%1)"/>
      <w:numFmt w:val="lowerLetter"/>
      <w:start w:val="8"/>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9" Type="http://schemas.openxmlformats.org/officeDocument/2006/relationships/image" Target="media/image40.png"/><Relationship Id="rId52" Type="http://schemas.openxmlformats.org/officeDocument/2006/relationships/image" Target="media/image41.png"/><Relationship Id="rId56" Type="http://schemas.openxmlformats.org/officeDocument/2006/relationships/image" Target="media/image42.png"/><Relationship Id="rId58" Type="http://schemas.openxmlformats.org/officeDocument/2006/relationships/image" Target="media/image43.png"/><Relationship Id="rId61"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113" Type="http://schemas.openxmlformats.org/officeDocument/2006/relationships/image" Target="media/image68.png"/><Relationship Id="rId140" Type="http://schemas.openxmlformats.org/officeDocument/2006/relationships/image" Target="media/image69.png"/><Relationship Id="rId145" Type="http://schemas.openxmlformats.org/officeDocument/2006/relationships/image" Target="media/image70.png"/><Relationship Id="rId146" Type="http://schemas.openxmlformats.org/officeDocument/2006/relationships/image" Target="media/image71.png"/><Relationship Id="rId147" Type="http://schemas.openxmlformats.org/officeDocument/2006/relationships/image" Target="media/image72.png"/><Relationship Id="rId148" Type="http://schemas.openxmlformats.org/officeDocument/2006/relationships/image" Target="media/image73.png"/><Relationship Id="rId149" Type="http://schemas.openxmlformats.org/officeDocument/2006/relationships/image" Target="media/image74.png"/><Relationship Id="rId150" Type="http://schemas.openxmlformats.org/officeDocument/2006/relationships/image" Target="media/image75.png"/><Relationship Id="rId151" Type="http://schemas.openxmlformats.org/officeDocument/2006/relationships/image" Target="media/image76.png"/><Relationship Id="rId152" Type="http://schemas.openxmlformats.org/officeDocument/2006/relationships/image" Target="media/image77.png"/><Relationship Id="rId153" Type="http://schemas.openxmlformats.org/officeDocument/2006/relationships/image" Target="media/image78.png"/><Relationship Id="rId154" Type="http://schemas.openxmlformats.org/officeDocument/2006/relationships/image" Target="media/image79.png"/><Relationship Id="rId46" Type="http://schemas.openxmlformats.org/officeDocument/2006/relationships/hyperlink" Target="https://www.sec.gov/Archives/edgar/data/883975/000149315223010223/form10-k.htm#a_001" TargetMode="External"/><Relationship Id="rId48" Type="http://schemas.openxmlformats.org/officeDocument/2006/relationships/hyperlink" Target="https://www.sec.gov/Archives/edgar/data/883975/000149315223010223/form10-k.htm#a_002" TargetMode="External"/><Relationship Id="rId50" Type="http://schemas.openxmlformats.org/officeDocument/2006/relationships/hyperlink" Target="https://www.sec.gov/Archives/edgar/data/883975/000149315223010223/form10-k.htm#a_003" TargetMode="External"/><Relationship Id="rId51" Type="http://schemas.openxmlformats.org/officeDocument/2006/relationships/hyperlink" Target="https://www.sec.gov/Archives/edgar/data/883975/000149315223010223/form10-k.htm#a_004" TargetMode="External"/><Relationship Id="rId53" Type="http://schemas.openxmlformats.org/officeDocument/2006/relationships/hyperlink" Target="https://www.sec.gov/Archives/edgar/data/883975/000149315223010223/form10-k.htm#a_005" TargetMode="External"/><Relationship Id="rId54" Type="http://schemas.openxmlformats.org/officeDocument/2006/relationships/hyperlink" Target="https://www.sec.gov/Archives/edgar/data/883975/000149315223010223/form10-k.htm#a_006" TargetMode="External"/><Relationship Id="rId55" Type="http://schemas.openxmlformats.org/officeDocument/2006/relationships/hyperlink" Target="https://www.sec.gov/Archives/edgar/data/883975/000149315223017966/form10-q.htm#a_001" TargetMode="External"/><Relationship Id="rId57" Type="http://schemas.openxmlformats.org/officeDocument/2006/relationships/hyperlink" Target="https://www.sec.gov/Archives/edgar/data/883975/000149315223017966/form10-q.htm#a_002" TargetMode="External"/><Relationship Id="rId59" Type="http://schemas.openxmlformats.org/officeDocument/2006/relationships/hyperlink" Target="https://www.sec.gov/Archives/edgar/data/883975/000149315223017966/form10-q.htm#a_003" TargetMode="External"/><Relationship Id="rId60" Type="http://schemas.openxmlformats.org/officeDocument/2006/relationships/hyperlink" Target="https://www.sec.gov/Archives/edgar/data/883975/000149315223017966/form10-q.htm#a_004" TargetMode="External"/><Relationship Id="rId62" Type="http://schemas.openxmlformats.org/officeDocument/2006/relationships/hyperlink" Target="https://www.sec.gov/Archives/edgar/data/883975/000149315223017966/form10-q.htm#a_005" TargetMode="External"/><Relationship Id="rId80" Type="http://schemas.openxmlformats.org/officeDocument/2006/relationships/hyperlink" Target="https://www.sec.gov/Archives/edgar/data/883975/000149315223010223/form10-k.htm" TargetMode="External"/><Relationship Id="rId81" Type="http://schemas.openxmlformats.org/officeDocument/2006/relationships/hyperlink" Target="https://www.sec.gov/Archives/edgar/data/883975/000149315223017966/form10-q.htm" TargetMode="External"/><Relationship Id="rId82" Type="http://schemas.openxmlformats.org/officeDocument/2006/relationships/hyperlink" Target="https://www.sec.gov/Archives/edgar/data/883975/000149315223019000/form8-k.htm" TargetMode="External"/><Relationship Id="rId83" Type="http://schemas.openxmlformats.org/officeDocument/2006/relationships/hyperlink" Target="https://www.sec.gov/Archives/edgar/data/883975/000149315223019537/form8-k.htm" TargetMode="External"/><Relationship Id="rId84" Type="http://schemas.openxmlformats.org/officeDocument/2006/relationships/hyperlink" Target="https://www.sec.gov/Archives/edgar/data/883975/000149315223019871/form8-k.htm" TargetMode="External"/><Relationship Id="rId85" Type="http://schemas.openxmlformats.org/officeDocument/2006/relationships/hyperlink" Target="https://www.sec.gov/Archives/edgar/data/883975/000149315223020309/form8-k.htm" TargetMode="External"/><Relationship Id="rId86" Type="http://schemas.openxmlformats.org/officeDocument/2006/relationships/hyperlink" Target="https://www.sec.gov/Archives/edgar/data/883975/000149315223021553/form8-k.htm" TargetMode="External"/><Relationship Id="rId87" Type="http://schemas.openxmlformats.org/officeDocument/2006/relationships/hyperlink" Target="https://www.sec.gov/Archives/edgar/data/883975/000149315223022078/form8-k.htm" TargetMode="External"/><Relationship Id="rId88" Type="http://schemas.openxmlformats.org/officeDocument/2006/relationships/hyperlink" Target="https://www.sec.gov/Archives/edgar/data/883975/000149315223022814/form8-k.htm" TargetMode="External"/><Relationship Id="rId95" Type="http://schemas.openxmlformats.org/officeDocument/2006/relationships/hyperlink" Target="https://www.sec.gov/Archives/edgar/data/883975/000119312516682077/d161430dex21.htm" TargetMode="External"/><Relationship Id="rId96" Type="http://schemas.openxmlformats.org/officeDocument/2006/relationships/hyperlink" Target="https://www.sec.gov/Archives/edgar/data/883975/000095013407005808/f27726exv3w1.htm" TargetMode="External"/><Relationship Id="rId97" Type="http://schemas.openxmlformats.org/officeDocument/2006/relationships/hyperlink" Target="https://www.sec.gov/Archives/edgar/data/883975/000119312516779729/d296933dex31.htm" TargetMode="External"/><Relationship Id="rId98" Type="http://schemas.openxmlformats.org/officeDocument/2006/relationships/hyperlink" Target="https://www.sec.gov/Archives/edgar/data/883975/000149315218012872/ex3-1.htm" TargetMode="External"/><Relationship Id="rId99" Type="http://schemas.openxmlformats.org/officeDocument/2006/relationships/hyperlink" Target="https://www.sec.gov/Archives/edgar/data/883975/000129993316002374/exhibit1.htm" TargetMode="External"/><Relationship Id="rId100" Type="http://schemas.openxmlformats.org/officeDocument/2006/relationships/hyperlink" Target="https://www.sec.gov/Archives/edgar/data/883975/000149315218017395/ex3-1.htm" TargetMode="External"/><Relationship Id="rId101" Type="http://schemas.openxmlformats.org/officeDocument/2006/relationships/hyperlink" Target="https://www.sec.gov/Archives/edgar/data/883975/000149315219013998/ex3-1.htm" TargetMode="External"/><Relationship Id="rId102" Type="http://schemas.openxmlformats.org/officeDocument/2006/relationships/hyperlink" Target="https://www.sec.gov/Archives/edgar/data/883975/000149315221010347/ex3-1.htm" TargetMode="External"/><Relationship Id="rId103" Type="http://schemas.openxmlformats.org/officeDocument/2006/relationships/hyperlink" Target="https://www.sec.gov/Archives/edgar/data/883975/000119312516501361/d68391dex41.htm" TargetMode="External"/><Relationship Id="rId104" Type="http://schemas.openxmlformats.org/officeDocument/2006/relationships/hyperlink" Target="https://www.sec.gov/Archives/edgar/data/883975/000119312516501361/d68391dex42.htm" TargetMode="External"/><Relationship Id="rId105" Type="http://schemas.openxmlformats.org/officeDocument/2006/relationships/hyperlink" Target="https://www.sec.gov/Archives/edgar/data/883975/000149315219000672/ex4-2.htm" TargetMode="External"/><Relationship Id="rId106" Type="http://schemas.openxmlformats.org/officeDocument/2006/relationships/hyperlink" Target="https://www.sec.gov/Archives/edgar/data/883975/000149315219000744/ex4-1.htm" TargetMode="External"/><Relationship Id="rId107" Type="http://schemas.openxmlformats.org/officeDocument/2006/relationships/hyperlink" Target="https://www.sec.gov/Archives/edgar/data/883975/000149315223018932/ex4-2.htm" TargetMode="External"/><Relationship Id="rId108" Type="http://schemas.openxmlformats.org/officeDocument/2006/relationships/hyperlink" Target="https://www.sec.gov/Archives/edgar/data/883975/000149315223018932/ex10-2.htm" TargetMode="External"/><Relationship Id="rId109" Type="http://schemas.openxmlformats.org/officeDocument/2006/relationships/hyperlink" Target="https://www.sec.gov/Archives/edgar/data/883975/000149315223020309/ex4-1.htm" TargetMode="External"/><Relationship Id="rId110" Type="http://schemas.openxmlformats.org/officeDocument/2006/relationships/hyperlink" Target="https://www.sec.gov/Archives/edgar/data/883975/000149315223020309/ex4-2.htm" TargetMode="External"/><Relationship Id="rId111" Type="http://schemas.openxmlformats.org/officeDocument/2006/relationships/hyperlink" Target="https://www.sec.gov/Archives/edgar/data/883975/000149315223022814/ex4-1.htm" TargetMode="External"/><Relationship Id="rId112" Type="http://schemas.openxmlformats.org/officeDocument/2006/relationships/hyperlink" Target="https://www.sec.gov/Archives/edgar/data/883975/000149315223022814/ex4-2.htm" TargetMode="External"/><Relationship Id="rId114" Type="http://schemas.openxmlformats.org/officeDocument/2006/relationships/hyperlink" Target="https://www.sec.gov/Archives/edgar/data/883975/000119312516779597/d296933dex101.htm" TargetMode="External"/><Relationship Id="rId115" Type="http://schemas.openxmlformats.org/officeDocument/2006/relationships/hyperlink" Target="https://www.sec.gov/Archives/edgar/data/883975/000119312516779729/d296933dex105.htm" TargetMode="External"/><Relationship Id="rId116" Type="http://schemas.openxmlformats.org/officeDocument/2006/relationships/hyperlink" Target="https://www.sec.gov/Archives/edgar/data/883975/000149315217002678/ex10-14.htm" TargetMode="External"/><Relationship Id="rId117" Type="http://schemas.openxmlformats.org/officeDocument/2006/relationships/hyperlink" Target="https://www.sec.gov/Archives/edgar/data/883975/000149315217013222/ex10-1.htm" TargetMode="External"/><Relationship Id="rId118" Type="http://schemas.openxmlformats.org/officeDocument/2006/relationships/hyperlink" Target="https://www.sec.gov/Archives/edgar/data/883975/000149315218000286/ex10-1.htm" TargetMode="External"/><Relationship Id="rId119" Type="http://schemas.openxmlformats.org/officeDocument/2006/relationships/hyperlink" Target="https://www.sec.gov/Archives/edgar/data/883975/000149315217008987/def14a.htm" TargetMode="External"/><Relationship Id="rId120" Type="http://schemas.openxmlformats.org/officeDocument/2006/relationships/hyperlink" Target="https://www.sec.gov/Archives/edgar/data/883975/000149315220014354/def14a.htm" TargetMode="External"/><Relationship Id="rId121" Type="http://schemas.openxmlformats.org/officeDocument/2006/relationships/hyperlink" Target="https://www.sec.gov/Archives/edgar/data/883975/000149315220022543/ex4-2.htm" TargetMode="External"/><Relationship Id="rId122" Type="http://schemas.openxmlformats.org/officeDocument/2006/relationships/hyperlink" Target="https://www.sec.gov/Archives/edgar/data/883975/000149315220022543/ex4-3.htm" TargetMode="External"/><Relationship Id="rId123" Type="http://schemas.openxmlformats.org/officeDocument/2006/relationships/hyperlink" Target="https://www.sec.gov/Archives/edgar/data/883975/000149315220022543/ex4-4.htm" TargetMode="External"/><Relationship Id="rId124" Type="http://schemas.openxmlformats.org/officeDocument/2006/relationships/hyperlink" Target="https://www.sec.gov/Archives/edgar/data/883975/000149315220022543/ex4-5.htm" TargetMode="External"/><Relationship Id="rId125" Type="http://schemas.openxmlformats.org/officeDocument/2006/relationships/hyperlink" Target="https://www.sec.gov/Archives/edgar/data/883975/000149315220022543/ex4-6.htm" TargetMode="External"/><Relationship Id="rId126" Type="http://schemas.openxmlformats.org/officeDocument/2006/relationships/hyperlink" Target="https://www.sec.gov/Archives/edgar/data/883975/000149315221008148/ex10-1.htm" TargetMode="External"/><Relationship Id="rId127" Type="http://schemas.openxmlformats.org/officeDocument/2006/relationships/hyperlink" Target="https://www.sec.gov/Archives/edgar/data/883975/000149315221009469/ex10-1.htm" TargetMode="External"/><Relationship Id="rId128" Type="http://schemas.openxmlformats.org/officeDocument/2006/relationships/hyperlink" Target="https://www.sec.gov/Archives/edgar/data/883975/000149315221014052/ex10-1.htm" TargetMode="External"/><Relationship Id="rId129" Type="http://schemas.openxmlformats.org/officeDocument/2006/relationships/hyperlink" Target="https://www.sec.gov/Archives/edgar/data/883975/000149315221032474/ex10-1.htm" TargetMode="External"/><Relationship Id="rId130" Type="http://schemas.openxmlformats.org/officeDocument/2006/relationships/hyperlink" Target="https://www.sec.gov/Archives/edgar/data/883975/000149315222027872/ex10-1.htm" TargetMode="External"/><Relationship Id="rId131" Type="http://schemas.openxmlformats.org/officeDocument/2006/relationships/hyperlink" Target="https://www.sec.gov/Archives/edgar/data/883975/000149315222009272/ex10-1.htm" TargetMode="External"/><Relationship Id="rId132" Type="http://schemas.openxmlformats.org/officeDocument/2006/relationships/hyperlink" Target="https://www.sec.gov/Archives/edgar/data/883975/000149315222002881/ex10-1.htm" TargetMode="External"/><Relationship Id="rId133" Type="http://schemas.openxmlformats.org/officeDocument/2006/relationships/hyperlink" Target="https://www.sec.gov/Archives/edgar/data/883975/000149315223010223/ex10-21.htm" TargetMode="External"/><Relationship Id="rId134" Type="http://schemas.openxmlformats.org/officeDocument/2006/relationships/hyperlink" Target="https://www.sec.gov/Archives/edgar/data/883975/000149315222029541/ex10-1.htm" TargetMode="External"/><Relationship Id="rId135" Type="http://schemas.openxmlformats.org/officeDocument/2006/relationships/hyperlink" Target="https://www.sec.gov/Archives/edgar/data/883975/000149315223018456/ex10-1.htm" TargetMode="External"/><Relationship Id="rId136" Type="http://schemas.openxmlformats.org/officeDocument/2006/relationships/hyperlink" Target="https://www.sec.gov/Archives/edgar/data/883975/000149315223018456/ex10-2.htm" TargetMode="External"/><Relationship Id="rId137" Type="http://schemas.openxmlformats.org/officeDocument/2006/relationships/hyperlink" Target="https://www.sec.gov/Archives/edgar/data/883975/000149315223018456/ex10-3.htm" TargetMode="External"/><Relationship Id="rId138" Type="http://schemas.openxmlformats.org/officeDocument/2006/relationships/hyperlink" Target="https://www.sec.gov/Archives/edgar/data/883975/000149315223018456/ex10-4.htm" TargetMode="External"/><Relationship Id="rId139" Type="http://schemas.openxmlformats.org/officeDocument/2006/relationships/hyperlink" Target="https://www.sec.gov/Archives/edgar/data/883975/000149315223018718/ex10-1.htm" TargetMode="External"/><Relationship Id="rId141" Type="http://schemas.openxmlformats.org/officeDocument/2006/relationships/hyperlink" Target="https://www.sec.gov/Archives/edgar/data/883975/000149315223018932/ex10-1.htm" TargetMode="External"/><Relationship Id="rId142" Type="http://schemas.openxmlformats.org/officeDocument/2006/relationships/hyperlink" Target="https://www.sec.gov/Archives/edgar/data/883975/000149315223020309/ex10-1.htm" TargetMode="External"/><Relationship Id="rId143" Type="http://schemas.openxmlformats.org/officeDocument/2006/relationships/hyperlink" Target="https://www.sec.gov/Archives/edgar/data/883975/000149315223022814/ex10-1.htm" TargetMode="External"/><Relationship Id="rId144" Type="http://schemas.openxmlformats.org/officeDocument/2006/relationships/hyperlink" Target="https://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2023-07-11T16:15:15Z</dcterms:created>
  <dcterms:modified xsi:type="dcterms:W3CDTF">2023-07-11T16:15:15Z</dcterms:modified>
</cp:coreProperties>
</file>