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900"/>
        <w:spacing w:after="0"/>
        <w:tabs>
          <w:tab w:leader="none" w:pos="7520" w:val="left"/>
        </w:tabs>
        <w:rPr>
          <w:sz w:val="20"/>
          <w:szCs w:val="20"/>
          <w:color w:val="auto"/>
        </w:rPr>
      </w:pPr>
      <w:r>
        <w:rPr>
          <w:rFonts w:ascii="Arial" w:cs="Arial" w:eastAsia="Arial" w:hAnsi="Arial"/>
          <w:sz w:val="18"/>
          <w:szCs w:val="18"/>
          <w:b w:val="1"/>
          <w:bCs w:val="1"/>
          <w:color w:val="auto"/>
        </w:rPr>
        <w:t>For the quarter ended: September 30, 2008</w:t>
      </w:r>
      <w:r>
        <w:rPr>
          <w:sz w:val="20"/>
          <w:szCs w:val="20"/>
          <w:color w:val="auto"/>
        </w:rPr>
        <w:tab/>
      </w:r>
      <w:r>
        <w:rPr>
          <w:rFonts w:ascii="Arial" w:cs="Arial" w:eastAsia="Arial" w:hAnsi="Arial"/>
          <w:sz w:val="16"/>
          <w:szCs w:val="16"/>
          <w:b w:val="1"/>
          <w:bCs w:val="1"/>
          <w:color w:val="auto"/>
        </w:rPr>
        <w:t>Commission File Number: 0-19871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57"/>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tcBorders>
              <w:bottom w:val="single" w:sz="8" w:color="auto"/>
            </w:tcBorders>
            <w:gridSpan w:val="3"/>
          </w:tcPr>
          <w:p>
            <w:pPr>
              <w:jc w:val="center"/>
              <w:ind w:left="249"/>
              <w:spacing w:after="0"/>
              <w:rPr>
                <w:sz w:val="20"/>
                <w:szCs w:val="20"/>
                <w:color w:val="auto"/>
              </w:rPr>
            </w:pPr>
            <w:r>
              <w:rPr>
                <w:rFonts w:ascii="Arial" w:cs="Arial" w:eastAsia="Arial" w:hAnsi="Arial"/>
                <w:sz w:val="43"/>
                <w:szCs w:val="43"/>
                <w:b w:val="1"/>
                <w:bCs w:val="1"/>
                <w:color w:val="auto"/>
              </w:rPr>
              <w:t>STEMCELLS, INC.</w:t>
            </w:r>
          </w:p>
        </w:tc>
        <w:tc>
          <w:tcPr>
            <w:tcW w:w="3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4"/>
        </w:trPr>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0" w:type="dxa"/>
            <w:vAlign w:val="bottom"/>
            <w:gridSpan w:val="3"/>
          </w:tcPr>
          <w:p>
            <w:pPr>
              <w:jc w:val="center"/>
              <w:ind w:left="249"/>
              <w:spacing w:after="0"/>
              <w:rPr>
                <w:sz w:val="20"/>
                <w:szCs w:val="20"/>
                <w:color w:val="auto"/>
              </w:rPr>
            </w:pPr>
            <w:r>
              <w:rPr>
                <w:rFonts w:ascii="Arial" w:cs="Arial" w:eastAsia="Arial" w:hAnsi="Arial"/>
                <w:sz w:val="18"/>
                <w:szCs w:val="18"/>
                <w:color w:val="auto"/>
                <w:w w:val="90"/>
              </w:rPr>
              <w:t>(Exact name of registrant as specified in its charter)</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7940" w:type="dxa"/>
            <w:vAlign w:val="bottom"/>
            <w:gridSpan w:val="5"/>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gridSpan w:val="3"/>
          </w:tcPr>
          <w:p>
            <w:pPr>
              <w:jc w:val="center"/>
              <w:ind w:right="194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3"/>
          </w:tcPr>
          <w:p>
            <w:pPr>
              <w:jc w:val="center"/>
              <w:ind w:right="194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5"/>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gridSpan w:val="3"/>
          </w:tcPr>
          <w:p>
            <w:pPr>
              <w:jc w:val="center"/>
              <w:ind w:right="196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gridSpan w:val="3"/>
          </w:tcPr>
          <w:p>
            <w:pPr>
              <w:jc w:val="center"/>
              <w:ind w:left="249"/>
              <w:spacing w:after="0"/>
              <w:rPr>
                <w:sz w:val="20"/>
                <w:szCs w:val="20"/>
                <w:color w:val="auto"/>
              </w:rPr>
            </w:pPr>
            <w:r>
              <w:rPr>
                <w:rFonts w:ascii="Arial" w:cs="Arial" w:eastAsia="Arial" w:hAnsi="Arial"/>
                <w:sz w:val="18"/>
                <w:szCs w:val="18"/>
                <w:color w:val="auto"/>
                <w:w w:val="93"/>
              </w:rPr>
              <w:t>3155 PORTER DRIVE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7"/>
        </w:trPr>
        <w:tc>
          <w:tcPr>
            <w:tcW w:w="2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3"/>
          </w:tcPr>
          <w:p>
            <w:pPr>
              <w:jc w:val="center"/>
              <w:ind w:left="249"/>
              <w:spacing w:after="0"/>
              <w:rPr>
                <w:sz w:val="20"/>
                <w:szCs w:val="20"/>
                <w:color w:val="auto"/>
              </w:rPr>
            </w:pPr>
            <w:r>
              <w:rPr>
                <w:rFonts w:ascii="Arial" w:cs="Arial" w:eastAsia="Arial" w:hAnsi="Arial"/>
                <w:sz w:val="18"/>
                <w:szCs w:val="18"/>
                <w:color w:val="auto"/>
                <w:w w:val="94"/>
              </w:rPr>
              <w:t>PALO ALTO, CA 94304</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230"/>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0" w:type="dxa"/>
            <w:vAlign w:val="bottom"/>
            <w:gridSpan w:val="3"/>
          </w:tcPr>
          <w:p>
            <w:pPr>
              <w:jc w:val="center"/>
              <w:ind w:left="229"/>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5"/>
        </w:trPr>
        <w:tc>
          <w:tcPr>
            <w:tcW w:w="7940" w:type="dxa"/>
            <w:vAlign w:val="bottom"/>
            <w:gridSpan w:val="5"/>
          </w:tcPr>
          <w:p>
            <w:pPr>
              <w:jc w:val="center"/>
              <w:ind w:left="3410"/>
              <w:spacing w:after="0"/>
              <w:rPr>
                <w:sz w:val="20"/>
                <w:szCs w:val="20"/>
                <w:color w:val="auto"/>
              </w:rPr>
            </w:pPr>
            <w:r>
              <w:rPr>
                <w:rFonts w:ascii="Arial" w:cs="Arial" w:eastAsia="Arial" w:hAnsi="Arial"/>
                <w:sz w:val="18"/>
                <w:szCs w:val="18"/>
                <w:color w:val="auto"/>
                <w:w w:val="90"/>
              </w:rPr>
              <w:t>(650) 475-3100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0" w:type="dxa"/>
            <w:vAlign w:val="bottom"/>
            <w:tcBorders>
              <w:top w:val="single" w:sz="8" w:color="auto"/>
            </w:tcBorders>
            <w:gridSpan w:val="3"/>
          </w:tcPr>
          <w:p>
            <w:pPr>
              <w:jc w:val="center"/>
              <w:ind w:left="229"/>
              <w:spacing w:after="0"/>
              <w:rPr>
                <w:sz w:val="20"/>
                <w:szCs w:val="20"/>
                <w:color w:val="auto"/>
              </w:rPr>
            </w:pPr>
            <w:r>
              <w:rPr>
                <w:rFonts w:ascii="Arial" w:cs="Arial" w:eastAsia="Arial" w:hAnsi="Arial"/>
                <w:sz w:val="18"/>
                <w:szCs w:val="18"/>
                <w:color w:val="auto"/>
                <w:w w:val="90"/>
              </w:rPr>
              <w:t>(Registrant’s telephone number, including area code)</w:t>
            </w:r>
          </w:p>
        </w:tc>
        <w:tc>
          <w:tcPr>
            <w:tcW w:w="3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79"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40"/>
          </w:cols>
          <w:pgMar w:left="240" w:top="122" w:right="239" w:bottom="1440" w:gutter="0" w:footer="0" w:header="0"/>
          <w:type w:val="continuous"/>
        </w:sectPr>
      </w:pPr>
    </w:p>
    <w:p>
      <w:pPr>
        <w:ind w:right="2100" w:firstLine="225"/>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Yeso No </w:t>
      </w:r>
      <w:r>
        <w:rPr>
          <w:rFonts w:ascii="MS PGothic" w:cs="MS PGothic" w:eastAsia="MS PGothic" w:hAnsi="MS PGothic"/>
          <w:sz w:val="17"/>
          <w:szCs w:val="17"/>
          <w:color w:val="auto"/>
        </w:rPr>
        <w:t>☑</w:t>
      </w:r>
      <w:r>
        <w:rPr>
          <w:rFonts w:ascii="Arial" w:cs="Arial" w:eastAsia="Arial" w:hAnsi="Arial"/>
          <w:sz w:val="17"/>
          <w:szCs w:val="17"/>
          <w:color w:val="auto"/>
        </w:rPr>
        <w:t xml:space="preserve"> At October 30, 2008, there were 81,145,499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10"/>
            <w:vMerge w:val="restart"/>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660" w:type="dxa"/>
            <w:vAlign w:val="bottom"/>
            <w:gridSpan w:val="10"/>
            <w:vMerge w:val="continue"/>
          </w:tcPr>
          <w:p>
            <w:pPr>
              <w:spacing w:after="0"/>
              <w:rPr>
                <w:sz w:val="14"/>
                <w:szCs w:val="14"/>
                <w:color w:val="auto"/>
              </w:rPr>
            </w:pPr>
          </w:p>
        </w:tc>
        <w:tc>
          <w:tcPr>
            <w:tcW w:w="860" w:type="dxa"/>
            <w:vAlign w:val="bottom"/>
          </w:tcPr>
          <w:p>
            <w:pPr>
              <w:jc w:val="center"/>
              <w:spacing w:after="0" w:line="170"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3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2008 and December 31, 2007</w:t>
              </w:r>
            </w:hyperlink>
          </w:p>
        </w:tc>
        <w:tc>
          <w:tcPr>
            <w:tcW w:w="3980" w:type="dxa"/>
            <w:vAlign w:val="bottom"/>
            <w:gridSpan w:val="4"/>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September 30, 2008 and 2007</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8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nine months ended September 30, 2008 and 2007</w:t>
              </w:r>
            </w:hyperlink>
          </w:p>
        </w:tc>
        <w:tc>
          <w:tcPr>
            <w:tcW w:w="18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8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520" w:type="dxa"/>
            <w:vAlign w:val="bottom"/>
            <w:gridSpan w:val="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540" w:type="dxa"/>
            <w:vAlign w:val="bottom"/>
            <w:gridSpan w:val="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4. Controls and Procedures</w:t>
              </w:r>
            </w:hyperlink>
          </w:p>
        </w:tc>
        <w:tc>
          <w:tcPr>
            <w:tcW w:w="8220" w:type="dxa"/>
            <w:vAlign w:val="bottom"/>
            <w:gridSpan w:val="1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PART II. OTHER INFORMATION</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980" w:type="dxa"/>
            <w:vAlign w:val="bottom"/>
            <w:gridSpan w:val="1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8960" w:type="dxa"/>
            <w:vAlign w:val="bottom"/>
            <w:gridSpan w:val="16"/>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5640" w:type="dxa"/>
            <w:vAlign w:val="bottom"/>
            <w:gridSpan w:val="6"/>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4.</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Submission of Matters to a Vote of Security-Holders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2460" w:type="dxa"/>
            <w:vAlign w:val="bottom"/>
            <w:tcBorders>
              <w:top w:val="single" w:sz="8" w:color="0000EE"/>
            </w:tcBorders>
            <w:gridSpan w:val="8"/>
          </w:tcPr>
          <w:p>
            <w:pPr>
              <w:spacing w:after="0"/>
              <w:rPr>
                <w:sz w:val="17"/>
                <w:szCs w:val="17"/>
                <w:color w:val="auto"/>
              </w:rPr>
            </w:pPr>
          </w:p>
        </w:tc>
        <w:tc>
          <w:tcPr>
            <w:tcW w:w="6220" w:type="dxa"/>
            <w:vAlign w:val="bottom"/>
            <w:gridSpan w:val="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6.</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SIGNATURES</w:t>
              </w:r>
            </w:hyperlink>
          </w:p>
        </w:tc>
        <w:tc>
          <w:tcPr>
            <w:tcW w:w="9400" w:type="dxa"/>
            <w:vAlign w:val="bottom"/>
            <w:gridSpan w:val="1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REFERENCES TO OUR COMMON STOCK</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Throughout this Form 10-Q, the words “we,” “us,” “our,” and “StemCells” refer to StemCells, Inc., including StemCells California, Inc., our wholly-owned subsidiary, and the owner or licensee of most of our intellectual property. “Common stock” refers to our common stock, $.01 par value.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 2008</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16,170,526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Marketable securities, 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5,175,023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26,696,413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Note receivable</w:t>
            </w:r>
          </w:p>
        </w:tc>
        <w:tc>
          <w:tcPr>
            <w:tcW w:w="16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590,820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1,032,482</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22,059,033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38,752,695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securities, non-current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3,379,952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3,905,404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non-current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2,043,650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678,570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28,483,141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48,282,566</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1,360,341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1,500,038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Accrued wind-down expenses, 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1,338,344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1,374,632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 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54,065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lease obligation, current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Bonds payable, current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4,840,470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Capital lease obligation, non-current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11,331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Bonds payable, non-current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Deposits and other long-term liabilities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527,804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non-current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4,098,086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180,429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163,865</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10,618,531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13,070,666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 (Note 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$.01 par value; 250,000,000 shares authorized; issued and outstanding 81,103,102 at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September 30, 2008 and 80,681,087 at December 31, 2007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811,030</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267,948,249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264,603,711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6"/>
              </w:rPr>
              <w:t>(248,919,164)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(229,914,747)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(1,975,505)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17,864,610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28,483,141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48,282,566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Revenue from licensing agreements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12,379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13,162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59,561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4,171,799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5,621,955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13,087,165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14,139,297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1,631,580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2,043,275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6,231,629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5,716,480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53,636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83,661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381,136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5,857,015</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7,748,891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19,699,930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20,295,248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(5,844,636)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(7,735,729)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4"/>
              </w:rPr>
              <w:t>(19,640,369)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(20,268,300)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License and settlement agreement, net</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138,332</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617,616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738,107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1,926,753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(26,849)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(18,145)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582,226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635,952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3,071,055</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(5,743,953</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(7,153,503</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(19,004,417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(17,197,245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Shares used to compute basic and diluted loss per share</w:t>
            </w:r>
          </w:p>
        </w:tc>
        <w:tc>
          <w:tcPr>
            <w:tcW w:w="10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80,961,150</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80,065,667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80,827,141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79,478,537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Nine months ended</w:t>
      </w:r>
    </w:p>
    <w:p>
      <w:pPr>
        <w:jc w:val="center"/>
        <w:ind w:left="85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(19,004,417)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2"/>
              </w:rPr>
              <w:t>(17,197,245)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895,617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869,432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payment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3,021,444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income from license and settlement agreement,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interest and other receivables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Prepaid and other assets, current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441,662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 non-current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(322,821)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(1,415,468)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wind-down expenses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(707,061)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(2,464)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(214,104)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Deposits and other long-term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(17,165,645)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(15,009,151)</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maturities of marketable securities,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22,658,794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Purchases of marketable securities, net</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2"/>
              </w:rPr>
              <w:t>(25,746,705)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Prepayment of advance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(261,693)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(1,260,961)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(24,375)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23,372,726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(23,980,350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194,061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3,545,489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 proceeds of capital lease obligations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Repayment of debt obligations</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204,276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6,411,357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(34,266,328)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9,759,169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51,795,529</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16,170,526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17,529,201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84,010</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 issued for licensing agreement(1)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terms of a license agreement with the California Institute of Technology (Cal Tech), annual fees of $5,000 were due on each of two patents to which we hold a license from Cal Tech, payable in cash or common stock at our choice. We elected to pay the fees in stock and issued 6,924 and 3,865 shares of our common stock in 2008 and 2007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StemCells, Inc., a Delaware corporation, is a biopharmaceutical company that operates in one segment, the development of novel cell-based therapeutics designed to treat human diseases and disorders.</w:t>
      </w:r>
    </w:p>
    <w:p>
      <w:pPr>
        <w:spacing w:after="0" w:line="62"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accompanying financial data as of and for the three and nine months ended September 30, 2008 and 2007 has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(U.S. GAAP) have been condensed or omitted pursuant to such rules and regulations. The December 31, 2007 condensed consolidated balance sheet was derived from audited financial statements, but does not include all disclosures required by US GAAP. However, we believe that the disclosures are adequate to make the information presented not misleading. These condensed consolidated financial statements should be read in conjunction with the consolidated financial statements and the notes thereto, included in our Annual Report on Form 10-K for the fiscal year ended December 31, 2007.</w:t>
      </w:r>
    </w:p>
    <w:p>
      <w:pPr>
        <w:spacing w:after="0" w:line="70"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expect to incur additional operating losses over the foreseeable future. We have very limited liquidity and capital resources and must obtain significant additional capital and other resources in order to sustain our product development efforts, to provide funding for the acquisition of technologies, businesses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StemCells, Inc. and our wholly-owned subsidiary, StemCells California, Inc. All intercompany accounts and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management to make judgments, assumptions and estimates that affect the amounts reported in our condensed consolidated financial statements and accompanying notes. Actual results could differ materially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Significant estimates include the following:</w:t>
      </w:r>
    </w:p>
    <w:p>
      <w:pPr>
        <w:spacing w:after="0" w:line="117" w:lineRule="exact"/>
        <w:rPr>
          <w:sz w:val="20"/>
          <w:szCs w:val="20"/>
          <w:color w:val="auto"/>
        </w:rPr>
      </w:pPr>
    </w:p>
    <w:p>
      <w:pPr>
        <w:ind w:left="660" w:right="2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The grant date fair value of stock-based awards recognized as compensation expense in accordance with the provisions of Statement of Financial Accounting Standards No.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xml:space="preserve"> (SFAS 123R). (See Note 4).</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Accrued wind-down expenses. (See Note 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Certain reclassifications of prior year amounts have been made to conform to the current year presentation. Deferred rent of approximately $290,000 has been reclassified from “Deferred rent, non-current” to “Deferred rent, current” on the condensed consolidated balance sheet as of December 31, 2007 to conform to the current year presentation. The reclassifications had no effect on total assets, total liabilities, equity, or net loss previously reported.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consider money market accounts and investments with a maturity of 90 days or less from the date of purchase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Our existing marketable debt and equity securities are designated as available-for-sale securities. These securities are carried at fair value (see Note 2, “Financial Assets”), with the unrealized gains and losses reported as a component of stockholders’ equity. The balance sheet classification of our marketable debt securities as current or non-current is based on their maturity dates. Investments with remaining maturities of 365 days or less not classified as cash equivalents are classified as “Marketable securities, current.” Investments with remaining maturities greater than 365 days are classified as “Marketable securities, non-current.” Management determines the appropriate designation of its investments in marketable debt and equity securities at the time of purchase and reevaluates such designation as of each balance sheet date. The cost of securities sold is based upon the specific identification method.</w:t>
      </w:r>
    </w:p>
    <w:p>
      <w:pPr>
        <w:spacing w:after="0" w:line="5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No such impairment was recognized during the three and nine months ended September 30, 2008 and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receivables generally consist of interest income on our financial instruments, revenue from licensing agreements, and rent from our sub-lease tenants.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121"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We account for share-based payment awards to employees in accordance with SFAS 123R. The compensation expense we record for these awards is based on their grant date fair value as calculated and amortized over their vesting period. See Note 4, “Share-Based Payment” for further information.</w:t>
      </w:r>
    </w:p>
    <w:p>
      <w:pPr>
        <w:spacing w:after="0" w:line="16"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 xml:space="preserve">We account for stock-based awards granted to non-employees in accordance with SFAS 123 and Emerging Issues Task Force (EITF) 96-18,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Equity Instruments That Are Issued To Other Than Employees For Acquiring, Or In Conjunction With Selling, Goods Or Services</w:t>
      </w:r>
      <w:r>
        <w:rPr>
          <w:rFonts w:ascii="Arial" w:cs="Arial" w:eastAsia="Arial" w:hAnsi="Arial"/>
          <w:sz w:val="18"/>
          <w:szCs w:val="18"/>
          <w:color w:val="auto"/>
        </w:rPr>
        <w:t>, and accordingly,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the estimated fair value of such options as calculated using the Black-Scholes-Merton (Black-Scholes) model. The estimated fair value is re-measured at each reporting date and is amortized over the remaining vesting period.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Diluted net loss per share is computed based on the weighted-average number of shares of common stock and other dilutive securities. To the extent these securities are anti-dilutive, they are excluded from the calculation of diluted earnings per share.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reconciliation of the numerators and denominators of the basic and diluted earnings per share computations: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Borders>
              <w:bottom w:val="single" w:sz="8" w:color="auto"/>
            </w:tcBorders>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1"/>
              </w:rPr>
              <w:t>(5,743,953)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1"/>
              </w:rPr>
              <w:t>(7,153,503)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0"/>
              </w:rPr>
              <w:t>(19,004,417)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(17,197,245)</w:t>
            </w: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used to compute</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spacing w:after="0"/>
              <w:rPr>
                <w:sz w:val="20"/>
                <w:szCs w:val="20"/>
                <w:color w:val="auto"/>
              </w:rPr>
            </w:pPr>
          </w:p>
        </w:tc>
        <w:tc>
          <w:tcPr>
            <w:tcW w:w="1060" w:type="dxa"/>
            <w:vAlign w:val="bottom"/>
          </w:tcPr>
          <w:p>
            <w:pPr>
              <w:jc w:val="right"/>
              <w:ind w:right="179"/>
              <w:spacing w:after="0"/>
              <w:rPr>
                <w:sz w:val="20"/>
                <w:szCs w:val="20"/>
                <w:color w:val="auto"/>
              </w:rPr>
            </w:pPr>
            <w:r>
              <w:rPr>
                <w:rFonts w:ascii="Arial" w:cs="Arial" w:eastAsia="Arial" w:hAnsi="Arial"/>
                <w:sz w:val="18"/>
                <w:szCs w:val="18"/>
                <w:color w:val="auto"/>
                <w:w w:val="86"/>
              </w:rPr>
              <w:t>80,961,150</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w w:val="86"/>
              </w:rPr>
              <w:t>80,065,667</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8"/>
                <w:szCs w:val="18"/>
                <w:color w:val="auto"/>
                <w:w w:val="95"/>
              </w:rPr>
              <w:t>80,827,141</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color w:val="auto"/>
                <w:w w:val="95"/>
              </w:rPr>
              <w:t>79,478,537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(0.22)</w:t>
            </w:r>
          </w:p>
        </w:tc>
      </w:tr>
    </w:tbl>
    <w:p>
      <w:pPr>
        <w:spacing w:after="0" w:line="94"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because the effect would have been anti-dilutive as of September 30: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4"/>
                <w:szCs w:val="14"/>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8,471,887</w:t>
            </w:r>
          </w:p>
        </w:tc>
        <w:tc>
          <w:tcPr>
            <w:tcW w:w="28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9,033,794</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1,650,000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1,255,000</w:t>
            </w:r>
          </w:p>
        </w:tc>
        <w:tc>
          <w:tcPr>
            <w:tcW w:w="28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1,355,000</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11,376,887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10,388,794</w:t>
            </w:r>
          </w:p>
        </w:tc>
        <w:tc>
          <w:tcPr>
            <w:tcW w:w="32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600" w:firstLine="225"/>
        <w:spacing w:after="0" w:line="264" w:lineRule="auto"/>
        <w:rPr>
          <w:sz w:val="20"/>
          <w:szCs w:val="20"/>
          <w:color w:val="auto"/>
        </w:rPr>
      </w:pPr>
      <w:r>
        <w:rPr>
          <w:rFonts w:ascii="Arial" w:cs="Arial" w:eastAsia="Arial" w:hAnsi="Arial"/>
          <w:sz w:val="18"/>
          <w:szCs w:val="18"/>
          <w:color w:val="auto"/>
        </w:rPr>
        <w:t>Comprehensive loss is comprised of net losses and other comprehensive loss (OCL). OCL includes certain changes in stockholders’ equity that are excluded from net losses. Specifically, we include in OCL changes in unrealized gains and losses on our marketable securities. Accumulated other comprehensive loss was $1,975,505 as of September 30, 2008 and $283,874 as of December 31, 2007.</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Comprehensive loss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(5,743,953)</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(7,153,503)</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(19,004,417)</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(17,197,245)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Net change in unrealized gains and losses on marketable securities</w:t>
            </w:r>
          </w:p>
        </w:tc>
        <w:tc>
          <w:tcPr>
            <w:tcW w:w="4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(272,066)</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(436,331)</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(1,691,631)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(3,620,563)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(6,016,019)</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(7,589,834)</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(20,696,048)</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(20,817,808)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 xml:space="preserve">In September 2006, the Financial Accounting Standards Board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adopted the provisions of SFAS 157 that became effective in our first quarter of 2008. See Note 3 “Fair Value Measurement” for further information about the adoption of the required provisions of SFAS 157.</w:t>
      </w:r>
    </w:p>
    <w:p>
      <w:pPr>
        <w:spacing w:after="0" w:line="80" w:lineRule="exact"/>
        <w:rPr>
          <w:sz w:val="20"/>
          <w:szCs w:val="20"/>
          <w:color w:val="auto"/>
        </w:rPr>
      </w:pPr>
    </w:p>
    <w:p>
      <w:pPr>
        <w:jc w:val="both"/>
        <w:ind w:right="120" w:firstLine="225"/>
        <w:spacing w:after="0" w:line="279" w:lineRule="auto"/>
        <w:rPr>
          <w:sz w:val="20"/>
          <w:szCs w:val="20"/>
          <w:color w:val="auto"/>
        </w:rPr>
      </w:pPr>
      <w:r>
        <w:rPr>
          <w:rFonts w:ascii="Arial" w:cs="Arial" w:eastAsia="Arial" w:hAnsi="Arial"/>
          <w:sz w:val="17"/>
          <w:szCs w:val="17"/>
          <w:color w:val="auto"/>
        </w:rPr>
        <w:t xml:space="preserve">In February 2008, the FASB issued FASB Staff Position (FSP) No. FAS 157-2, </w:t>
      </w:r>
      <w:r>
        <w:rPr>
          <w:rFonts w:ascii="Arial" w:cs="Arial" w:eastAsia="Arial" w:hAnsi="Arial"/>
          <w:sz w:val="17"/>
          <w:szCs w:val="17"/>
          <w:i w:val="1"/>
          <w:iCs w:val="1"/>
          <w:color w:val="auto"/>
        </w:rPr>
        <w:t>Effective Date of FASB Statement No. 157</w:t>
      </w:r>
      <w:r>
        <w:rPr>
          <w:rFonts w:ascii="Arial" w:cs="Arial" w:eastAsia="Arial" w:hAnsi="Arial"/>
          <w:sz w:val="17"/>
          <w:szCs w:val="17"/>
          <w:color w:val="auto"/>
        </w:rPr>
        <w:t xml:space="preserve"> (FSP 157-2). FSP 157-2 delays the effective date of SFAS 157 for nonfinancial assets and nonfinancial liabilities, except for certain items that are recognized or disclosed at fair value in the financial statements on a recurring basis (at least annually). We are currently evaluating the impact of SFAS 157 on our consolidated financial statements for items within the scope of FSP 157-2, which will become effective beginning with our first quarter of 2009.</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 xml:space="preserve">In October 2008, the FASB issued FSP No. FAS 157-3, </w:t>
      </w:r>
      <w:r>
        <w:rPr>
          <w:rFonts w:ascii="Arial" w:cs="Arial" w:eastAsia="Arial" w:hAnsi="Arial"/>
          <w:sz w:val="16"/>
          <w:szCs w:val="16"/>
          <w:i w:val="1"/>
          <w:iCs w:val="1"/>
          <w:color w:val="auto"/>
        </w:rPr>
        <w:t>Determining the Fair Value of a Financial Asset When the Market for That Asset Is Not Active</w:t>
      </w:r>
      <w:r>
        <w:rPr>
          <w:rFonts w:ascii="Arial" w:cs="Arial" w:eastAsia="Arial" w:hAnsi="Arial"/>
          <w:sz w:val="16"/>
          <w:szCs w:val="16"/>
          <w:color w:val="auto"/>
        </w:rPr>
        <w:t xml:space="preserve"> (FSP 157-3). FSP 157-3 clarifies the application of SFAS 157, in a market that is not active and provides an example to illustrate key considerations in determining the fair value of a financial asset when the market for that financial asset is not active. This FSP shall be effective upon issuance, including prior periods for which financial statements have not been issued. Revisions resulting from a change in the valuation technique or its application shall be accounted for as a change in accounting estimate. Adoption of FSP 157-3 will not have a material impact on our consolidated financial statements.</w:t>
      </w:r>
    </w:p>
    <w:p>
      <w:pPr>
        <w:spacing w:after="0" w:line="50"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115 </w:t>
      </w:r>
      <w:r>
        <w:rPr>
          <w:rFonts w:ascii="Arial" w:cs="Arial" w:eastAsia="Arial" w:hAnsi="Arial"/>
          <w:sz w:val="16"/>
          <w:szCs w:val="16"/>
          <w:color w:val="auto"/>
        </w:rPr>
        <w:t>(SFAS 159). Under SFAS 159, a company may choose, at specified election dates, to measure eligible items at fair value and report</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and losses on items for which the fair value option has been elected in earnings at each subsequent reporting date. SFAS 159 is effective for financial statements issued for fiscal years beginning after November 15, 2007, and interim periods within those fiscal years. SFAS 159 became effective beginning with our first quarter of 2008. At this time, we have chosen not to adopt the provisions of SFAS 159 for our existing financial instruments.</w:t>
      </w:r>
    </w:p>
    <w:p>
      <w:pPr>
        <w:spacing w:after="0" w:line="50"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 xml:space="preserve">In April 2008, the FASB issued FSP No.142-3, </w:t>
      </w:r>
      <w:r>
        <w:rPr>
          <w:rFonts w:ascii="Arial" w:cs="Arial" w:eastAsia="Arial" w:hAnsi="Arial"/>
          <w:sz w:val="17"/>
          <w:szCs w:val="17"/>
          <w:i w:val="1"/>
          <w:iCs w:val="1"/>
          <w:color w:val="auto"/>
        </w:rPr>
        <w:t>Determination of the Useful Life of Intangible Assets</w:t>
      </w:r>
      <w:r>
        <w:rPr>
          <w:rFonts w:ascii="Arial" w:cs="Arial" w:eastAsia="Arial" w:hAnsi="Arial"/>
          <w:sz w:val="17"/>
          <w:szCs w:val="17"/>
          <w:color w:val="auto"/>
        </w:rPr>
        <w:t xml:space="preserve"> (FSP 142-3). FSP 142-3 amends the factors that should be considered in developing renewal or extension assumptions used to determine the useful life of a recognized intangible asset under FASB Statement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(SFAS 142). FSP 142-3 amends paragraph 11(d) of SFAS 142 to require an entity to use its own assumptions about renewal or extension of an arrangement, adjusted for the entity-specific factors in paragraph 11 of SFAS 142, even when there is likely to be substantial cost or material modifications. FSP 142-3 is effective for financial statements issued for fiscal years beginning after December 15, 2008, and interim periods within those fiscal years, with early adoption prohibited. We expect to adopt FSP142-3 on January 1, 2009, and we do not expect the adoption to have a material effect on our consolidated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Financial Assets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cash, cash equivalents and marketable securities: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2008</w:t>
            </w:r>
          </w:p>
        </w:tc>
        <w:tc>
          <w:tcPr>
            <w:tcW w:w="1880" w:type="dxa"/>
            <w:vAlign w:val="bottom"/>
            <w:gridSpan w:val="4"/>
          </w:tcPr>
          <w:p>
            <w:pPr>
              <w:ind w:left="620"/>
              <w:spacing w:after="0"/>
              <w:rPr>
                <w:sz w:val="20"/>
                <w:szCs w:val="20"/>
                <w:color w:val="auto"/>
              </w:rPr>
            </w:pPr>
            <w:r>
              <w:rPr>
                <w:rFonts w:ascii="Arial" w:cs="Arial" w:eastAsia="Arial" w:hAnsi="Arial"/>
                <w:sz w:val="14"/>
                <w:szCs w:val="14"/>
                <w:b w:val="1"/>
                <w:bCs w:val="1"/>
                <w:color w:val="auto"/>
                <w:w w:val="98"/>
              </w:rPr>
              <w:t>December 31, 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150,040</w:t>
            </w:r>
          </w:p>
        </w:tc>
        <w:tc>
          <w:tcPr>
            <w:tcW w:w="20" w:type="dxa"/>
            <w:vAlign w:val="bottom"/>
          </w:tcPr>
          <w:p>
            <w:pPr>
              <w:spacing w:after="0"/>
              <w:rPr>
                <w:sz w:val="18"/>
                <w:szCs w:val="18"/>
                <w:color w:val="auto"/>
              </w:rPr>
            </w:pP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Money market accounts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545,726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5,079,564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Treasury obligations and corporate debt securities (due within 90 days)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15,474,760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4,130,061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16,170,526</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9,759,169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Corporate debt securities, current (due within 1 year)</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5,175,023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26,696,413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 securities, non-current (due in 1 to 5 years)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Equity securities, non-current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321,936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marketable securities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5,496,959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29,847,384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Total cash, cash equivalents, and marketable securities, current and non-current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21,667,485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39,606,553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unrealized gains and losses related to our investments in marketable securities designated as available-for-sale: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As of September30, 2008</w:t>
            </w:r>
          </w:p>
        </w:tc>
        <w:tc>
          <w:tcPr>
            <w:tcW w:w="30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Gross unrealized</w:t>
            </w:r>
          </w:p>
        </w:tc>
        <w:tc>
          <w:tcPr>
            <w:tcW w:w="1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5,202,766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5,175,023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Equity securities</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2,269,698</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(1,947,762)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321,936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2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7,472,464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(1,977,751)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5,496,959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ind w:left="140"/>
              <w:spacing w:after="0"/>
              <w:rPr>
                <w:sz w:val="20"/>
                <w:szCs w:val="20"/>
                <w:color w:val="auto"/>
              </w:rPr>
            </w:pPr>
            <w:r>
              <w:rPr>
                <w:rFonts w:ascii="Arial" w:cs="Arial" w:eastAsia="Arial" w:hAnsi="Arial"/>
                <w:sz w:val="14"/>
                <w:szCs w:val="14"/>
                <w:b w:val="1"/>
                <w:bCs w:val="1"/>
                <w:color w:val="auto"/>
              </w:rPr>
              <w:t>As of December 31, 2007</w:t>
            </w:r>
          </w:p>
        </w:tc>
        <w:tc>
          <w:tcPr>
            <w:tcW w:w="300" w:type="dxa"/>
            <w:vAlign w:val="bottom"/>
          </w:tcPr>
          <w:p>
            <w:pPr>
              <w:spacing w:after="0"/>
              <w:rPr>
                <w:sz w:val="24"/>
                <w:szCs w:val="24"/>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Amortized cost</w:t>
            </w:r>
          </w:p>
        </w:tc>
        <w:tc>
          <w:tcPr>
            <w:tcW w:w="620" w:type="dxa"/>
            <w:vAlign w:val="bottom"/>
            <w:vMerge w:val="restart"/>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Gross unrealized</w:t>
            </w:r>
          </w:p>
        </w:tc>
        <w:tc>
          <w:tcPr>
            <w:tcW w:w="14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$ 27,861,218</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(3,548)</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$ 27,885,916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Equity securities</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2,269,697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(308,229)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1,961,468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$ 30,130,915</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(311,777)</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$ 29,847,384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vMerge w:val="restart"/>
          </w:tcPr>
          <w:p>
            <w:pPr>
              <w:jc w:val="right"/>
              <w:ind w:right="15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Gross unrealized gains and losses on cash equivalents were not material at September 30, 2008 and December 31, 2007. Our investments in marketable corporate debt securities consist primarily of commercial paper, corporate bonds, and asset-backed securities.</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Our investment in marketable equity securities consists of shares in ReNeuron Group plc, a publicly listed UK corporation. In July 2005, we entered into a license and settlement agreement with ReNeuron Limited, a wholly-owned subsidiary of ReNeuron Group plc, (collectively referred to as “ReNeuron”). As part of the agreement, we granted ReNeuron a license that allows ReNeuron to exploit its “c-mycER” conditionally immortalized adult 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February 2007, we sold 5,275,000 ordinary shares of ReNeuron for net proceeds of approximately $3,075,000 and we recognized a realized gain of approximately $716,000. In February 2007, as a consequence of certain anti-dilution provisions in the agreement, ReNeuron issued us an additional 822,000 shares of common stock net of approximately 12,000 shares which were transferred to NeuroSpheres Ltd. (NeuroSpheres), a Canadian corporation from which we have licensed some of the patent rights that are subject to the agreement with ReNeuron. We recorded approximately $550,000 as other income for the additional shares. We owned 4,821,924 ordinary shares of ReNeuron at September 30, 2008 and December 31, 2007 and the fair value of those shares was approximately $322,000 at September 30, 2008 and approximately $1,961,000 at December 31, 2007.</w:t>
      </w:r>
    </w:p>
    <w:p>
      <w:pPr>
        <w:spacing w:after="0" w:line="6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Changes in the market value of our ReNeuron shares as a result of changes in market price per share or the exchange rate between the US dollar and the British pound are accounted for under “other comprehensive loss” if deemed temporary and are not recorded as “other income (expense), net” until the shares are disposed of and a gain or loss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w:t>
      </w:r>
    </w:p>
    <w:p>
      <w:pPr>
        <w:spacing w:after="0" w:line="121"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Effective January 1, 2008, we adopted SFAS 157, except as it applies to the nonfinancial assets and nonfinancial liabilities subject to FSP SFAS 157-2.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SFAS 157 establishes a three-tier value hierarchy, which prioritizes the inputs used in the valuation methodologies in measuring fair value: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that reflect quoted prices (unadjusted) for identical assets or liabilities in active markets.</w:t>
      </w:r>
    </w:p>
    <w:p>
      <w:pPr>
        <w:spacing w:after="0" w:line="117" w:lineRule="exact"/>
        <w:rPr>
          <w:sz w:val="20"/>
          <w:szCs w:val="20"/>
          <w:color w:val="auto"/>
        </w:rPr>
      </w:pPr>
    </w:p>
    <w:p>
      <w:pPr>
        <w:ind w:left="460" w:right="1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Directly or indirectly observable inputs other than in Level 1, that include quoted prices for similar assets or liabilities in active markets or</w:t>
      </w:r>
      <w:r>
        <w:rPr>
          <w:rFonts w:ascii="Arial" w:cs="Arial" w:eastAsia="Arial" w:hAnsi="Arial"/>
          <w:sz w:val="18"/>
          <w:szCs w:val="18"/>
          <w:b w:val="1"/>
          <w:bCs w:val="1"/>
          <w:color w:val="auto"/>
        </w:rPr>
        <w:t xml:space="preserve"> </w:t>
      </w:r>
      <w:r>
        <w:rPr>
          <w:rFonts w:ascii="Arial" w:cs="Arial" w:eastAsia="Arial" w:hAnsi="Arial"/>
          <w:sz w:val="18"/>
          <w:szCs w:val="18"/>
          <w:color w:val="auto"/>
        </w:rPr>
        <w:t>quoted prices for identical or similar assets or liabilities in markets that are not active.</w:t>
      </w:r>
    </w:p>
    <w:p>
      <w:pPr>
        <w:spacing w:after="0" w:line="54" w:lineRule="exact"/>
        <w:rPr>
          <w:sz w:val="20"/>
          <w:szCs w:val="20"/>
          <w:color w:val="auto"/>
        </w:rPr>
      </w:pPr>
    </w:p>
    <w:p>
      <w:pPr>
        <w:ind w:left="460" w:right="56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which are supported by little or no market activity that reflects the reporting entity’s own assumptions about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market participants would use in pricing the asset or liability</w:t>
      </w:r>
    </w:p>
    <w:p>
      <w:pPr>
        <w:spacing w:after="0" w:line="58"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In accordance with SFAS 157, we measure our financial assets and liabilities at fair value. Our cash equivalents and marketable securities are primarily classified within Level 1 or Level 2. This is because our cash equivalents and marketable securities are valued primarily using quoted market prices or alternative pricing sources and models utilizing market observable inputs. We currently do not have any Level 3 financial assets or liabilities.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assets and liabilities measured at fair value: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Fair value measurement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3"/>
          </w:tcPr>
          <w:p>
            <w:pPr>
              <w:jc w:val="center"/>
              <w:ind w:left="537"/>
              <w:spacing w:after="0" w:line="149" w:lineRule="exact"/>
              <w:rPr>
                <w:sz w:val="20"/>
                <w:szCs w:val="20"/>
                <w:color w:val="auto"/>
              </w:rPr>
            </w:pPr>
            <w:r>
              <w:rPr>
                <w:rFonts w:ascii="Arial" w:cs="Arial" w:eastAsia="Arial" w:hAnsi="Arial"/>
                <w:sz w:val="14"/>
                <w:szCs w:val="14"/>
                <w:b w:val="1"/>
                <w:bCs w:val="1"/>
                <w:color w:val="auto"/>
                <w:w w:val="92"/>
              </w:rPr>
              <w:t>at reporting date using</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Quoted Prices</w:t>
            </w:r>
          </w:p>
        </w:tc>
        <w:tc>
          <w:tcPr>
            <w:tcW w:w="17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280" w:type="dxa"/>
            <w:vAlign w:val="bottom"/>
            <w:gridSpan w:val="4"/>
          </w:tcPr>
          <w:p>
            <w:pPr>
              <w:ind w:left="2400"/>
              <w:spacing w:after="0" w:line="149" w:lineRule="exact"/>
              <w:rPr>
                <w:sz w:val="20"/>
                <w:szCs w:val="20"/>
                <w:color w:val="auto"/>
              </w:rPr>
            </w:pPr>
            <w:r>
              <w:rPr>
                <w:rFonts w:ascii="Arial" w:cs="Arial" w:eastAsia="Arial" w:hAnsi="Arial"/>
                <w:sz w:val="14"/>
                <w:szCs w:val="14"/>
                <w:b w:val="1"/>
                <w:bCs w:val="1"/>
                <w:color w:val="auto"/>
              </w:rPr>
              <w:t>in Active Markets for</w:t>
            </w:r>
          </w:p>
        </w:tc>
        <w:tc>
          <w:tcPr>
            <w:tcW w:w="1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Equivalents: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54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545,726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U.S. Treasury obligations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15,474,760</w:t>
            </w:r>
          </w:p>
        </w:tc>
        <w:tc>
          <w:tcPr>
            <w:tcW w:w="4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15,474,760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321,936</w:t>
            </w:r>
          </w:p>
        </w:tc>
        <w:tc>
          <w:tcPr>
            <w:tcW w:w="4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2,779,553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2,779,553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Asset-Backed securities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2,395,470</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2,395,470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16,342,422</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5,175,023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21,517,445</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obligation</w:t>
            </w:r>
          </w:p>
        </w:tc>
        <w:tc>
          <w:tcPr>
            <w:tcW w:w="254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1,045,416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1,045,416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Payment</w:t>
      </w:r>
    </w:p>
    <w:p>
      <w:pPr>
        <w:spacing w:after="0" w:line="121"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currently grant stock-based awards under three equity incentive plans. We had 15,227,244 shares authorized under the three plans as of September 30, 2008. Under these plans we may grant incentive stock options, nonqualified stock options, stock appreciation rights, restricted stock, restricted stock units, and performance-based shares to our employees, directors and consultants, at prices determined by our Board of Directors. Incentive stock options may only be granted to employees under these plans with a grant price not less than the fair market value on the date of grant.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compensation expense for stock options and restricted stock units issued from our equity incentive plans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3"/>
          </w:tcPr>
          <w:p>
            <w:pPr>
              <w:jc w:val="right"/>
              <w:ind w:right="874"/>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4"/>
                <w:szCs w:val="14"/>
                <w:color w:val="auto"/>
              </w:rPr>
            </w:pPr>
          </w:p>
        </w:tc>
        <w:tc>
          <w:tcPr>
            <w:tcW w:w="2720" w:type="dxa"/>
            <w:vAlign w:val="bottom"/>
            <w:gridSpan w:val="3"/>
          </w:tcPr>
          <w:p>
            <w:pPr>
              <w:jc w:val="right"/>
              <w:ind w:right="85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91"/>
              </w:rPr>
              <w:t>September 30,</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91"/>
              </w:rPr>
              <w:t>September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2008</w:t>
            </w:r>
          </w:p>
        </w:tc>
        <w:tc>
          <w:tcPr>
            <w:tcW w:w="9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color w:val="auto"/>
              </w:rPr>
              <w:t>2007</w:t>
            </w: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2008</w:t>
            </w:r>
          </w:p>
        </w:tc>
        <w:tc>
          <w:tcPr>
            <w:tcW w:w="9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473,828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89"/>
              </w:rPr>
              <w:t>418,764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1,430,157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986,366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465,351</w:t>
            </w: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89"/>
              </w:rPr>
              <w:t>385,285</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1,443,788</w:t>
            </w:r>
          </w:p>
        </w:tc>
        <w:tc>
          <w:tcPr>
            <w:tcW w:w="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7"/>
              </w:rPr>
              <w:t>1,080,205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Total employee stock based compensation expense and effect on</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939,179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89"/>
              </w:rPr>
              <w:t>804,049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2,873,945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7"/>
              </w:rPr>
              <w:t>2,066,571</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Effect on basic and diluted net loss per common share</w:t>
            </w: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15"/>
        <w:spacing w:after="0" w:line="308" w:lineRule="auto"/>
        <w:rPr>
          <w:sz w:val="20"/>
          <w:szCs w:val="20"/>
          <w:color w:val="auto"/>
        </w:rPr>
      </w:pPr>
      <w:r>
        <w:rPr>
          <w:rFonts w:ascii="Arial" w:cs="Arial" w:eastAsia="Arial" w:hAnsi="Arial"/>
          <w:sz w:val="17"/>
          <w:szCs w:val="17"/>
          <w:color w:val="auto"/>
        </w:rPr>
        <w:t>As of September 30, 2008, we have approximately $5,570,000 of total unrecognized compensation expense related to unvested options and restricted stock units granted under our various stock-based plans that we expect to recognize over a weighted-average vesting period of 2.3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Generally, stock options granted to employees have a maximum term of ten years, and vest over a four year period from the date of grant; 25% vest at the end of one year, and 75% vest monthly over the remaining three years. We may grant options with different vesting terms from time to time. Upon employee termination of service, any unexercised vested option will be forfeited three months following termination or the expiration of the option, whichever is earlier. Unvested options are forfeited on termination.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stock option activity for the three months ended September 30,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Number of options</w:t>
            </w:r>
          </w:p>
        </w:tc>
        <w:tc>
          <w:tcPr>
            <w:tcW w:w="500" w:type="dxa"/>
            <w:vAlign w:val="bottom"/>
          </w:tcPr>
          <w:p>
            <w:pPr>
              <w:spacing w:after="0"/>
              <w:rPr>
                <w:sz w:val="14"/>
                <w:szCs w:val="14"/>
                <w:color w:val="auto"/>
              </w:rPr>
            </w:pPr>
          </w:p>
        </w:tc>
        <w:tc>
          <w:tcPr>
            <w:tcW w:w="1260" w:type="dxa"/>
            <w:vAlign w:val="bottom"/>
          </w:tcPr>
          <w:p>
            <w:pPr>
              <w:jc w:val="right"/>
              <w:ind w:right="2"/>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June 30, 2008</w:t>
            </w:r>
          </w:p>
        </w:tc>
        <w:tc>
          <w:tcPr>
            <w:tcW w:w="52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8,629,392</w:t>
            </w:r>
          </w:p>
        </w:tc>
        <w:tc>
          <w:tcPr>
            <w:tcW w:w="17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5280" w:type="dxa"/>
            <w:vAlign w:val="bottom"/>
            <w:gridSpan w:val="4"/>
          </w:tcPr>
          <w:p>
            <w:pPr>
              <w:jc w:val="right"/>
              <w:ind w:right="480"/>
              <w:spacing w:after="0"/>
              <w:rPr>
                <w:sz w:val="20"/>
                <w:szCs w:val="20"/>
                <w:color w:val="auto"/>
              </w:rPr>
            </w:pPr>
            <w:r>
              <w:rPr>
                <w:rFonts w:ascii="Arial" w:cs="Arial" w:eastAsia="Arial" w:hAnsi="Arial"/>
                <w:sz w:val="18"/>
                <w:szCs w:val="18"/>
                <w:color w:val="auto"/>
              </w:rPr>
              <w:t>210,000</w:t>
            </w:r>
          </w:p>
        </w:tc>
        <w:tc>
          <w:tcPr>
            <w:tcW w:w="1760" w:type="dxa"/>
            <w:vAlign w:val="bottom"/>
            <w:gridSpan w:val="2"/>
          </w:tcPr>
          <w:p>
            <w:pPr>
              <w:jc w:val="right"/>
              <w:ind w:right="40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Cancelled</w:t>
            </w:r>
          </w:p>
        </w:tc>
        <w:tc>
          <w:tcPr>
            <w:tcW w:w="4060" w:type="dxa"/>
            <w:vAlign w:val="bottom"/>
            <w:gridSpan w:val="2"/>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(367,505)</w:t>
            </w:r>
          </w:p>
        </w:tc>
        <w:tc>
          <w:tcPr>
            <w:tcW w:w="1760" w:type="dxa"/>
            <w:vAlign w:val="bottom"/>
            <w:gridSpan w:val="2"/>
          </w:tcPr>
          <w:p>
            <w:pPr>
              <w:jc w:val="right"/>
              <w:ind w:right="40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September 30, 2008</w:t>
            </w:r>
          </w:p>
        </w:tc>
        <w:tc>
          <w:tcPr>
            <w:tcW w:w="40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8,471,887</w:t>
            </w: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580" w:type="dxa"/>
            <w:vAlign w:val="bottom"/>
            <w:vMerge w:val="restart"/>
          </w:tcPr>
          <w:p>
            <w:pPr>
              <w:jc w:val="right"/>
              <w:ind w:right="207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estimated weighted-average fair value per share of options granted in the three months ended September 30, 2008 was approximately $0.93. The fair value of options granted is estimated as of the date of grant using the Black-Scholes option pricing model, which requires certain assumptions as of the date of grant. The weighted-average assumptions used as of September 30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574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71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728"/>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4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(years)(1)</w:t>
            </w:r>
          </w:p>
        </w:tc>
        <w:tc>
          <w:tcPr>
            <w:tcW w:w="10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7.71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6.25</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7.22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6.25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rate(2)</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3.56%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4.28%</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3.32%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4.39%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93.78%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8"/>
              </w:rPr>
              <w:t>93.35%</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93.81%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95.49%</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term represents the period during which our stock-based awards are expected to be outstanding. In 2008 we estimated this amount based on historical experience of similar awards, giving consideration to the contractual terms of the awards, vesting requirements, and expectation of future employee behavior, including post-vesting terminations. In 2007 the expected term is equal to the average of the contractual life of the stock option and its vesting period as of the date of grant.</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debt securities with maturities close to the expected term of the option as of the date of grant.</w:t>
      </w:r>
    </w:p>
    <w:p>
      <w:pPr>
        <w:spacing w:after="0" w:line="9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over the most recent historical period equal to the length of the expected term of the option as of the date of grant.</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not historically issued any dividends and we do not expect to in the foreseeable future.</w:t>
      </w:r>
    </w:p>
    <w:p>
      <w:pPr>
        <w:spacing w:after="0" w:line="117" w:lineRule="exact"/>
        <w:rPr>
          <w:sz w:val="20"/>
          <w:szCs w:val="20"/>
          <w:color w:val="auto"/>
        </w:rPr>
      </w:pPr>
    </w:p>
    <w:p>
      <w:pPr>
        <w:ind w:right="380" w:firstLine="215"/>
        <w:spacing w:after="0" w:line="277" w:lineRule="auto"/>
        <w:rPr>
          <w:sz w:val="20"/>
          <w:szCs w:val="20"/>
          <w:color w:val="auto"/>
        </w:rPr>
      </w:pPr>
      <w:r>
        <w:rPr>
          <w:rFonts w:ascii="Arial" w:cs="Arial" w:eastAsia="Arial" w:hAnsi="Arial"/>
          <w:sz w:val="18"/>
          <w:szCs w:val="18"/>
          <w:color w:val="auto"/>
        </w:rPr>
        <w:t>At the end of each reporting period, we estimate forfeiture rates based on our historical experience within separate groups of employees and adjust the share-based payment expense accordingly.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unvested options for the three months ended September 30,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4"/>
          </w:tcPr>
          <w:p>
            <w:pPr>
              <w:ind w:left="28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 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June 30, 2008</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3,656,252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210,000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(672,085)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(276,550)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September 30, 2008</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2,917,617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estimated fair value of options vested was approximately $1,284,000 for the three months ended September 30,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March 2008, we granted restricted stock units to certain employees that entitle the holders to receive shares of our common stock upon vesting. These restricted stock units vest over a three-year period from the date of grant: one-third of the award will vest on each grant date anniversary over the following three years. The fair value of restricted stock units granted are based upon the market price of the underlying common stock as if it were vested and issued on the date of grant.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restricted stock unit activity for the three months ended September 30,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Number of RSUs</w:t>
            </w:r>
          </w:p>
        </w:tc>
        <w:tc>
          <w:tcPr>
            <w:tcW w:w="620" w:type="dxa"/>
            <w:vAlign w:val="bottom"/>
            <w:vMerge w:val="restart"/>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grant 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Outstanding RSUs at June 30, 2008</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1,650,000</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Cancelled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Outstanding RSUs at September 30, 2008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1,650,000</w:t>
            </w:r>
          </w:p>
        </w:tc>
        <w:tc>
          <w:tcPr>
            <w:tcW w:w="6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RSUs exercisable at September 30, 2008</w:t>
            </w:r>
          </w:p>
        </w:tc>
        <w:tc>
          <w:tcPr>
            <w:tcW w:w="1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80" w:type="dxa"/>
            <w:vAlign w:val="bottom"/>
            <w:gridSpan w:val="2"/>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July 2006, we granted cash-settled Stock Appreciation Rights (SARs) to certain employees that give the holder the right, upon exercise, to the difference between the price per share of our common stock at the time of exercise and the exercise price of the SAR. The exercise price of the SAR is equal to the market price of our common stock at the date of grant. The SARs vest over a four year period from the date of grant; 25% vest at the end of one year, and 75% vest monthly over the remaining three years. Compensation expense is based on the fair value of SARs, which is calculated using the Black-Scholes option pricing model. The share-based payment expense and liability are re-measured at each reporting date through the date of settlement.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changes in SARs for the three months ended September 30,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6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Number of SARs</w:t>
            </w:r>
          </w:p>
        </w:tc>
        <w:tc>
          <w:tcPr>
            <w:tcW w:w="5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1,430,849</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spacing w:after="0"/>
              <w:rPr>
                <w:sz w:val="18"/>
                <w:szCs w:val="18"/>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Cancelled</w:t>
            </w:r>
          </w:p>
        </w:tc>
        <w:tc>
          <w:tcPr>
            <w:tcW w:w="440" w:type="dxa"/>
            <w:vAlign w:val="bottom"/>
          </w:tcPr>
          <w:p>
            <w:pPr>
              <w:spacing w:after="0"/>
              <w:rPr>
                <w:sz w:val="19"/>
                <w:szCs w:val="19"/>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tcPr>
          <w:p>
            <w:pPr>
              <w:jc w:val="right"/>
              <w:ind w:right="3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SARs at September 30, 2008</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1,430,849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color w:val="auto"/>
              </w:rPr>
              <w:t>SARs exercisable at September 30, 2008</w:t>
            </w:r>
          </w:p>
        </w:tc>
        <w:tc>
          <w:tcPr>
            <w:tcW w:w="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775,043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359"/>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For the three months ended September 30, 2008, we re-measured the compensation expense and liability related to the SARs and recorded compensation expense of approximately $25,000. The total compensation expense related to SARs was approximately $76,000 for the three months ended September 30, 2007.</w:t>
      </w:r>
    </w:p>
    <w:p>
      <w:pPr>
        <w:spacing w:after="0" w:line="73"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At September 30, 2008, approximately $241,000 of unrecognized compensation expense related to SARs is expected to be recognized over a weighted average vesting period of approximately 1.0 year.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Wind-down Expenses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October 1999, we relocated to California from Rhode Island and established a wind-down reserve for the estimated lease payments and operating costs of the scientific and administrative facility in Rhode Island.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8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summary of the changes to our wind-down reserve for the three month periods ended March 31, 2008, June 30, 2008 and September 30, 3008; the nine month period ended September 30, 2008 and for the year ended December 31, 2007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January to</w:t>
            </w:r>
          </w:p>
        </w:tc>
        <w:tc>
          <w:tcPr>
            <w:tcW w:w="46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April to</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July to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January to</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January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$ 4,875,000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$ 4,704,000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4,583,000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4,875,000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5,512,000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Less actual expenses recorded against estimated</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reserve during the period</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(331,000)</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(288,000)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(316,000)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(935,000)</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expense recorded to revise estimated</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 at period-end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167,000</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54,000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381,000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783,000</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4,704,000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4,583,000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4,321,000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4,321,000</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4,875,000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period-end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1,115,000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1,115,000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1,268,000</w:t>
            </w:r>
          </w:p>
        </w:tc>
        <w:tc>
          <w:tcPr>
            <w:tcW w:w="0" w:type="dxa"/>
            <w:vAlign w:val="bottom"/>
          </w:tcPr>
          <w:p>
            <w:pPr>
              <w:spacing w:after="0"/>
              <w:rPr>
                <w:sz w:val="1"/>
                <w:szCs w:val="1"/>
                <w:color w:val="auto"/>
              </w:rPr>
            </w:pPr>
          </w:p>
        </w:tc>
      </w:tr>
      <w:tr>
        <w:trPr>
          <w:trHeight w:val="209"/>
        </w:trPr>
        <w:tc>
          <w:tcPr>
            <w:tcW w:w="4100" w:type="dxa"/>
            <w:vAlign w:val="bottom"/>
            <w:gridSpan w:val="2"/>
          </w:tcPr>
          <w:p>
            <w:pPr>
              <w:spacing w:after="0"/>
              <w:rPr>
                <w:sz w:val="20"/>
                <w:szCs w:val="20"/>
                <w:color w:val="auto"/>
              </w:rPr>
            </w:pPr>
            <w:r>
              <w:rPr>
                <w:rFonts w:ascii="Arial" w:cs="Arial" w:eastAsia="Arial" w:hAnsi="Arial"/>
                <w:sz w:val="18"/>
                <w:szCs w:val="18"/>
                <w:color w:val="auto"/>
              </w:rPr>
              <w:t>Total accrued wind-down expenses at period-end</w:t>
            </w: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(current and non-current)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$ 5,922,000</w:t>
            </w: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$ 5,749,000</w:t>
            </w:r>
          </w:p>
        </w:tc>
        <w:tc>
          <w:tcPr>
            <w:tcW w:w="320" w:type="dxa"/>
            <w:vAlign w:val="bottom"/>
          </w:tcPr>
          <w:p>
            <w:pPr>
              <w:spacing w:after="0"/>
              <w:rPr>
                <w:sz w:val="20"/>
                <w:szCs w:val="20"/>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5,436,000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5,436,000</w:t>
            </w: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6,143,000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current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$ 1,383,000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$ 1,379,000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1,338,000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1,338,000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wind-down expenses, non-current</w:t>
            </w: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4,539,000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4,098,000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4,098,000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4,769,000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wind-down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$ 5,922,000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$ 5,749,000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5,436,000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5,436,000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6,143,000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14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entered into direct financing transactions with the State of Rhode Island and received proceeds from the issuance of industrial revenue bonds totaling $5,000,000 to finance the construction of our pilot manufacturing facility in Rhode Island. The related lease agreements are structured such that lease payments fully fund all semiannual interest payments and annual principal payments through maturity in August 2014. The interest rate for the remaining bond series is 9.5%. The bond contains certain restrictive covenants which limit, among other things, the payment of cash dividends and the sale of the related assets. The outstanding principal was approximately $1,045,000 at September 30, 2008 and $1,145,000 at December 31, 2007.</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entered into a fifteen-year lease agreement for a scientific and administrative facility in Rhode Island in connection with a sale and leaseback arrangement in 1997. The lease term expires June 30, 2013. The lease contains escalating rent payments, which we recognize as operating lease expense on a straight-line basis. Deferred rent expense for this facility was approximately $1,115,000 at September 30, 2008 and $1,268,000 at December 31, 2007, and is included as part of the wind-down accrual on our condensed consolidated balance sheet.</w:t>
      </w:r>
    </w:p>
    <w:p>
      <w:pPr>
        <w:spacing w:after="0" w:line="79"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We entered into and amended a lease agreement for an approximately 68,000 square foot facility located at the Stanford Research Park in Palo Alto, California. The facility includes space for laboratories, offices, and a GMP (Good Manufacturing Practices) suite. GMP facilities can be used to manufacture materials for clinical trials. The lease term expires March 31, 2010. Under the terms of the agreement we are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condensed consolidated balance sheets. The lease contains escalating rent payments, which we recognize as operating lease expense on a straight-line basis. Deferred rent for this facility was approximately $513,000 at September 30, 2008 and $728,000 at December 31, 2007, and is reflected as deferred rent on our condensed consolidated balance sheet. At September 30, 2008, we had a space-sharing agreement covering approximately 10,451 square feet of this facility. We receive base payments plus a proportionate share of the operating expenses based on square footage over the term of the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 July 9, 2008, we amended our 1997 and 2000 license agreements with NeuroSpheres. NeuroSpheres is the holder of certain patents exclusively licensed by us, including the six patents that are the basis of our patent infringement suits against Neuralstem. As part of the amendment, we agreed to pay all reasonable litigation costs, expenses and attorney’s fees incurred by NeuroSpheres in the declaratory judgment suit between us and Neuralstem. In return, we are entitled to off-set all litigation costs incurred in that suit against amounts that would otherwise be owed under the license agreements, such as annual maintenance fees, milestones and royalty payments. At this time, we cannot estimate the likely total costs of our pending litigation with Neuralstem, given the unpredictable nature of such proceedings, or the total amount we may ultimately owe under the NeuroSpheres license agreements. However, the ability to apply the offsets will run for the entire term of each license agreement. For these reasons, we have chosen to approximate the potential value of the offset receivable by assuming that all litigation charges actually incurred in the declaratory judgment action will ultimately be offset against royalties owed. Based on actual costs and other relevant factors, management will reevaluate this assumption on a quarterly basis.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7. Subsequent Events</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October 2, 2008, we were awarded a $305,000 grant from the National Institute of Diabetes and Digestive and Kidney Diseases to research and develop a potential cell-based therapeutic for liver disease arising from infection by the hepatitis C virus (HCV). The award is a Phase I grant under the Small Business Innovation Research (SBIR) Program of the National Institutes of Health. Should the objectives of the research funded by this grant be met, we anticipate applying for Phase II and additional funding under the SBIR Program.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 xml:space="preserve">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Certificate for both. In August 2008, the PTO upheld the ‘530 patent, as amended, and issued a Notice of Intent to Issue an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Certificate. The remaining two patents are still under review by the PTO.</w:t>
      </w:r>
    </w:p>
    <w:p>
      <w:pPr>
        <w:spacing w:after="0" w:line="6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We anticipate that the Maryland District Court will consolidate these actions in some manner prior to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40" w:firstLine="222"/>
        <w:spacing w:after="0" w:line="285"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II, Item 1A of this report and Part I, Item 1A included in our Annual Report on Form 10-K for the fiscal year ended December 31,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right="100" w:firstLine="225"/>
        <w:spacing w:after="0" w:line="286" w:lineRule="auto"/>
        <w:rPr>
          <w:sz w:val="20"/>
          <w:szCs w:val="20"/>
          <w:color w:val="auto"/>
        </w:rPr>
      </w:pPr>
      <w:r>
        <w:rPr>
          <w:rFonts w:ascii="Arial" w:cs="Arial" w:eastAsia="Arial" w:hAnsi="Arial"/>
          <w:sz w:val="16"/>
          <w:szCs w:val="16"/>
          <w:color w:val="auto"/>
        </w:rPr>
        <w:t>Our research and development (R&amp;D) programs are focused on identifying and developing potential cell-based therapeutics which can either restore or support organ function. Since we relocated our corporate headquarters and research laboratories to California in 1999, our R&amp;D efforts have primarily been directed at refining our methods for identifying, isolating, culturing, and purifying the human neural stem cell (our HuCNS-SC cell population) and the human liver engrafting cells (our hLEC cell population) and developing these as potential cell-based therapeutics for the central nervous system (CNS) and the liver, respectively. In our CNS Program, we are in clinical development with our HuCNS-SC</w:t>
      </w:r>
      <w:r>
        <w:rPr>
          <w:rFonts w:ascii="Arial" w:cs="Arial" w:eastAsia="Arial" w:hAnsi="Arial"/>
          <w:sz w:val="13"/>
          <w:szCs w:val="13"/>
          <w:color w:val="auto"/>
        </w:rPr>
        <w:t>®</w:t>
      </w:r>
      <w:r>
        <w:rPr>
          <w:rFonts w:ascii="Arial" w:cs="Arial" w:eastAsia="Arial" w:hAnsi="Arial"/>
          <w:sz w:val="16"/>
          <w:szCs w:val="16"/>
          <w:color w:val="auto"/>
        </w:rPr>
        <w:t xml:space="preserve"> product candidate. We have completed enrollment and dosing in a six-patient Phase I clinical trial of HuCNS-SC cells as an investigative treatment for infantile and late infantile neuronal ceroid lipofuscinosis (NCL), a fatal neurodegenerative disease often referred to as Batten disease. We expect this trial to be completed in January 2009. We are also continuing research and preclinical development work for the use of neural stem cells to treat other indications in the CNS field; and our goal is to initiate clinical trials of HuCNS-SC for a spinal cord indication, a myelin disorder in the brain, and a degenerative retinal disorder. In our Liver Program, we are in preclinical development with our human liver engrafting cells and are exploring their applicability as a cellular therapy to restore function to liver tissue by replacing dysfunctional or damaged cells. Our goal is to initiate a clinical study of our hLEC cells with the first indication anticipated to be a liver-based metabolic disorder. For a brief description of our significant research and development programs see Overview “Research and Development Programs” in the Business Section of Part I, Item 1 included in our Annual Report on Form 10-K for the fiscal year ended December 31, 2007. We have also conducted research on several other cell types and in other areas, which could lead to other possible product candidates, process improvements or further research activities.</w:t>
      </w:r>
    </w:p>
    <w:p>
      <w:pPr>
        <w:spacing w:after="0" w:line="64"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We have not derived any revenue or cash flows from the sale or commercialization of any products except for license revenue for certain of our patented cells and media for use in research. As a result, we have incurred annual operating losses since inception and expect to incur substantial operating losses in the future. Therefore, we are dependent upon external financing from equity and debt offerings, federal and state grants, and revenue from collaborative research arrangements with corporate sponsors to finance our operations. We have no such collaborative research arrangements at this time. External financing in the current financial environment may be particularly difficult, and there can be no assurance that such financing or partnering revenue will be available when needed or on terms acceptable to us.</w:t>
      </w:r>
    </w:p>
    <w:p>
      <w:pPr>
        <w:spacing w:after="0" w:line="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Before we can derive revenue or cash inflows from the commercialization of any of our product candidates, we will need to: (i) conduct substantial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and characterization of our proprietary cell types, (ii) undertake preclinical and clinical testing for specific disease indications, (iii) develop, validate and scale-up manufacturing processes to produce these cell-based therapeutics, and (iv) pursue required regulatory approvals. These steps are risky, expensive and time consuming.</w:t>
      </w:r>
    </w:p>
    <w:p>
      <w:pPr>
        <w:spacing w:after="0" w:line="79"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Overall, we expect our R&amp;D expenses to be substantial and to increase for the foreseeable future as we continue the development and clinical investigation of our current and future product candidates. However, expenditures on R&amp;D programs are subject to many uncertainties, including whether we develop our product candidates with a partner or independently. We cannot forecast with any degree of certainty which of our current product candidates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therapeutics, including future trial design and regulatory requirements, many of which cannot be 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product candidates.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Given the early stage of development of our product candidates, any estimates of when we may be able to commercialize one or more of these products would not be meaningful. Moreover, any estimate of the time and investment required to develop potential products based upon our proprietary HuCNS-SC and hLEC technologies will change depending on the ultimate approach or approaches we take to pursue them, the results of preclinical and clinical studies, and the content and timing of decisions made by the FDA and other regulatory authorities. For example, we cannot predict with any degree of certainty when the necessary regulatory and other approvals to initiate any of the various trials we are planning will be obtained, if at all. 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July 2008, at our Annual Meeting of Stockholders, our stockholders approved an increase to our authorized capital by an additional 125,000,000 shares of common stock, increasing the number of authorized shares of capital stock from 126,000,000 total shares to 251,000,000 total shares. We subsequently amended our restated certificate of incorporation to designate an additional 125,000,000 shares of common stock, bringing the total number of authorized shares of common stock to 250,000,000. These securities may be used to raise additional capital to fund the company’s working capital and other corporate needs, for future acquisitions of assets, programs or businesses, and for other corporate purposes.</w:t>
      </w:r>
    </w:p>
    <w:p>
      <w:pPr>
        <w:spacing w:after="0" w:line="64"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 September 2008, Stewart Craig, Ph.D., joined the Company as Senior Vice President, Development and Operations. Dr. Craig is responsible for process design and engineering, GMP manufacturing operations, regulatory affairs, quality assurance, facilities and supply chain management. Dr. Craig has over</w:t>
      </w:r>
    </w:p>
    <w:p>
      <w:pPr>
        <w:ind w:right="300"/>
        <w:spacing w:after="0" w:line="273" w:lineRule="auto"/>
        <w:rPr>
          <w:sz w:val="20"/>
          <w:szCs w:val="20"/>
          <w:color w:val="auto"/>
        </w:rPr>
      </w:pPr>
      <w:r>
        <w:rPr>
          <w:rFonts w:ascii="Arial" w:cs="Arial" w:eastAsia="Arial" w:hAnsi="Arial"/>
          <w:sz w:val="17"/>
          <w:szCs w:val="17"/>
          <w:color w:val="auto"/>
        </w:rPr>
        <w:t>25 years of experience in the biotechnology sector, the last 15 of which have been in the cell therapy field. Dr. Craig was most recently Vice President and Chief Technology Officer of Progenitor Cell Therapy, LLC (PCT), a contract provider of GMP cell processing and development services. Prior to joining PCT, Dr. Craig was chief operating officer of Xcyte Therapies, Inc., a publicly traded cell-based immunotherapy company. Dr. Craig has also held senior management positions with the stem cell companies Osiris Therapeutics, Inc. and SyStemix, Inc.</w:t>
      </w:r>
    </w:p>
    <w:p>
      <w:pPr>
        <w:spacing w:after="0" w:line="69"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October 2008, we were awarded a $305,000 grant from the National Institute of Diabetes and Digestive and Kidney Diseases to research and develop a potential cell-based therapeutic for liver disease arising from infection by the hepatitis C virus (HCV). Hepatitis C is a global health challenge, with approximately 170 million people affected worldwide and an estimated three million new infections each year. The virus targets liver cells and is a leading cause of end-stage liver disease. The grant will fund work over the next year to investigate whether our proprietary human liver engrafting cells (hLEC) can be made resistant to infection by the hepatitis C virus. This award is a Phase I grant under the Small Business Innovation Research (SBIR) Program of the National Institutes of Health. Should the objectives of the research funded by this grant be met, we anticipate applying for Phase II and additional funding under the SBIR Program.</w:t>
      </w:r>
    </w:p>
    <w:p>
      <w:pPr>
        <w:spacing w:after="0" w:line="81" w:lineRule="exact"/>
        <w:rPr>
          <w:sz w:val="20"/>
          <w:szCs w:val="20"/>
          <w:color w:val="auto"/>
        </w:rPr>
      </w:pPr>
    </w:p>
    <w:p>
      <w:pPr>
        <w:ind w:right="20" w:firstLine="225"/>
        <w:spacing w:after="0" w:line="233" w:lineRule="auto"/>
        <w:rPr>
          <w:sz w:val="20"/>
          <w:szCs w:val="20"/>
          <w:color w:val="auto"/>
        </w:rPr>
      </w:pPr>
      <w:r>
        <w:rPr>
          <w:rFonts w:ascii="Arial" w:cs="Arial" w:eastAsia="Arial" w:hAnsi="Arial"/>
          <w:sz w:val="18"/>
          <w:szCs w:val="18"/>
          <w:color w:val="auto"/>
        </w:rPr>
        <w:t>In October 2008, we announced preclinical results which show that our proprietary HuCNS-SC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candidate (purified human neural stem cells) can protect the retina from progressive degeneration. Retinal degeneration leads to loss of vision in diseases such as age-related macular degeneration and retinitis pigmentosa. In this study, our HuCNS-SC cells were transplanted into the Royal College of Surgeons (RCS) rat, a well established animal model of retinal degeneration, and were shown to have survived the transplant and engrafted, and the eyes transplanted with the cells showed preservation of photoreceptors and stabilization of visual function.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accompanying discussion and analysis of our financial condition and results of operations are based on our condensed consolidated financial statements and the related disclosures, which have been prepared in accordance with accounting principles generally accepted in the United States. The preparation of these condensed consolidated financial statements requires management to make estimates, assumptions, and judgments that affect the reported amounts in our condensed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Effective January 1, 2006, we adopted Statement of Financial Accounting Standards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(SFAS 123R). SFAS 123R requires us to recognize expense related to the fair value of our share-based payment awards, including employee stock options. Under the provisions of SFAS 123R, employee share-based payment is estimated at the date of grant based on the award’s fair value using the Black-Scholes-Merton (Black-Scholes) option-pricing model and is recognized as expense ratably over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requisite service period. The Black-Scholes option-pricing model requires the use of certain assumptions, the most significant of which are our estimates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expected volatility of the market price of our stock and the expected term of the award. Our estimate of the expected volatility is based on historical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volatility. The expected term represents the period during which our stock-based awards are expected to be outstanding. From January 1, 2006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31, 2007, and in accordance with Staff Accounting Bulletin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107), the expected term was equal to the average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contractual life of the stock option and its vesting period as of the date of grant (the simplified method). In December 2007, the SEC issued Staff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Accounting Bulletin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110), extending the availability of SAB 107 beyond its original deadline of December 31, 2007.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extension is available for companies under specified conditions that include a lack of sufficient historical exercise data related to their stock based awards.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2008, in accordance with SAB 110, we no longer use the simplified method and estimate the expected term based on historical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experience of similar awards, giving consideration to the contractual terms of the awards, vesting requirements, and expectation of future employee behavior,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post-vesting terminations. The change of method in estimating the expected term did not have a material impact on our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103" w:lineRule="exact"/>
        <w:rPr>
          <w:sz w:val="20"/>
          <w:szCs w:val="20"/>
          <w:color w:val="auto"/>
        </w:rPr>
      </w:pPr>
    </w:p>
    <w:p>
      <w:pPr>
        <w:ind w:right="80" w:firstLine="215"/>
        <w:spacing w:after="0" w:line="279" w:lineRule="auto"/>
        <w:rPr>
          <w:sz w:val="20"/>
          <w:szCs w:val="20"/>
          <w:color w:val="auto"/>
        </w:rPr>
      </w:pPr>
      <w:r>
        <w:rPr>
          <w:rFonts w:ascii="Arial" w:cs="Arial" w:eastAsia="Arial" w:hAnsi="Arial"/>
          <w:sz w:val="17"/>
          <w:szCs w:val="17"/>
          <w:color w:val="auto"/>
        </w:rPr>
        <w:t>As required under SFAS 123R, we review our valuation assumptions at each grant date and, as a result, our assumptions in future periods may change. As of September 30, 2008, total compensation cost related to unvested stock-based awards not yet recognized was approximately $5,570,000, which is expected to be recognized as expense over a weighted-average period of 2.3 years. See also Note 4, “Share-Based Payment,” in the notes to condensed consolidated financial statements of Part I, Item 1 of this Form 10-Q 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In connection with exiting our research and manufacturing operations in Lincoln, Rhode Island, and the relocation of our corporate headquarters and remaining research laboratories to California in October 1999, we provided a reserve for our estimate of the exit cost obligation in accordance with EITF 94-3, </w:t>
      </w:r>
      <w:r>
        <w:rPr>
          <w:rFonts w:ascii="Arial" w:cs="Arial" w:eastAsia="Arial" w:hAnsi="Arial"/>
          <w:sz w:val="17"/>
          <w:szCs w:val="17"/>
          <w:i w:val="1"/>
          <w:iCs w:val="1"/>
          <w:color w:val="auto"/>
        </w:rPr>
        <w:t>Liability Recognition for Certain Employee Termination Benefits and Other Costs to Exit an Activity (Including Certain Costs Incurred in a Restructuring)</w:t>
      </w:r>
      <w:r>
        <w:rPr>
          <w:rFonts w:ascii="Arial" w:cs="Arial" w:eastAsia="Arial" w:hAnsi="Arial"/>
          <w:sz w:val="17"/>
          <w:szCs w:val="17"/>
          <w:color w:val="auto"/>
        </w:rPr>
        <w:t>. The reserve reflects estimates of the ongoing costs of our former scientific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7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five years (2003 through 2007) was approximately 73%, varying from 66% to 89%. As of September 30, 2008, based on current information available to management, the vacancy rate is projected to be approximately 78% for 2008 and 2009, and approximately 70% from 2010 through the end of the lease. These estimates are based on actual occupancy as of September 30, 2008, predicted lead time for acquiring new subtenants, historical vacancy rates for the area, and assessments by our broker/realtor of future real estate market conditions. If the assumed vacancy rate for 2009 to the end of the lease had been 5% higher or lower at September 30, 2008, then the reserve would have increased or decreased by approximately $180,000. Similarly, a 5% increase or decrease in the operating expenses for the facility from 2009 on would have increased or decreased the reserve by approximately $102,000, and a 5% increase or decrease in the assumed average rental charge per square foot would have increased or decreased the reserve by approximately $55,000. Management does not wait for specific events to change its estimate, but instead uses its best efforts to anticipate them on a quarterly basis. See Note 5 “Wind-down expenses,” in the notes to condensed consolidated financial statements of Part I, Item 1 of this Form 10-Q for further information.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unpredictable or unanticipated manufacturing and supply costs, developments in on-going patent protection and litigation, the on-going expenses to lease and maintain our Rhode Island facilities, and the increasing costs associated with operating our California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for the three months and nine months ended September 30, 2008, as compared with the same periods in 2007, is summarized in the table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218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3"/>
              </w:rPr>
              <w:t>Change in 2008 versus 2007</w:t>
            </w:r>
          </w:p>
        </w:tc>
        <w:tc>
          <w:tcPr>
            <w:tcW w:w="180" w:type="dxa"/>
            <w:vAlign w:val="bottom"/>
          </w:tcPr>
          <w:p>
            <w:pPr>
              <w:spacing w:after="0"/>
              <w:rPr>
                <w:sz w:val="14"/>
                <w:szCs w:val="14"/>
                <w:color w:val="auto"/>
              </w:rPr>
            </w:pPr>
          </w:p>
        </w:tc>
        <w:tc>
          <w:tcPr>
            <w:tcW w:w="2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Nine months ended,</w:t>
            </w:r>
          </w:p>
        </w:tc>
        <w:tc>
          <w:tcPr>
            <w:tcW w:w="220" w:type="dxa"/>
            <w:vAlign w:val="bottom"/>
          </w:tcPr>
          <w:p>
            <w:pPr>
              <w:spacing w:after="0"/>
              <w:rPr>
                <w:sz w:val="14"/>
                <w:szCs w:val="14"/>
                <w:color w:val="auto"/>
              </w:rPr>
            </w:pPr>
          </w:p>
        </w:tc>
        <w:tc>
          <w:tcPr>
            <w:tcW w:w="19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3"/>
              </w:rPr>
              <w:t>Change in 2008 versus 2007</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1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Licensing agreements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$ 12,379</w:t>
            </w:r>
          </w:p>
        </w:tc>
        <w:tc>
          <w:tcPr>
            <w:tcW w:w="4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$ 13,162</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(783)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$ 59,561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$ 26,948</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$ 32,613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The increase in revenue for the nine months ended September 30, 2008 from the comparable period in 2007 was primarily attributable to increased licensing fees from existing licensing agreements. Licensing revenue for the third quarter of 2008 as compared to the third quarter of 2007 was relatively flat.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Operating expenses for the three and nine month periods ended September 30, 2008, as compared with the same periods in 2007, are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 in 2008 versus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Nine months ended,</w:t>
            </w:r>
          </w:p>
        </w:tc>
        <w:tc>
          <w:tcPr>
            <w:tcW w:w="21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Change in 2008 versus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4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900" w:type="dxa"/>
            <w:vAlign w:val="bottom"/>
            <w:tcBorders>
              <w:top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ind w:left="200"/>
              <w:spacing w:after="0" w:line="201" w:lineRule="exact"/>
              <w:rPr>
                <w:sz w:val="20"/>
                <w:szCs w:val="20"/>
                <w:color w:val="auto"/>
              </w:rPr>
            </w:pPr>
            <w:r>
              <w:rPr>
                <w:rFonts w:ascii="Arial" w:cs="Arial" w:eastAsia="Arial" w:hAnsi="Arial"/>
                <w:sz w:val="18"/>
                <w:szCs w:val="18"/>
                <w:color w:val="auto"/>
              </w:rPr>
              <w:t>Research &amp;</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400"/>
              <w:spacing w:after="0"/>
              <w:rPr>
                <w:sz w:val="20"/>
                <w:szCs w:val="20"/>
                <w:color w:val="auto"/>
              </w:rPr>
            </w:pPr>
            <w:r>
              <w:rPr>
                <w:rFonts w:ascii="Arial" w:cs="Arial" w:eastAsia="Arial" w:hAnsi="Arial"/>
                <w:sz w:val="18"/>
                <w:szCs w:val="18"/>
                <w:color w:val="auto"/>
              </w:rPr>
              <w:t>development</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$ 4,171,799</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$ 5,621,955</w:t>
            </w:r>
          </w:p>
        </w:tc>
        <w:tc>
          <w:tcPr>
            <w:tcW w:w="160" w:type="dxa"/>
            <w:vAlign w:val="bottom"/>
          </w:tcPr>
          <w:p>
            <w:pPr>
              <w:spacing w:after="0"/>
              <w:rPr>
                <w:sz w:val="20"/>
                <w:szCs w:val="20"/>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 (1,450,156)</w:t>
            </w:r>
          </w:p>
        </w:tc>
        <w:tc>
          <w:tcPr>
            <w:tcW w:w="3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$13,087,165</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$14,139,297</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(1,052,132)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General &amp;</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1,631,580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2,043,275</w:t>
            </w:r>
          </w:p>
        </w:tc>
        <w:tc>
          <w:tcPr>
            <w:tcW w:w="16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(411,695)</w:t>
            </w:r>
          </w:p>
        </w:tc>
        <w:tc>
          <w:tcPr>
            <w:tcW w:w="3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6,231,629</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5,716,480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515,149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53,636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83,661</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(30,025)</w:t>
            </w:r>
          </w:p>
        </w:tc>
        <w:tc>
          <w:tcPr>
            <w:tcW w:w="3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381,136</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439,471</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(58,335)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$ 5,857,015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$ 7,748,891</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(1,891,876)</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19,699,930</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20,295,248</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  (595,318)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Our R&amp;D expenses consist primarily of salaries and related personnel expenses; costs associated with clinical trials and regulatory submissions; costs associated with preclinical activities such as toxicology studies; certain patent-related costs such as licensing; facilities-related costs such as depreciation; and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the nine months ended 2008) were approximately $88 million. Over this period, the majority of these cumulative costs were related to: (i) characterization of our proprietary HuCNS-SC cell, (ii) expenditures for toxicology and other preclinical studies, preparation and submission of our Investigational New Drug (IND) application for our Phase I trial for NCL to the FDA, and obtaining FDA clearance; and (iii) expenditures in connection with our HuCNS-SC Phase I clinical trial.</w:t>
      </w:r>
    </w:p>
    <w:p>
      <w:pPr>
        <w:spacing w:after="0" w:line="71"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50"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R&amp;D expenses totaled approximately $4,172,000 in the third quarter of 2008 compared with $5,622,000 in the third quarter of 2007, and $13,087,000 for the nine month period ended September 30, 2008 compared with $14,139,000 for the nine month period ended September 30, 2007.</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Third quarter ended September 30, 2008 versus third quarter ended September 30, 2007. </w:t>
      </w:r>
      <w:r>
        <w:rPr>
          <w:rFonts w:ascii="Arial" w:cs="Arial" w:eastAsia="Arial" w:hAnsi="Arial"/>
          <w:sz w:val="16"/>
          <w:szCs w:val="16"/>
          <w:color w:val="auto"/>
        </w:rPr>
        <w:t>R&amp;D expenses decreased by approximately $1,450,000, or 26%,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third quarter of 2008 from the third quarter of 2007. The decrease was primarily attributable to a decrease in external services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$1,358,000, including costs related to manufacturing and testing of our cells and the enrollment and dosing of patients. The decrease in external services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mainly to the completed enrollment and dosing of our six-patient Phase I clinical trial in January 2008. The decrease in R&amp;D expenses, was also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a net decrease in other operating expenses, primarily attributable to personnel and business travel. At September 30, 2008, we had 43 full-time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working in research and development and laboratory support services as compared to 49 at September 30,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Nine month period ended September 30, 2008 versus nine month period ended September 30, 2007. </w:t>
      </w:r>
      <w:r>
        <w:rPr>
          <w:rFonts w:ascii="Arial" w:cs="Arial" w:eastAsia="Arial" w:hAnsi="Arial"/>
          <w:sz w:val="17"/>
          <w:szCs w:val="17"/>
          <w:color w:val="auto"/>
        </w:rPr>
        <w:t>R&amp;D expenses decreased by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$1,052,000, or 7%, for the nine month period ended September 30, 2008 from the comparable period in 2007. The decrease was primarily attributable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external services of approximately $1,986,000, including costs related to manufacturing and testing of our cells and the enrollment and dosing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patients. The decrease in clinical external services was due mainly to the completed enrollment and dosing of our six-patient Phase I clinical trial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2008. The decrease was also attributable to a decrease in business travel expenses of approximately $177,000. These decreased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an increase in other operating expenses primarily attributable to (i) an increase in personnel costs of approximately $592,000 to support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expanded operations in cell processing and our product development programs, and (ii) an increase in other operating expenses of approximately $519,000,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attributable to supplies. For the nine month period ended September 30, 2008, we had an average weighted headcount of 45 full-time employees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working in research and development and laboratory support services as compared to an average weighted head count of 41 full-time employees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comparable period of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General and Administrative (G&amp;A) expenses totaled approximately $1,632,000 in the third quarter of 2008 compared with $2,043,000 in the third quarter of 2007, and $6,232,000 for the nine-month period ended September 30, 2008 compared with $5,716,000 for the nine-month period ended September 30, 2007.</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Third quarter ended September 30, 2008 versus third quarter ended September 30, 2007. </w:t>
      </w:r>
      <w:r>
        <w:rPr>
          <w:rFonts w:ascii="Arial" w:cs="Arial" w:eastAsia="Arial" w:hAnsi="Arial"/>
          <w:sz w:val="16"/>
          <w:szCs w:val="16"/>
          <w:color w:val="auto"/>
        </w:rPr>
        <w:t>G&amp;A expenses decreased by approximately $412,000, or 20%,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third quarter of 2008 from the third quarter of 2007. The decrease was primarily attributable to (i) a decrease in external services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$486,000, primarily due to a decrease in legal fees and external consultants, and (ii) a decrease in net other operating expenses of approximately $21,000.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decreased expenses were partially offset by an increase in personnel costs of approximately $95,000, primarily due to an increase in headcount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share-based payment expense.</w:t>
      </w:r>
    </w:p>
    <w:p>
      <w:pPr>
        <w:spacing w:after="0" w:line="103"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i w:val="1"/>
          <w:iCs w:val="1"/>
          <w:color w:val="auto"/>
        </w:rPr>
        <w:t xml:space="preserve">Nine-month period ended September 30, 2008 versus nine month period ended September 30, 2007. </w:t>
      </w:r>
      <w:r>
        <w:rPr>
          <w:rFonts w:ascii="Arial" w:cs="Arial" w:eastAsia="Arial" w:hAnsi="Arial"/>
          <w:sz w:val="16"/>
          <w:szCs w:val="16"/>
          <w:color w:val="auto"/>
        </w:rPr>
        <w:t>G&amp;A expenses increased by approximately $515,000,</w:t>
      </w:r>
      <w:r>
        <w:rPr>
          <w:rFonts w:ascii="Arial" w:cs="Arial" w:eastAsia="Arial" w:hAnsi="Arial"/>
          <w:sz w:val="16"/>
          <w:szCs w:val="16"/>
          <w:i w:val="1"/>
          <w:iCs w:val="1"/>
          <w:color w:val="auto"/>
        </w:rPr>
        <w:t xml:space="preserve"> </w:t>
      </w:r>
      <w:r>
        <w:rPr>
          <w:rFonts w:ascii="Arial" w:cs="Arial" w:eastAsia="Arial" w:hAnsi="Arial"/>
          <w:sz w:val="16"/>
          <w:szCs w:val="16"/>
          <w:color w:val="auto"/>
        </w:rPr>
        <w:t>or 9%, for the nine-month period ended September 30, 2008 from the nine-month period ended September 30, 2007. The increase was primarily attributable to an increase in personnel costs of approximately $193,000, due to an increase in headcount and an increase in share-based payment expense. In addition, operating expenses for our vacant pilot manufacturing facility in Rhode Island increased approximately $454,000 for the nine month period in 2008 to the comparable period in 2007, primarily attributable to the loss of tenant income to offset operating expenses. These increased expenses were partially offset by a decrease in external fees of $95,000, including legal and recruiting fees, and a decrease in other operating expenses of approximately $37,000.</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Wind-down Expenses</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$6,143,000 at December 31, 2007. Payments net of subtenant income of approximately $316,000 for the third quarter and $935,000 for the nine months ended September 30, 2008 were recorded against this reserve. At September 30, 2008, we re-evaluated the estimate and adjusted the reserve to approximately $5,436,000 by recording in aggregate, additional wind-down expenses of approximately $54,000 in the third quarter of 2008, for a total of approximately $381,000 for the nine months ended September 30, 2008. Payments recorded against the reserve were approximately $344,000 in the third quarter and $1,067,000 for the nine months ended September 30, 2007 and additional expenses recorded to adjust the reserve were approximately $83,000 in the third quarter and $439,000 for the nine months ended September 30, 2007.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5 “Wind-down expenses,” in the notes to condensed consolidated financial statements of Part I, Item 1 of this Form 10-Q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Other income totaled approximately $101,000 in the third quarter of 2008 compared with $582,000 of 2007, and $636,000 for the nine months ended 2008 compared with $3,071,000 for the nine months ended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8"/>
              </w:rPr>
              <w:t>Change in 2008 versus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Change in 2008 versus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ind w:left="200"/>
              <w:spacing w:after="0" w:line="201" w:lineRule="exact"/>
              <w:rPr>
                <w:sz w:val="20"/>
                <w:szCs w:val="20"/>
                <w:color w:val="auto"/>
              </w:rPr>
            </w:pPr>
            <w:r>
              <w:rPr>
                <w:rFonts w:ascii="Arial" w:cs="Arial" w:eastAsia="Arial" w:hAnsi="Arial"/>
                <w:sz w:val="18"/>
                <w:szCs w:val="18"/>
                <w:color w:val="auto"/>
              </w:rPr>
              <w:t>License and settlement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agreement, net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550,467</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  (550,467)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Gain on sale of</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marketable securities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717,621</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(717,621)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138,332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617,616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(479,284)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738,107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1,926,753</w:t>
            </w:r>
          </w:p>
        </w:tc>
        <w:tc>
          <w:tcPr>
            <w:tcW w:w="22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(1,188,646)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(26,849)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(29,405)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(84,010)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(96,777)</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12,767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(10,800)</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(4,815)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(18,145)</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(27,009)</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8,864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100,683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582,226</w:t>
            </w:r>
          </w:p>
        </w:tc>
        <w:tc>
          <w:tcPr>
            <w:tcW w:w="2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(481,543)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635,952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3,071,055</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(2,435,103)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Calculation is not meaningful.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Settlement Agreement</w:t>
      </w:r>
    </w:p>
    <w:p>
      <w:pPr>
        <w:spacing w:after="0" w:line="117"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In July 2005, we entered into an agreement with ReNeuron Limited, a wholly-owned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w:t>
      </w:r>
    </w:p>
    <w:p>
      <w:pPr>
        <w:spacing w:after="0" w:line="81"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Other income from the license and settlement agreement totaled approximately $550,000 for the nine months ended 2007, which was the fair value of the ReNeuron shares we received under such agreement, net of legal fees and the value of the shares that were transferred to NeuroSpheres, a Canadian corporation from which we have licensed some of the patent rights that are the subject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agreement with ReNeuron. See Note 2 “Financial Assets,” in the notes to condensed consolidated financial statements of Part I, Item 1 of this Form 10-Q for further information regarding this transaction.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on Sale of Marketable Equity Securities</w:t>
      </w:r>
    </w:p>
    <w:p>
      <w:pPr>
        <w:spacing w:after="0" w:line="117"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gain on sale of marketable equity securities of approximately $716,000 for the nine months ended 2007 was attributable to sales of ReNeuron shares. See Note 2 “Financial Assets,” in the notes to condensed consolidated financial statements of Part I, Item 1 of this Form 10-Q for further information on this transaction.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Interest income for the three months ended September 30, 2008, decreased by approximately $479,000, or 78%, compared to the similar period in 2007. For the nine months ended September 30, 2008, interest income decreased by approximately $1,189,000, or 62%, compared to the similar period in 2007. The decreases in 2008 were primarily due to a lower average yield and lower average investment balances. See “Cash Used in Investing Activities,” in Liquidity and Capital Resources below for further information.</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Interest expense for the three months ended September 30, 2008, decreased by approximately $3,000, or 9%, compared to the similar period in 2007. For the nine months ended September 30, 2008, interest expense decreased by approximately 13,000, or 13%, compared to the similar period in 2007. The decreases were primarily attributable to lower outstanding debt and capital lease balances. See Note 6 “Commitment and Contingencies,” in the notes to condensed consolidated financial statements of Part I, Item 1 of this Form 10-Q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 from collaborative agreements, research grants, license fees, and interest income. We have very limited liquidity and capital resources and must obtain significant additional capital and other resources in order to sustain our product development efforts, to provide funding for the acquisition of technologies, businesses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80" w:type="dxa"/>
            <w:vAlign w:val="bottom"/>
            <w:gridSpan w:val="2"/>
          </w:tcPr>
          <w:p>
            <w:pPr>
              <w:jc w:val="right"/>
              <w:ind w:right="502"/>
              <w:spacing w:after="0" w:line="149"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Versus 2007</w:t>
            </w:r>
          </w:p>
        </w:tc>
        <w:tc>
          <w:tcPr>
            <w:tcW w:w="12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5100" w:type="dxa"/>
            <w:vAlign w:val="bottom"/>
            <w:vMerge w:val="restart"/>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1360" w:type="dxa"/>
            <w:vAlign w:val="bottom"/>
          </w:tcPr>
          <w:p>
            <w:pPr>
              <w:jc w:val="right"/>
              <w:ind w:right="462"/>
              <w:spacing w:after="0"/>
              <w:rPr>
                <w:sz w:val="20"/>
                <w:szCs w:val="20"/>
                <w:color w:val="auto"/>
              </w:rPr>
            </w:pPr>
            <w:r>
              <w:rPr>
                <w:rFonts w:ascii="Arial" w:cs="Arial" w:eastAsia="Arial" w:hAnsi="Arial"/>
                <w:sz w:val="14"/>
                <w:szCs w:val="14"/>
                <w:b w:val="1"/>
                <w:bCs w:val="1"/>
                <w:color w:val="auto"/>
              </w:rPr>
              <w:t>2008</w:t>
            </w:r>
          </w:p>
        </w:tc>
        <w:tc>
          <w:tcPr>
            <w:tcW w:w="182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2007</w:t>
            </w:r>
          </w:p>
        </w:tc>
        <w:tc>
          <w:tcPr>
            <w:tcW w:w="1880" w:type="dxa"/>
            <w:vAlign w:val="bottom"/>
            <w:gridSpan w:val="2"/>
          </w:tcPr>
          <w:p>
            <w:pPr>
              <w:jc w:val="right"/>
              <w:ind w:right="602"/>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00" w:type="dxa"/>
            <w:vAlign w:val="bottom"/>
            <w:vMerge w:val="continue"/>
          </w:tcPr>
          <w:p>
            <w:pPr>
              <w:spacing w:after="0"/>
              <w:rPr>
                <w:sz w:val="19"/>
                <w:szCs w:val="19"/>
                <w:color w:val="auto"/>
              </w:rPr>
            </w:pPr>
          </w:p>
        </w:tc>
        <w:tc>
          <w:tcPr>
            <w:tcW w:w="136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rPr>
              <w:t>$21,345,548</w:t>
            </w:r>
          </w:p>
        </w:tc>
        <w:tc>
          <w:tcPr>
            <w:tcW w:w="440" w:type="dxa"/>
            <w:vAlign w:val="bottom"/>
          </w:tcPr>
          <w:p>
            <w:pPr>
              <w:spacing w:after="0"/>
              <w:rPr>
                <w:sz w:val="19"/>
                <w:szCs w:val="19"/>
                <w:color w:val="auto"/>
              </w:rPr>
            </w:pPr>
          </w:p>
        </w:tc>
        <w:tc>
          <w:tcPr>
            <w:tcW w:w="138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$37,645,085</w:t>
            </w:r>
          </w:p>
        </w:tc>
        <w:tc>
          <w:tcPr>
            <w:tcW w:w="44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$(16,299,537)</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cash, cash equivalents and marketable debt securities were approximately $21,346,000 at September 30, 2008,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$37,645,000 at December 31, 2007. The decrease in our cash, cash equivalents and marketable debt securities of approximately 43%, or $16,299,000,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to September 30, 2008 was primarily attributable to cash used in operating activities.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summary, our cash flows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5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w w:val="91"/>
              </w:rPr>
              <w:t>Change in</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5"/>
            <w:vMerge w:val="continue"/>
          </w:tcPr>
          <w:p>
            <w:pPr>
              <w:spacing w:after="0"/>
              <w:rPr>
                <w:sz w:val="12"/>
                <w:szCs w:val="12"/>
                <w:color w:val="auto"/>
              </w:rPr>
            </w:pPr>
          </w:p>
        </w:tc>
        <w:tc>
          <w:tcPr>
            <w:tcW w:w="1820" w:type="dxa"/>
            <w:vAlign w:val="bottom"/>
            <w:gridSpan w:val="3"/>
          </w:tcPr>
          <w:p>
            <w:pPr>
              <w:jc w:val="center"/>
              <w:ind w:left="834"/>
              <w:spacing w:after="0" w:line="149" w:lineRule="exact"/>
              <w:rPr>
                <w:sz w:val="20"/>
                <w:szCs w:val="20"/>
                <w:color w:val="auto"/>
              </w:rPr>
            </w:pPr>
            <w:r>
              <w:rPr>
                <w:rFonts w:ascii="Arial" w:cs="Arial" w:eastAsia="Arial" w:hAnsi="Arial"/>
                <w:sz w:val="14"/>
                <w:szCs w:val="14"/>
                <w:b w:val="1"/>
                <w:bCs w:val="1"/>
                <w:color w:val="auto"/>
                <w:w w:val="96"/>
              </w:rPr>
              <w:t>2008</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5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w w:val="90"/>
              </w:rPr>
              <w:t>Versus 2007</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(17,165,645)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(15,009,151)</w:t>
            </w:r>
          </w:p>
        </w:tc>
        <w:tc>
          <w:tcPr>
            <w:tcW w:w="18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(2,156,494)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cash provided by (used in ) investing activities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23,372,726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(23,980,350)</w:t>
            </w:r>
          </w:p>
        </w:tc>
        <w:tc>
          <w:tcPr>
            <w:tcW w:w="1820" w:type="dxa"/>
            <w:vAlign w:val="bottom"/>
            <w:gridSpan w:val="3"/>
          </w:tcPr>
          <w:p>
            <w:pPr>
              <w:ind w:left="280"/>
              <w:spacing w:after="0"/>
              <w:rPr>
                <w:sz w:val="20"/>
                <w:szCs w:val="20"/>
                <w:color w:val="auto"/>
              </w:rPr>
            </w:pPr>
            <w:r>
              <w:rPr>
                <w:rFonts w:ascii="Arial" w:cs="Arial" w:eastAsia="Arial" w:hAnsi="Arial"/>
                <w:sz w:val="18"/>
                <w:szCs w:val="18"/>
                <w:color w:val="auto"/>
              </w:rPr>
              <w:t>$47,353,076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204,276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4,723,173</w:t>
            </w:r>
          </w:p>
        </w:tc>
        <w:tc>
          <w:tcPr>
            <w:tcW w:w="18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(4,518,897)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05"/>
        </w:trPr>
        <w:tc>
          <w:tcPr>
            <w:tcW w:w="46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Net cash used in operating activities is primarily driven by increases in our net loss. However, operating cash flows differ from net loss as a result of non-cash charges or differences in the timing of cash flows and expense recognition.</w:t>
      </w:r>
    </w:p>
    <w:p>
      <w:pPr>
        <w:spacing w:after="0" w:line="62"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In our operating activities we used approximately $17,166,000 in cash for the nine months ended 2008, compared with $15,009,000 for the same period in 2007. The increase in cash used in operating activities in 2008 as compared to 2007 was primarily attributable to the continued expansion of our operations in cell processing and our product development programs, including increases in headcount and headcount related expenses and external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260" w:firstLine="222"/>
        <w:spacing w:after="0" w:line="276" w:lineRule="auto"/>
        <w:rPr>
          <w:sz w:val="20"/>
          <w:szCs w:val="20"/>
          <w:color w:val="auto"/>
        </w:rPr>
      </w:pPr>
      <w:r>
        <w:rPr>
          <w:rFonts w:ascii="Arial" w:cs="Arial" w:eastAsia="Arial" w:hAnsi="Arial"/>
          <w:sz w:val="17"/>
          <w:szCs w:val="17"/>
          <w:color w:val="auto"/>
        </w:rPr>
        <w:t>The increase from 2007 to 2008 of approximately $47,353,000 for net cash provided by investing activities was primarily attributable to the maturity of marketable debt securities held to maturity, which were used to fund operating activities for the nine months ended 2008. In the nine months ended September 30, 2007, we invested approximately $25,747,000 in net purchases of marketable debt securities as compared to net proceeds of approximately $22,659,000 from the maturity of marketable debt securities for the similar period in 2008. Also, in April 2008, Progenitor Cell Therapy, LLC prepaid a $1.0 million loan that we had advanced to them in connection with discussions about the possible acquisition of PCT.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February 2007, we sold 5,275,000 ordinary shares of ReNeuron for net proceeds of approximately $3,075,000.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00" w:firstLine="222"/>
        <w:spacing w:after="0" w:line="288" w:lineRule="auto"/>
        <w:rPr>
          <w:sz w:val="20"/>
          <w:szCs w:val="20"/>
          <w:color w:val="auto"/>
        </w:rPr>
      </w:pPr>
      <w:r>
        <w:rPr>
          <w:rFonts w:ascii="Arial" w:cs="Arial" w:eastAsia="Arial" w:hAnsi="Arial"/>
          <w:sz w:val="16"/>
          <w:szCs w:val="16"/>
          <w:color w:val="auto"/>
        </w:rPr>
        <w:t>The decrease from 2007 to 2008 of approximately $4,519,000 for net cash provided by financing activities was primarily attributable to the following financing transactions for the nine months ended 2007: (i) the sale of approximately 1,217,000 shares of our common stock at an average price of $3.13 per share for net proceeds (i.e, net of equity expense) of approximately $3,545,000, sold under a sales agreement with Cantor Fitzgerald &amp; Co. (Cantor), and</w:t>
      </w:r>
    </w:p>
    <w:p>
      <w:pPr>
        <w:ind w:firstLine="8"/>
        <w:spacing w:after="0" w:line="295"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April 26, 2007, a warrant issued as part of a June 16, 2004 financing arrangement, was exercised to purchase an aggregate of 575,658 shares of our common stock at $1.90 per share for net proceeds of approximately $1,094,000. The sales agreement with Cantor permits us to sell up to 10,000,000 shares of registered common stock, from time to time, under a shelf registration statement filed with the SEC. In 2008, under the sales agreement with Cantor, we sold 205,600 shares of our common stock at an average price of $1.26 per share for net proceeds (net of equity expenses) of approximately $194,000.</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June 25, 2008 we filed with the SEC a universal shelf registration statement, declared effective July 18, 2008, which permits us to issue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 million worth of registered debt and equity securities. Under this effective shelf registration, we have the flexibility to issue registered securities,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to time, in one or more separate offerings or other transactions with the size, price and terms to be determined at the time of issuance. Registered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issued using this shelf may be used to raise additional capital to fund our working capital and other corporate needs, for future acquisitions of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programs or businesses, and for other corporate purposes. In July 2008, we deregistered the remaining unissued shares (approximately $59 million worth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available under the shelf registration statement we had filed in October 2005. The 2005 shelf permitted the issuance of up to $100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registered shares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key financing transactions entered into by us in the last three years:</w:t>
      </w:r>
    </w:p>
    <w:p>
      <w:pPr>
        <w:spacing w:after="0" w:line="117" w:lineRule="exact"/>
        <w:rPr>
          <w:sz w:val="20"/>
          <w:szCs w:val="20"/>
          <w:color w:val="auto"/>
        </w:rPr>
      </w:pPr>
    </w:p>
    <w:p>
      <w:pPr>
        <w:ind w:left="660" w:right="12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August and September 2008, we sold a total of 205,600 shares of our common stock pursuant to the sales agreement we entered into with Cantor at an average price per share of $1.26 for gross proceeds of approximately $259,000. Cantor is paid compensation equal to 5.0% of the gross proceeds pursuant to the terms of the agreement.</w:t>
      </w:r>
    </w:p>
    <w:p>
      <w:pPr>
        <w:spacing w:after="0" w:line="86" w:lineRule="exact"/>
        <w:rPr>
          <w:rFonts w:ascii="Arial" w:cs="Arial" w:eastAsia="Arial" w:hAnsi="Arial"/>
          <w:sz w:val="18"/>
          <w:szCs w:val="18"/>
          <w:b w:val="1"/>
          <w:bCs w:val="1"/>
          <w:color w:val="auto"/>
        </w:rPr>
      </w:pPr>
    </w:p>
    <w:p>
      <w:pPr>
        <w:ind w:left="660" w:right="220" w:hanging="436"/>
        <w:spacing w:after="0" w:line="34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 April 2007, a warrant issued as part of a June 16, 2004 financing arrangement, was exercised to purchase an aggregate of 575,658 shares of our common stock at $1.90 per share. We issued 575,658 shares of our common stock and received proceeds of approximately $1,094,000.</w:t>
      </w:r>
    </w:p>
    <w:p>
      <w:pPr>
        <w:spacing w:after="0" w:line="29" w:lineRule="exact"/>
        <w:rPr>
          <w:rFonts w:ascii="Arial" w:cs="Arial" w:eastAsia="Arial" w:hAnsi="Arial"/>
          <w:sz w:val="16"/>
          <w:szCs w:val="16"/>
          <w:b w:val="1"/>
          <w:bCs w:val="1"/>
          <w:color w:val="auto"/>
        </w:rPr>
      </w:pPr>
    </w:p>
    <w:p>
      <w:pPr>
        <w:ind w:left="660" w:right="20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January, April and October 2007, under the sales agreement with Cantor, we sold a total of 1,807,000 shares of our common stock at an average price per share of $2.84 for gross proceeds of approximately $5,133,000.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80" w:hanging="436"/>
        <w:spacing w:after="0" w:line="279"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 April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76" w:lineRule="exact"/>
        <w:rPr>
          <w:rFonts w:ascii="Arial" w:cs="Arial" w:eastAsia="Arial" w:hAnsi="Arial"/>
          <w:sz w:val="17"/>
          <w:szCs w:val="17"/>
          <w:b w:val="1"/>
          <w:bCs w:val="1"/>
          <w:color w:val="auto"/>
        </w:rPr>
      </w:pPr>
    </w:p>
    <w:p>
      <w:pPr>
        <w:ind w:left="660" w:right="180" w:hanging="436"/>
        <w:spacing w:after="0" w:line="34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 March 2006, a warrant issued as part of a June 16, 2004 financing arrangement was exercised to purchase an aggregate of 526,400 shares of our common stock at $1.89 per share. We issued 526,400 shares of our common stock and received proceeds of approximately $995,000.</w:t>
      </w:r>
    </w:p>
    <w:p>
      <w:pPr>
        <w:spacing w:after="0" w:line="16"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4"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We intend to pursue opportunities to obtain additional financing in the future through equity and debt financings, grants and collaborative research arrangements. On December 29, 2006, we filed a Prospectus Supplement announcing the entry of a sales agreement with Cantor under which up to 10 million shares may be sold from time to time under the shelf registration statement (discussed above), of which approximately 8 million shares remain available at September 30, 2008.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See Note 6, “Commitments and Contingencies” in the notes to condensed consolidated financial statements of Part I, Item 1 of this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We have certain contractual arrangements that create potential risk for us and are not recognized in our condensed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lease various real properties under operating leases that generally require us to pay taxes, insurance, maintenance, and minimum lease payments. Some of our leases have options to renew.</w:t>
      </w:r>
    </w:p>
    <w:p>
      <w:pPr>
        <w:spacing w:after="0" w:line="62"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entered into and amended a lease agreement for an approximately 68,000 square foot facility located at the Stanford Research Park in Palo Alto, California. At September 30, 2008, we had a space-sharing agreement covering approximately 10,451 square feet of this facility. We receive base payments plus a proportionate share of the operating expenses based on square footage over the term of the agreement. We expect to receive, in aggregate, approximately $144,000 as part of the space-sharing agreement, inclusive of estimated operating expenses, for the remainder of 2008. As a result of the above transactions, our estimated net cash outlay for rent and estimated operating expenses will be approximately $770,000 for the remainder of 2008.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We expect to pay approximately $293,000 in operating lease payments and estimated operating expenses of approximately $137,000, before receipt of sub-tenant income, for the remainder of 2008. We expect to receive, in aggregate, approximately $80,000 in sub-tenant rent and operating expense for the remainder of 2008. As a result of the above transactions, our estimated cash outlay net of sub-tenant rent for the SAF will be approximately $350,000 for the remainder of 2008.</w:t>
      </w:r>
    </w:p>
    <w:p>
      <w:pPr>
        <w:spacing w:after="0" w:line="50"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During the nine months ended September 30, 2008, we believe that there have been no significant changes in our payments due under contractual obligations, as disclosed in our Annual Report on Form 10-K for the year ended December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 xml:space="preserve">In September 2006, the Financial Accounting Standards Board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adopted the provisions of SFAS 157 that became effective January 1, 2008. See Note 3 “Fair Value Measurement,” in the notes to condensed consolidated financial statements of Part I, Item 1 of this Form 10-Q for further information about the adoption of the required provisions of SFAS 157.</w:t>
      </w:r>
    </w:p>
    <w:p>
      <w:pPr>
        <w:spacing w:after="0" w:line="50"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 xml:space="preserve">In February 2008, the FASB issued FASB Staff Position No. FAS 157-2, </w:t>
      </w:r>
      <w:r>
        <w:rPr>
          <w:rFonts w:ascii="Arial" w:cs="Arial" w:eastAsia="Arial" w:hAnsi="Arial"/>
          <w:sz w:val="17"/>
          <w:szCs w:val="17"/>
          <w:i w:val="1"/>
          <w:iCs w:val="1"/>
          <w:color w:val="auto"/>
        </w:rPr>
        <w:t>Effective Date of FASB Statement No. 157</w:t>
      </w:r>
      <w:r>
        <w:rPr>
          <w:rFonts w:ascii="Arial" w:cs="Arial" w:eastAsia="Arial" w:hAnsi="Arial"/>
          <w:sz w:val="17"/>
          <w:szCs w:val="17"/>
          <w:color w:val="auto"/>
        </w:rPr>
        <w:t xml:space="preserve"> (FSP 157-2). FSP 157-2 delays the effective date of SFAS 157 for nonfinancial assets and nonfinancial liabilities, except for certain items that are recognized or disclosed at fair value in the financial statements on a recurring basis (at least annually). We are currently evaluating the impact of SFAS 157 on our consolidated financial statements for items within the scope of FSP 157-2, which will become effective beginning with our first quarter of 2009.</w:t>
      </w:r>
    </w:p>
    <w:p>
      <w:pPr>
        <w:spacing w:after="0" w:line="6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In October 2008, the FASB issued FSP No. FAS 157-3, </w:t>
      </w:r>
      <w:r>
        <w:rPr>
          <w:rFonts w:ascii="Arial" w:cs="Arial" w:eastAsia="Arial" w:hAnsi="Arial"/>
          <w:sz w:val="17"/>
          <w:szCs w:val="17"/>
          <w:i w:val="1"/>
          <w:iCs w:val="1"/>
          <w:color w:val="auto"/>
        </w:rPr>
        <w:t>Determining the Fair Value of a Financial Asset When the Market for That Asset Is Not Active.</w:t>
      </w:r>
      <w:r>
        <w:rPr>
          <w:rFonts w:ascii="Arial" w:cs="Arial" w:eastAsia="Arial" w:hAnsi="Arial"/>
          <w:sz w:val="17"/>
          <w:szCs w:val="17"/>
          <w:color w:val="auto"/>
        </w:rPr>
        <w:t xml:space="preserve"> FSP 157-3 clarifies the application of SFAS 157, in a market that is not active and provides an example to illustrate key considerations in determining the fair value of a financial asset when the market for that financial asset is not active. This FSP shall be effective upon issuance, including prior periods for which financial statements have not been issued. Revisions resulting from a change in the valuation technique or its application shall be accounted for as a change in accounting estimate. Adoption of FSP 157-3 will not have a material impact on our consolidated financial statements.</w:t>
      </w:r>
    </w:p>
    <w:p>
      <w:pPr>
        <w:spacing w:after="0" w:line="64"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115 </w:t>
      </w:r>
      <w:r>
        <w:rPr>
          <w:rFonts w:ascii="Arial" w:cs="Arial" w:eastAsia="Arial" w:hAnsi="Arial"/>
          <w:sz w:val="16"/>
          <w:szCs w:val="16"/>
          <w:color w:val="auto"/>
        </w:rPr>
        <w:t>(SFAS 159). Under SFAS 159, a company may choose, at specified election dates, to measure eligible items at fair value and report</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and losses on items for which the fair value option has been elected in earnings at each subsequent reporting date. SFAS 159 is effective for financial statements issued for fiscal years beginning after November 15, 2007, and interim periods within those fiscal years. SFAS 159 became effective beginning with our first quarter of 2008. At this time, we have chosen not to adopt the provisions of SFAS 159 for our existing financial instruments.</w:t>
      </w:r>
    </w:p>
    <w:p>
      <w:pPr>
        <w:spacing w:after="0" w:line="5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April 2008, the FASB issued FSP No.142-3, </w:t>
      </w:r>
      <w:r>
        <w:rPr>
          <w:rFonts w:ascii="Arial" w:cs="Arial" w:eastAsia="Arial" w:hAnsi="Arial"/>
          <w:sz w:val="17"/>
          <w:szCs w:val="17"/>
          <w:i w:val="1"/>
          <w:iCs w:val="1"/>
          <w:color w:val="auto"/>
        </w:rPr>
        <w:t>Determination of the Useful Life of Intangible Assets</w:t>
      </w:r>
      <w:r>
        <w:rPr>
          <w:rFonts w:ascii="Arial" w:cs="Arial" w:eastAsia="Arial" w:hAnsi="Arial"/>
          <w:sz w:val="17"/>
          <w:szCs w:val="17"/>
          <w:color w:val="auto"/>
        </w:rPr>
        <w:t xml:space="preserve"> (FSP 142-3). FSP 142-3 amends the factors that should be considered in developing renewal or extension assumptions used to determine the useful life of a recognized intangible asset under FASB Statement No. 142, Goodwill and Other Intangible Assets (SFAS 142). FSP 142-3 amends paragraph 11(d) of SFAS 142 to require an entity to use its own assumptions about renewal or extension of an arrangement, adjusted for the entity-specific factors in paragraph 11 of SFAS 142, even when there is likely to be substantial cost or material modifications. FSP 142-3 is effective for financial statements issued for fiscal years beginning after December 15, 2008, and interim periods within those fiscal years, with early adoption prohibited. We expect to adopt FSP142-3 on January 1, 2009, and we do not expect the adoption to have a material effect on our consolidated financial condition and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market risks at September 30, 2008 have not changed materially from those discussed in Item 7A of our Form 10-K for the year ended December 31, 2007 on file with the U.S. Securities and Exchange Commission.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also Note 2, “Financial Assets,” in the notes to condensed consolidated financial statements in Part I, Item 1 of this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 xml:space="preserve">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Certificate for both. In August 2008, the PTO upheld the ‘530 patent, as amended, and issued a Notice of Intent to Issue an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Certificate. The remaining two patents are still under review by the PTO.</w:t>
      </w:r>
    </w:p>
    <w:p>
      <w:pPr>
        <w:spacing w:after="0" w:line="6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We anticipate that the Maryland District Court will consolidate these actions in some manner prior to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i w:val="1"/>
          <w:iCs w:val="1"/>
          <w:color w:val="auto"/>
        </w:rPr>
        <w:t>This quarterly report on Form 10-Q contains forward 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quarterly report on Form 10-Q or in other reports, press releases or other statements issued from time to time. Additional factors that may cause such a difference are set forth elsewhere in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62"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At present our ability to progress as a company is significantly dependent on a single product candidate, our HuCNS-SC cells (purified human neural stem cells), and on a single early stage clinical trial, our Phase I clinical trial for neuronal ceroid lipofuscinosis (NCL, also often referred to as Batten disease). Any clinical, regulatory or other development that significantly delays or prevents us from completing this trial, any material safety issue or adverse side effect to any study participant in this trial, or the failure of this trial to show the results expected would likely depress our stock price significantly and could prevent us from raising the substantial additional capital we will need to further develop our cellular technologies. Moreover, any material adverse occurrence in our first clinical trial for Batten disease could substantially impair our ability to initiate clinical trials to test our HuCNS-SC cells in patients with spinal cord injuries, myelin disorders or other potential indications. This, in turn, could adversely impact our ability to raise additional capital and pursue our planned research and development efforts in both our CNS and liver programs.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capital resources and we may not obtain the significant additional capital needed to sustain our research and development efforts.</w:t>
      </w:r>
    </w:p>
    <w:p>
      <w:pPr>
        <w:spacing w:after="0" w:line="140"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57"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We intend to pursue opportunities for additional fundraising in the future through equity or debt financings, corporate alliances or combinations, grants or collaborative research arrangements, or any combination of these. However, external financing in the current financial environment may be particularly difficult, and the source, timing and availability of any future fundraising will depend principally upon market conditions, interest rates and, more specifically, on progress in our research, preclinical and clinical development programs. Funding may not be available when needed — at all or on terms acceptable to us. While we actively manage our programs and resources in order to conserve cash between fundraising opportunities, we believe we will need to secure additional capital in order to conduct our operations beyond 2009.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programs are based on novel technologies and are inherently risky.</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product candidates, may be more complex and lengthy than the pathway for conventional drugs. These challenges may prevent us from developing and commercializing products on a timely or profitable basis or at all.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is at an early stage of discovery and development, and we may fail to develop any commercially acceptable or profitable products.</w:t>
      </w:r>
    </w:p>
    <w:p>
      <w:pPr>
        <w:spacing w:after="0" w:line="140"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 to achieve or sustain profitability in the future. We have yet to develop any products that have been approved for marketing, and we do not expect to become profitable within the next several years, but rather expect to incur additional and increasing operating losses. Before commercializing any medical product, we will need to obtain regulatory approval from the FDA or from equivalent foreign agencies after conducting extensive preclinical studies and clinical trials that demonstrate that the product candidate is safe and effective. Except for the NCL trial currently being conducted at Oregon Health &amp; Science University (OHSU), we have had no experience conducting human clinical trials. We expect that none of our cell-based therapeutic product candidates will be commercially available for several years, if at all.</w:t>
      </w:r>
    </w:p>
    <w:p>
      <w:pPr>
        <w:spacing w:after="0" w:line="7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While the FDA has permitted us to initiate our Phase I clinical trial of our proprietary HuCNS-SC product candidate in NCL, and the Institutional Review Board of OHSU has approved the protocol and we have completed dosing the six patients planned for the trial, there can be no assurance that the trial will be completed or result in a successful outcome. We may elect to delay or discontinue other studies or clinical trials based on unfavorable results. Any product developed from, or based on, cellular technologies may fail to:</w:t>
      </w:r>
    </w:p>
    <w:p>
      <w:pPr>
        <w:spacing w:after="0" w:line="79"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engraft into existing tissue in the desired manner;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In addition, our products may cause undesirable side effects. Results of preclinical research in animals may not be indicative of future clinical results in humans.</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Ultimately if regulatory authorities do not approve our products or if we fail to maintain regulatory compliance, we would be unable to commercialize our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7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An immunosuppression regimen is currently being used with our therapeutic product candidate in our Phase I clinical trial for NCL.</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success will depend in large part on our ability to develop and commercialize products that treat diseases other than neuronal ceroid lipofuscinosis (Batten disease).</w:t>
      </w:r>
    </w:p>
    <w:p>
      <w:pPr>
        <w:spacing w:after="0" w:line="62"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Although we have initially focused on evaluating our neural stem cell product for the treatment of infantile and late infantile NCL (Batten disease), this disease is rare and the market for treating this disease is small. Accordingly, even if we obtain marketing approval for our HuCNS-SC product candidate for infantile and late infantile NCL, in order to achieve profitability, we will likely need to obtain approval to treat additional diseases that present more significant market opportunities.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of companies, businesses or technologies may substantially dilute our stockholders and increase our operating losses.</w:t>
      </w:r>
    </w:p>
    <w:p>
      <w:pPr>
        <w:spacing w:after="0" w:line="129"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We may make acquisitions of businesses, technologies or intellectual property rights or otherwise modify our business model in ways we believe to be necessary, useful or complementary to our current product development efforts and cell-based therapeutics business. Any such acquisition or change in business activities may require assimilation of the operations, products or product candidates and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 and divert our limited resources and management’s attention from our current operations, which could harm our existing product development efforts. We would likely issue equity securities to pay for any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cell-based therapeutics research and development.</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$1,523,000 in 2007;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$400,000 per year for our former encapsulated cell therapy pilot manufacturing facility, which we 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2007, the reserve was $6,143,000. For the year 2007, we incurred $1,420,000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obtain partners to support our cell-based therapeutic product development efforts when needed to commercialize our technologies.</w:t>
      </w:r>
    </w:p>
    <w:p>
      <w:pPr>
        <w:spacing w:after="0" w:line="152"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Equity and debt financings alone may not be sufficient to fund the cost of developing our cellular technologies, and we may need to rely on partnering or other arrangements to provide financial support for our cellular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patents and proprietary rights, our business, financial condition and results of operations may be materially harmed.</w:t>
      </w:r>
    </w:p>
    <w:p>
      <w:pPr>
        <w:spacing w:after="0" w:line="140"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We either own or exclusively license a number of patents and pending patent applications related to various stem and progenitor cells, including human neural stem cell cultures, as well as methods of deriving and using them.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issued patents through a U.S. PTO reexamination process or through the courts.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8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If we learn of third parties who infringe our patent rights, we may decide to initiate legal proceedings to enforce these rights. Patent litigation is inherently unpredictable and highly risky and may result in unanticipated challenges to the validity or enforceability of our intellectual property, which could result in the loss of these rights. Litigation proceedings are also very costly and the parties we bring actions against may have significantly greater financial resources than our own. We may not prevail in these proceedings.</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52"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and progenitor cells and other technologies potentially relevant to, or necessary for, our expected products.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74"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79" w:lineRule="auto"/>
        <w:rPr>
          <w:sz w:val="20"/>
          <w:szCs w:val="20"/>
          <w:color w:val="auto"/>
        </w:rPr>
      </w:pPr>
      <w:r>
        <w:rPr>
          <w:rFonts w:ascii="Arial" w:cs="Arial" w:eastAsia="Arial" w:hAnsi="Arial"/>
          <w:sz w:val="17"/>
          <w:szCs w:val="17"/>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7"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the small molecule sector, biologics, as well as medical devices. We expect to compete with a host of companies, some of which are privately owned and some of which have resources far greater than ours.</w:t>
      </w:r>
    </w:p>
    <w:p>
      <w:pPr>
        <w:spacing w:after="0" w:line="5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Liver transplantation may remain the standard of care even if we successfully develop a cellular therapy. In addition, new therapies may become available before we successfully develop a cell-based therapy for liver disease.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our technologies is subject to, and restricted by, extensive government regulation, which could impede our business.</w:t>
      </w:r>
    </w:p>
    <w:p>
      <w:pPr>
        <w:spacing w:after="0" w:line="129"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0" w:lineRule="exact"/>
        <w:rPr>
          <w:sz w:val="20"/>
          <w:szCs w:val="20"/>
          <w:color w:val="auto"/>
        </w:rPr>
      </w:pPr>
    </w:p>
    <w:p>
      <w:pPr>
        <w:ind w:right="40" w:firstLine="222"/>
        <w:spacing w:after="0" w:line="254" w:lineRule="auto"/>
        <w:rPr>
          <w:sz w:val="20"/>
          <w:szCs w:val="20"/>
          <w:color w:val="auto"/>
        </w:rPr>
      </w:pPr>
      <w:r>
        <w:rPr>
          <w:rFonts w:ascii="Arial" w:cs="Arial" w:eastAsia="Arial" w:hAnsi="Arial"/>
          <w:sz w:val="18"/>
          <w:szCs w:val="18"/>
          <w:color w:val="auto"/>
        </w:rPr>
        <w:t>We base our research and development on the use of human stem and progenitor cells obtained from human tissue, including fetal tissue. The federal and state governments and other jurisdictions impose restrictions on the use of fetal tissue, including those incorporated in federal Good Tissue Practice, or cGTP,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 that is, sources that follow all state and federal guidelines for cell procurement. Certain components used to manufacture our stem and progenitor cell product candidates will need to be manufactured in compliance with the FDA’s Good Manufacturing Practices, or cGMP. Accordingly, we will need to enter into supply agreements with companies that manufacture these components to cGMP standards.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those governing laboratory procedures, exposure to blood-borne pathogens, use of laboratory animals, and the handling of biohazardous materials.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current or future laws and regulations may be expensive and the cost of compliance could adversely affect us.</w:t>
      </w:r>
    </w:p>
    <w:p>
      <w:pPr>
        <w:spacing w:after="0" w:line="103"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development, manufacturing and commercialization of cell-based therapeutic products expose us to product liability claims, which could lead to substantial liability.</w:t>
      </w:r>
    </w:p>
    <w:p>
      <w:pPr>
        <w:spacing w:after="0" w:line="62"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By developing and, ultimately, commercializing medical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manufacture of cell-based therapeutic products is novel, highly regulated, critical to our business, and dependent upon specialized key materials.</w:t>
      </w:r>
    </w:p>
    <w:p>
      <w:pPr>
        <w:spacing w:after="0" w:line="140"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proliferation and manufacture of cell-based therapeutic products are complicated and difficult processes, dependent upon substantial know-how and subject to the need for continual process improvements to be competitive. Our manufacturing experience is limited and the technologies are comparatively new. In addition, our ability to scale-up manufacturing to satisfy the various requirements of our planned clinical trials, such as GTP, GMP and release testing requirements, is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complex and available from only a limited number of suppliers or derived from a biological origin.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62"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 xml:space="preserve">In both domestic and foreign markets, sales of potential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w:t>
      </w:r>
      <w:r>
        <w:rPr>
          <w:rFonts w:ascii="Arial" w:cs="Arial" w:eastAsia="Arial" w:hAnsi="Arial"/>
          <w:sz w:val="17"/>
          <w:szCs w:val="17"/>
          <w:i w:val="1"/>
          <w:iCs w:val="1"/>
          <w:color w:val="auto"/>
        </w:rPr>
        <w:t>has</w:t>
      </w:r>
      <w:r>
        <w:rPr>
          <w:rFonts w:ascii="Arial" w:cs="Arial" w:eastAsia="Arial" w:hAnsi="Arial"/>
          <w:sz w:val="17"/>
          <w:szCs w:val="17"/>
          <w:color w:val="auto"/>
        </w:rPr>
        <w:t xml:space="preserve">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62"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use of stem cells for research and therapy has been the subject of debate regarding related ethical, legal and social issues. Although these concerns have mainly been directed to the use of embryonic stem cells, which we do not use, the distinction between embryonic and non-embryonic stem cells is frequently overlooked; moreover, our use of human stem or progenitor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U.S.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 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corporate documents and Delaware law contain provisions that could make it difficult for us to be acquired in a transaction that might be beneficial to our stockholders.</w:t>
      </w:r>
    </w:p>
    <w:p>
      <w:pPr>
        <w:spacing w:after="0" w:line="62"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Our board of directors has the authority to issue shares of preferred stock and to fix the rights, preferences, privileges, and restrictions of these shares without stockholder approval. These provisions in our corporate documents, along with certain provisions under Delaware law, may make it more difficult for a third party to acquire us or discourage a third party from attempting to acquire us, even if the acquisition might be beneficial to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highly volatile, which may negatively affect our ability to obtain additional financing in the future.</w:t>
      </w:r>
    </w:p>
    <w:p>
      <w:pPr>
        <w:spacing w:after="0" w:line="62"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market price per share of our common stock has been and is likely to continue to be highly volatile due to the risks and uncertainties described in this section of this Quarterly Report on Form 10-Q, as well as other factors, including:</w:t>
      </w:r>
    </w:p>
    <w:p>
      <w:pPr>
        <w:spacing w:after="0" w:line="62"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develop and test our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patent or obtain licenses to necessary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conditions and publicity regarding the industry in which we operate, as well as the specific areas our product candidates seek to address;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economic and other external factors or other disasters or crises;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Over the two-year period ended September 30, 2008, the trading price of our common stock as reported on the Nasdaq Global Market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ranged from a high of $3.63 to a low of $1.00. As a result of this volatility, your investment in our stock is subject to substantial risk. Furthermore, the volatility of our stock price could negatively impact our ability to raise capital or acquire businesses or technologies.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the interest of current stockholders.</w:t>
      </w:r>
    </w:p>
    <w:p>
      <w:pPr>
        <w:spacing w:after="0" w:line="117" w:lineRule="exact"/>
        <w:rPr>
          <w:sz w:val="20"/>
          <w:szCs w:val="20"/>
          <w:color w:val="auto"/>
        </w:rPr>
      </w:pPr>
    </w:p>
    <w:p>
      <w:pPr>
        <w:ind w:right="20" w:firstLine="215"/>
        <w:spacing w:after="0" w:line="297" w:lineRule="auto"/>
        <w:rPr>
          <w:sz w:val="20"/>
          <w:szCs w:val="20"/>
          <w:color w:val="auto"/>
        </w:rPr>
      </w:pPr>
      <w:r>
        <w:rPr>
          <w:rFonts w:ascii="Arial" w:cs="Arial" w:eastAsia="Arial" w:hAnsi="Arial"/>
          <w:sz w:val="16"/>
          <w:szCs w:val="16"/>
          <w:color w:val="auto"/>
        </w:rPr>
        <w:t>As of September 30, 2008, there were outstanding warrants to purchase 1,255,000 shares of our common stock, at a weighted average exercise price of $1.90 per share. Also as of September 30, 2008, there were outstanding options to purchase 8,471,887 shares of our common stock, at a weighted average exercise price of $2.33 per share, and 1,650,000 restricted stock units.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Information about our Annual Meeting of Stockholders, which was held on July 22, 2008, was disclosed in our quarterly report for the quarter ended June 30, 2008,on Form 10-Q, under Part II, Item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July 9, 2008, we amended our 1997 and 2000 license agreements with NeuroSpheres. NeuroSpheres is the holder of certain patents exclusively licensed by us, including the six patents that are the basis of our patent infringement suits against Neuralstem. As part of the amendment, we agreed to pay all reasonable litigation costs, expenses and attorney’s fees incurred by NeuroSpheres in the declaratory judgment suit between us and Neuralstem. In return, we are entitled to off-set all litigation costs incurred in that suit against amounts that would otherwise be owed under the license agreements, such as annual maintenance fees, milestones and royalty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3" w:lineRule="exact"/>
        <w:rPr>
          <w:sz w:val="20"/>
          <w:szCs w:val="20"/>
          <w:color w:val="auto"/>
        </w:rPr>
      </w:pPr>
    </w:p>
    <w:p>
      <w:pPr>
        <w:ind w:right="2300"/>
        <w:spacing w:after="0" w:line="375" w:lineRule="auto"/>
        <w:rPr>
          <w:sz w:val="20"/>
          <w:szCs w:val="20"/>
          <w:color w:val="auto"/>
        </w:rPr>
      </w:pPr>
      <w:r>
        <w:rPr>
          <w:rFonts w:ascii="Arial" w:cs="Arial" w:eastAsia="Arial" w:hAnsi="Arial"/>
          <w:sz w:val="18"/>
          <w:szCs w:val="18"/>
          <w:b w:val="1"/>
          <w:bCs w:val="1"/>
          <w:color w:val="auto"/>
        </w:rPr>
        <w:t xml:space="preserve">Exhibit 10.1 </w:t>
      </w:r>
      <w:r>
        <w:rPr>
          <w:rFonts w:ascii="Arial" w:cs="Arial" w:eastAsia="Arial" w:hAnsi="Arial"/>
          <w:sz w:val="18"/>
          <w:szCs w:val="18"/>
          <w:color w:val="auto"/>
        </w:rPr>
        <w:t>— Indemnification Agreement, dated July 9, 2008, by and between registrant and NeuroSpheres Holdings, LTD</w:t>
      </w:r>
      <w:r>
        <w:rPr>
          <w:rFonts w:ascii="Arial" w:cs="Arial" w:eastAsia="Arial" w:hAnsi="Arial"/>
          <w:sz w:val="18"/>
          <w:szCs w:val="18"/>
          <w:b w:val="1"/>
          <w:bCs w:val="1"/>
          <w:color w:val="auto"/>
        </w:rPr>
        <w:t xml:space="preserve"> Exhibit 31.1 — </w:t>
      </w:r>
      <w:r>
        <w:rPr>
          <w:rFonts w:ascii="Arial" w:cs="Arial" w:eastAsia="Arial" w:hAnsi="Arial"/>
          <w:sz w:val="18"/>
          <w:szCs w:val="18"/>
          <w:color w:val="auto"/>
        </w:rPr>
        <w:t>Certification of Martin McGlynn under Section 302 of the Sarbanes-Oxley Act of 2002</w:t>
      </w:r>
      <w:r>
        <w:rPr>
          <w:rFonts w:ascii="Arial" w:cs="Arial" w:eastAsia="Arial" w:hAnsi="Arial"/>
          <w:sz w:val="18"/>
          <w:szCs w:val="18"/>
          <w:b w:val="1"/>
          <w:bCs w:val="1"/>
          <w:color w:val="auto"/>
        </w:rPr>
        <w:t xml:space="preserve"> Exhibit 31.2 — </w:t>
      </w:r>
      <w:r>
        <w:rPr>
          <w:rFonts w:ascii="Arial" w:cs="Arial" w:eastAsia="Arial" w:hAnsi="Arial"/>
          <w:sz w:val="18"/>
          <w:szCs w:val="18"/>
          <w:color w:val="auto"/>
        </w:rPr>
        <w:t>Certification of Rodney K. B. Young under Section 302 of the Sarbanes-Oxley Act of 2002</w:t>
      </w:r>
    </w:p>
    <w:p>
      <w:pPr>
        <w:spacing w:after="0" w:line="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STEMCELLS, INC.</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(name of Registrant)</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October 31,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 B. Young</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Rodney K. B. Young</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36</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ind w:right="2280"/>
        <w:spacing w:after="0" w:line="375" w:lineRule="auto"/>
        <w:rPr>
          <w:sz w:val="20"/>
          <w:szCs w:val="20"/>
          <w:color w:val="auto"/>
        </w:rPr>
      </w:pPr>
      <w:r>
        <w:rPr>
          <w:rFonts w:ascii="Arial" w:cs="Arial" w:eastAsia="Arial" w:hAnsi="Arial"/>
          <w:sz w:val="18"/>
          <w:szCs w:val="18"/>
          <w:b w:val="1"/>
          <w:bCs w:val="1"/>
          <w:color w:val="auto"/>
        </w:rPr>
        <w:t xml:space="preserve">Exhibit 10.1 </w:t>
      </w:r>
      <w:r>
        <w:rPr>
          <w:rFonts w:ascii="Arial" w:cs="Arial" w:eastAsia="Arial" w:hAnsi="Arial"/>
          <w:sz w:val="18"/>
          <w:szCs w:val="18"/>
          <w:color w:val="auto"/>
        </w:rPr>
        <w:t>— Indemnification Agreement, dated July 9, 2008, by and between registrant and NeuroSpheres Holdings, LTD</w:t>
      </w:r>
      <w:r>
        <w:rPr>
          <w:rFonts w:ascii="Arial" w:cs="Arial" w:eastAsia="Arial" w:hAnsi="Arial"/>
          <w:sz w:val="18"/>
          <w:szCs w:val="18"/>
          <w:b w:val="1"/>
          <w:bCs w:val="1"/>
          <w:color w:val="auto"/>
        </w:rPr>
        <w:t xml:space="preserve"> Exhibit 31.1 </w:t>
      </w:r>
      <w:r>
        <w:rPr>
          <w:rFonts w:ascii="Arial" w:cs="Arial" w:eastAsia="Arial" w:hAnsi="Arial"/>
          <w:sz w:val="18"/>
          <w:szCs w:val="18"/>
          <w:color w:val="auto"/>
        </w:rPr>
        <w:t>— Certification of Martin McGlynn under Section 302 of the Sarbanes-Oxley Act of 2002</w:t>
      </w:r>
      <w:r>
        <w:rPr>
          <w:rFonts w:ascii="Arial" w:cs="Arial" w:eastAsia="Arial" w:hAnsi="Arial"/>
          <w:sz w:val="18"/>
          <w:szCs w:val="18"/>
          <w:b w:val="1"/>
          <w:bCs w:val="1"/>
          <w:color w:val="auto"/>
        </w:rPr>
        <w:t xml:space="preserve"> Exhibit 31.2 </w:t>
      </w:r>
      <w:r>
        <w:rPr>
          <w:rFonts w:ascii="Arial" w:cs="Arial" w:eastAsia="Arial" w:hAnsi="Arial"/>
          <w:sz w:val="18"/>
          <w:szCs w:val="18"/>
          <w:color w:val="auto"/>
        </w:rPr>
        <w:t>— Certification of Rodney K. B. Young under Section 302 of the Sarbanes-Oxley Act of 2002</w:t>
      </w:r>
    </w:p>
    <w:p>
      <w:pPr>
        <w:spacing w:after="0" w:line="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w:t>
      </w:r>
      <w:r>
        <w:rPr>
          <w:rFonts w:ascii="Arial" w:cs="Arial" w:eastAsia="Arial" w:hAnsi="Arial"/>
          <w:sz w:val="18"/>
          <w:szCs w:val="18"/>
          <w:color w:val="auto"/>
        </w:rPr>
        <w:t>— 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w:t>
      </w:r>
      <w:r>
        <w:rPr>
          <w:rFonts w:ascii="Arial" w:cs="Arial" w:eastAsia="Arial" w:hAnsi="Arial"/>
          <w:sz w:val="18"/>
          <w:szCs w:val="18"/>
          <w:color w:val="auto"/>
        </w:rPr>
        <w:t>— 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ectPr>
          <w:pgSz w:w="11900" w:h="16838" w:orient="portrait"/>
          <w:cols w:equalWidth="0" w:num="1">
            <w:col w:w="11340"/>
          </w:cols>
          <w:pgMar w:left="240" w:top="419"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This is an Indemnification Agreement, dated as of July 9, 2008, entered into by and among StemCells, Inc., a Delaware corporation, and StemCells California, Inc., a California corporation, on the one hand (collectively, “</w:t>
      </w:r>
      <w:r>
        <w:rPr>
          <w:rFonts w:ascii="Arial" w:cs="Arial" w:eastAsia="Arial" w:hAnsi="Arial"/>
          <w:sz w:val="18"/>
          <w:szCs w:val="18"/>
          <w:b w:val="1"/>
          <w:bCs w:val="1"/>
          <w:color w:val="auto"/>
        </w:rPr>
        <w:t>SCI</w:t>
      </w:r>
      <w:r>
        <w:rPr>
          <w:rFonts w:ascii="Arial" w:cs="Arial" w:eastAsia="Arial" w:hAnsi="Arial"/>
          <w:sz w:val="18"/>
          <w:szCs w:val="18"/>
          <w:color w:val="auto"/>
        </w:rPr>
        <w:t>”), and NeuroSpheres Holdings, LTD, an Alberta corporation, on the other hand (“</w:t>
      </w:r>
      <w:r>
        <w:rPr>
          <w:rFonts w:ascii="Arial" w:cs="Arial" w:eastAsia="Arial" w:hAnsi="Arial"/>
          <w:sz w:val="18"/>
          <w:szCs w:val="18"/>
          <w:b w:val="1"/>
          <w:bCs w:val="1"/>
          <w:color w:val="auto"/>
        </w:rPr>
        <w:t>NHL</w:t>
      </w:r>
      <w:r>
        <w:rPr>
          <w:rFonts w:ascii="Arial" w:cs="Arial" w:eastAsia="Arial" w:hAnsi="Arial"/>
          <w:sz w:val="18"/>
          <w:szCs w:val="18"/>
          <w:color w:val="auto"/>
        </w:rPr>
        <w:t>”).</w:t>
      </w:r>
    </w:p>
    <w:p>
      <w:pPr>
        <w:spacing w:after="0" w:line="73"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WHEREAS, SCI and NHL entered into the 1997 License Agreement, 2000 License Agreement and various amendments thereto (collectively, the “</w:t>
      </w:r>
      <w:r>
        <w:rPr>
          <w:rFonts w:ascii="Arial" w:cs="Arial" w:eastAsia="Arial" w:hAnsi="Arial"/>
          <w:sz w:val="18"/>
          <w:szCs w:val="18"/>
          <w:b w:val="1"/>
          <w:bCs w:val="1"/>
          <w:color w:val="auto"/>
        </w:rPr>
        <w:t>License Agreements</w:t>
      </w:r>
      <w:r>
        <w:rPr>
          <w:rFonts w:ascii="Arial" w:cs="Arial" w:eastAsia="Arial" w:hAnsi="Arial"/>
          <w:sz w:val="18"/>
          <w:szCs w:val="18"/>
          <w:color w:val="auto"/>
        </w:rPr>
        <w:t>”);</w:t>
      </w:r>
    </w:p>
    <w:p>
      <w:pPr>
        <w:spacing w:after="0" w:line="58" w:lineRule="exact"/>
        <w:rPr>
          <w:sz w:val="20"/>
          <w:szCs w:val="20"/>
          <w:color w:val="auto"/>
        </w:rPr>
      </w:pPr>
    </w:p>
    <w:p>
      <w:pPr>
        <w:ind w:right="300" w:firstLine="222"/>
        <w:spacing w:after="0" w:line="282" w:lineRule="auto"/>
        <w:rPr>
          <w:sz w:val="20"/>
          <w:szCs w:val="20"/>
          <w:color w:val="auto"/>
        </w:rPr>
      </w:pPr>
      <w:r>
        <w:rPr>
          <w:rFonts w:ascii="Arial" w:cs="Arial" w:eastAsia="Arial" w:hAnsi="Arial"/>
          <w:sz w:val="18"/>
          <w:szCs w:val="18"/>
          <w:color w:val="auto"/>
        </w:rPr>
        <w:t>WHEREAS, on July 24, 2006, SCI filed suit against Neuralstem, Inc. (“</w:t>
      </w:r>
      <w:r>
        <w:rPr>
          <w:rFonts w:ascii="Arial" w:cs="Arial" w:eastAsia="Arial" w:hAnsi="Arial"/>
          <w:sz w:val="18"/>
          <w:szCs w:val="18"/>
          <w:b w:val="1"/>
          <w:bCs w:val="1"/>
          <w:color w:val="auto"/>
        </w:rPr>
        <w:t>NRLS</w:t>
      </w:r>
      <w:r>
        <w:rPr>
          <w:rFonts w:ascii="Arial" w:cs="Arial" w:eastAsia="Arial" w:hAnsi="Arial"/>
          <w:sz w:val="18"/>
          <w:szCs w:val="18"/>
          <w:color w:val="auto"/>
        </w:rPr>
        <w:t xml:space="preserve">”) in the District of Maryland in </w:t>
      </w:r>
      <w:r>
        <w:rPr>
          <w:rFonts w:ascii="Arial" w:cs="Arial" w:eastAsia="Arial" w:hAnsi="Arial"/>
          <w:sz w:val="18"/>
          <w:szCs w:val="18"/>
          <w:i w:val="1"/>
          <w:iCs w:val="1"/>
          <w:color w:val="auto"/>
        </w:rPr>
        <w:t>StemCells, Inc. et al v. Neuralstem, Inc.</w:t>
      </w:r>
      <w:r>
        <w:rPr>
          <w:rFonts w:ascii="Arial" w:cs="Arial" w:eastAsia="Arial" w:hAnsi="Arial"/>
          <w:sz w:val="18"/>
          <w:szCs w:val="18"/>
          <w:color w:val="auto"/>
        </w:rPr>
        <w:t>, Civil Action No. 06-CV-1877 (D. Md.);</w:t>
      </w:r>
    </w:p>
    <w:p>
      <w:pPr>
        <w:spacing w:after="0" w:line="58"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 xml:space="preserve">WHEREAS, on May 7, 2008, NRLS filed suit against both SCI and NHL in the District of Maryland in </w:t>
      </w:r>
      <w:r>
        <w:rPr>
          <w:rFonts w:ascii="Arial" w:cs="Arial" w:eastAsia="Arial" w:hAnsi="Arial"/>
          <w:sz w:val="18"/>
          <w:szCs w:val="18"/>
          <w:i w:val="1"/>
          <w:iCs w:val="1"/>
          <w:color w:val="auto"/>
        </w:rPr>
        <w:t>Neuralstem, Inc. v. StemCells, Inc. et al,</w:t>
      </w:r>
      <w:r>
        <w:rPr>
          <w:rFonts w:ascii="Arial" w:cs="Arial" w:eastAsia="Arial" w:hAnsi="Arial"/>
          <w:sz w:val="18"/>
          <w:szCs w:val="18"/>
          <w:color w:val="auto"/>
        </w:rPr>
        <w:t xml:space="preserve"> Civil Action No. 08-CV-1173 (D. Md.);</w:t>
      </w:r>
    </w:p>
    <w:p>
      <w:pPr>
        <w:spacing w:after="0" w:line="62" w:lineRule="exact"/>
        <w:rPr>
          <w:sz w:val="20"/>
          <w:szCs w:val="20"/>
          <w:color w:val="auto"/>
        </w:rPr>
      </w:pPr>
    </w:p>
    <w:p>
      <w:pPr>
        <w:ind w:right="480" w:firstLine="222"/>
        <w:spacing w:after="0" w:line="264" w:lineRule="auto"/>
        <w:rPr>
          <w:sz w:val="20"/>
          <w:szCs w:val="20"/>
          <w:color w:val="auto"/>
        </w:rPr>
      </w:pPr>
      <w:r>
        <w:rPr>
          <w:rFonts w:ascii="Arial" w:cs="Arial" w:eastAsia="Arial" w:hAnsi="Arial"/>
          <w:sz w:val="18"/>
          <w:szCs w:val="18"/>
          <w:color w:val="auto"/>
        </w:rPr>
        <w:t xml:space="preserve">WHEREAS, on May 7, 2008, SCI filed suit in the Northern District of California against NLRS, Dr. Garr and Dr. Johe in </w:t>
      </w:r>
      <w:r>
        <w:rPr>
          <w:rFonts w:ascii="Arial" w:cs="Arial" w:eastAsia="Arial" w:hAnsi="Arial"/>
          <w:sz w:val="18"/>
          <w:szCs w:val="18"/>
          <w:i w:val="1"/>
          <w:iCs w:val="1"/>
          <w:color w:val="auto"/>
        </w:rPr>
        <w:t>StemCells, Inc. et al v.</w:t>
      </w:r>
      <w:r>
        <w:rPr>
          <w:rFonts w:ascii="Arial" w:cs="Arial" w:eastAsia="Arial" w:hAnsi="Arial"/>
          <w:sz w:val="18"/>
          <w:szCs w:val="18"/>
          <w:color w:val="auto"/>
        </w:rPr>
        <w:t xml:space="preserve"> </w:t>
      </w:r>
      <w:r>
        <w:rPr>
          <w:rFonts w:ascii="Arial" w:cs="Arial" w:eastAsia="Arial" w:hAnsi="Arial"/>
          <w:sz w:val="18"/>
          <w:szCs w:val="18"/>
          <w:i w:val="1"/>
          <w:iCs w:val="1"/>
          <w:color w:val="auto"/>
        </w:rPr>
        <w:t>Neuralstem, Inc. et al</w:t>
      </w:r>
      <w:r>
        <w:rPr>
          <w:rFonts w:ascii="Arial" w:cs="Arial" w:eastAsia="Arial" w:hAnsi="Arial"/>
          <w:sz w:val="18"/>
          <w:szCs w:val="18"/>
          <w:color w:val="auto"/>
        </w:rPr>
        <w:t>, Civil Action No. C-08-2364 CW (N.D. Cal.)(together with the earlier actions identified above, and any appeals or related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collectively, the “</w:t>
      </w:r>
      <w:r>
        <w:rPr>
          <w:rFonts w:ascii="Arial" w:cs="Arial" w:eastAsia="Arial" w:hAnsi="Arial"/>
          <w:sz w:val="18"/>
          <w:szCs w:val="18"/>
          <w:b w:val="1"/>
          <w:bCs w:val="1"/>
          <w:color w:val="auto"/>
        </w:rPr>
        <w:t>Neuralstem Litigation</w:t>
      </w:r>
      <w:r>
        <w:rPr>
          <w:rFonts w:ascii="Arial" w:cs="Arial" w:eastAsia="Arial" w:hAnsi="Arial"/>
          <w:sz w:val="18"/>
          <w:szCs w:val="18"/>
          <w:color w:val="auto"/>
        </w:rPr>
        <w:t>”); and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WHEREAS, SCI and NHL desire to enter into this Agreement to provide for the indemnification and representation of NHL in the 08-CV-1173 action;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20" w:firstLine="233"/>
        <w:spacing w:after="0" w:line="287" w:lineRule="auto"/>
        <w:tabs>
          <w:tab w:leader="none" w:pos="4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SCI agrees to pay for the retention of McDermott, Will &amp; Emery, LLP, for the defense of NHL in the 08-CV-1173 action. For the avoidance of doubt, this means that SCI will either reimburse or pay directly all reasonable litigation costs, expenses, attorney’s fees and related disbursements (but not judgments) (“</w:t>
      </w:r>
      <w:r>
        <w:rPr>
          <w:rFonts w:ascii="Arial" w:cs="Arial" w:eastAsia="Arial" w:hAnsi="Arial"/>
          <w:sz w:val="16"/>
          <w:szCs w:val="16"/>
          <w:b w:val="1"/>
          <w:bCs w:val="1"/>
          <w:color w:val="auto"/>
        </w:rPr>
        <w:t>Litigation Costs</w:t>
      </w:r>
      <w:r>
        <w:rPr>
          <w:rFonts w:ascii="Arial" w:cs="Arial" w:eastAsia="Arial" w:hAnsi="Arial"/>
          <w:sz w:val="16"/>
          <w:szCs w:val="16"/>
          <w:color w:val="auto"/>
        </w:rPr>
        <w:t>”) incurred by NHL in the 08-CV-1173 action (or any successor thereof, whether by transfer, consolidation or otherwise). In return for these commitments, NHL agrees that any and all Litigation Costs paid by SCI in the 08-CV-1173 action (or any successor thereof, whether by transfer, consolidation or otherwise), including but not limited to amounts paid on behalf of NHL, will be fully creditable against annual payments, fees, milestones, and royalties otherwise owed to NHL by SCI, or either of them, under either of the License Agreements. Any monetary judgments against SCI, or either of them, in the 08-CV-1173 action (or any successor thereof, whether by transfer, consolidation or otherwise) will likewise be creditable against annual payments, fees, milestones, and royalties otherwise owed to NHL by SCI. Any damages or settlement amounts recovered from NRLS in any of the Neuralstem Litigation cases will be considered Net Sales for the purposes of royalty calculations under the License Agreements, entitling NHL to 2% thereof; provided, however, that SCI will be permitted to first deduct from any such amounts the Litigation Costs, including any payments made to NRLS, incurred in bringing and/or defending the Neuralstem Litigation, as applicable, but only to the extent that such Litigation Costs, including any payments made to NRLS, have not already been credited against annual payments, fees, milestone, and royalties otherwise owed to NHL by SCI in accordance with this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ind w:left="-20" w:right="20" w:firstLine="233"/>
        <w:spacing w:after="0" w:line="297" w:lineRule="auto"/>
        <w:tabs>
          <w:tab w:leader="none" w:pos="3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SCI reserves the right to control each of the Neuralstem Litigation cases, including settlement thereof, and make all decisions effecting this litigation, with the exception of any issues that may arise which are unique to NHL and which do not impact on SCI. SCI agrees to keep NHL reasonably apprised of the status of each of the Neuralstem Litigation cases. In the event a conflict of interest arises which necessitates NHL ceasing to use the designated law firm of McDermott, Will &amp; Emery, NHL agrees that SCI may continue to be represented by the designated law firm. NHL agrees to execute any necessary waivers needed for the retention of the designated law firm and/or the continued representation of SCI by the designated law firm in the event of a conflict of interest.</w:t>
      </w:r>
    </w:p>
    <w:p>
      <w:pPr>
        <w:spacing w:after="0" w:line="50" w:lineRule="exact"/>
        <w:rPr>
          <w:rFonts w:ascii="Arial" w:cs="Arial" w:eastAsia="Arial" w:hAnsi="Arial"/>
          <w:sz w:val="16"/>
          <w:szCs w:val="16"/>
          <w:color w:val="auto"/>
        </w:rPr>
      </w:pPr>
    </w:p>
    <w:p>
      <w:pPr>
        <w:ind w:left="400" w:hanging="187"/>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SCI and NHL agree to execute an engagement letter with the designated law firm incorporating the terms of this Agreement.</w:t>
      </w:r>
    </w:p>
    <w:p>
      <w:pPr>
        <w:spacing w:after="0" w:line="117" w:lineRule="exact"/>
        <w:rPr>
          <w:rFonts w:ascii="Arial" w:cs="Arial" w:eastAsia="Arial" w:hAnsi="Arial"/>
          <w:sz w:val="18"/>
          <w:szCs w:val="18"/>
          <w:color w:val="auto"/>
        </w:rPr>
      </w:pPr>
    </w:p>
    <w:p>
      <w:pPr>
        <w:ind w:left="-20" w:firstLine="233"/>
        <w:spacing w:after="0" w:line="264" w:lineRule="auto"/>
        <w:tabs>
          <w:tab w:leader="none" w:pos="3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Indemnification Agreement amends the License Agreements, and is therefore deemed to be a part thereof. Accordingly, any disputes relating to this Indemnification Agreement will be resolved in accordance with Section 11 of the 2000 License Agreement and the provisions of Section 12 of the 2000 License Agreement are deemed incorporated herein by this reference.</w:t>
      </w:r>
    </w:p>
    <w:p>
      <w:pPr>
        <w:spacing w:after="0" w:line="73" w:lineRule="exact"/>
        <w:rPr>
          <w:rFonts w:ascii="Arial" w:cs="Arial" w:eastAsia="Arial" w:hAnsi="Arial"/>
          <w:sz w:val="18"/>
          <w:szCs w:val="18"/>
          <w:color w:val="auto"/>
        </w:rPr>
      </w:pPr>
    </w:p>
    <w:p>
      <w:pPr>
        <w:ind w:left="400" w:hanging="187"/>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provided herein, all other terms and conditions of the License Agreements continue in full force and effect as modified hereby.</w:t>
      </w:r>
    </w:p>
    <w:p>
      <w:pPr>
        <w:spacing w:after="0" w:line="117" w:lineRule="exact"/>
        <w:rPr>
          <w:rFonts w:ascii="Arial" w:cs="Arial" w:eastAsia="Arial" w:hAnsi="Arial"/>
          <w:sz w:val="18"/>
          <w:szCs w:val="18"/>
          <w:color w:val="auto"/>
        </w:rPr>
      </w:pPr>
    </w:p>
    <w:p>
      <w:pPr>
        <w:jc w:val="both"/>
        <w:ind w:left="-20" w:right="380" w:firstLine="233"/>
        <w:spacing w:after="0" w:line="286" w:lineRule="auto"/>
        <w:tabs>
          <w:tab w:leader="none" w:pos="38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agreement may be executed in one or more counterparts, with signature pages delivered by facsimile or by scanned .pdf, each of which will be deemed an original as if delivered in person, but all of which together will constitute one and the same instrument. The persons executing this agreement represent and warrant that they have the full power and authority to enter into this agreement on behalf of their respective party.</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this Indemnification Agreement has been executed by the parties on the date first above written.</w:t>
      </w:r>
    </w:p>
    <w:p>
      <w:pPr>
        <w:spacing w:after="0" w:line="2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StemCells, Inc. and StemCells California Inc.</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Ken Stratton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Ken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-130810</wp:posOffset>
            </wp:positionV>
            <wp:extent cx="2787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NeuroSpheres Holdings, Ltd.</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Cheryl Whyte</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Cheryl Whyte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-130810</wp:posOffset>
            </wp:positionV>
            <wp:extent cx="2787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VP Finance &amp; Administration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93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4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firstLine="4"/>
        <w:spacing w:after="0" w:line="264" w:lineRule="auto"/>
        <w:tabs>
          <w:tab w:leader="none" w:pos="7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 w:firstLine="4"/>
        <w:spacing w:after="0" w:line="308" w:lineRule="auto"/>
        <w:tabs>
          <w:tab w:leader="none" w:pos="70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80" w:firstLine="4"/>
        <w:spacing w:after="0" w:line="264" w:lineRule="auto"/>
        <w:tabs>
          <w:tab w:leader="none" w:pos="7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440" w:firstLine="4"/>
        <w:spacing w:after="0" w:line="277"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7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4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firstLine="4"/>
        <w:spacing w:after="0" w:line="264"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 w:firstLine="4"/>
        <w:spacing w:after="0" w:line="308" w:lineRule="auto"/>
        <w:tabs>
          <w:tab w:leader="none" w:pos="705"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80" w:firstLine="4"/>
        <w:spacing w:after="0" w:line="264"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440" w:firstLine="4"/>
        <w:spacing w:after="0" w:line="277"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0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September 30, 2008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0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September 30, 2008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2019-12-13T21:58:51Z</dcterms:created>
  <dcterms:modified xsi:type="dcterms:W3CDTF">2019-12-13T21:58:51Z</dcterms:modified>
</cp:coreProperties>
</file>