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45"/>
        <w:gridCol w:w="9935"/>
      </w:tblGrid>
      <w:tr>
        <w:trPr/>
        <w:tc>
          <w:tcPr>
            <w:tcW w:w="245" w:type="dxa"/>
            <w:tcBorders/>
            <w:vAlign w:val="center"/>
          </w:tcPr>
          <w:p>
            <w:pPr>
              <w:pStyle w:val="TableContents"/>
              <w:bidi w:val="0"/>
              <w:spacing w:before="0" w:after="283"/>
              <w:jc w:val="left"/>
              <w:rPr>
                <w:caps w:val="false"/>
                <w:smallCaps w:val="false"/>
              </w:rPr>
            </w:pPr>
            <w:bookmarkStart w:id="3" w:name="xdx_904_edei--DocumentQuarterlyReport_c2"/>
            <w:bookmarkEnd w:id="3"/>
            <w:r>
              <w:rPr>
                <w:caps w:val="false"/>
                <w:smallCaps w:val="false"/>
              </w:rPr>
              <w:t>☒</w:t>
            </w:r>
          </w:p>
        </w:tc>
        <w:tc>
          <w:tcPr>
            <w:tcW w:w="99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D_edei--DocumentPeriodEndDate_c202"/>
      <w:bookmarkEnd w:id="4"/>
      <w:r>
        <w:rPr>
          <w:rFonts w:ascii="Times New Roman;Times;Serif" w:hAnsi="Times New Roman;Times;Serif"/>
          <w:b/>
          <w:i w:val="false"/>
          <w:caps w:val="false"/>
          <w:smallCaps w:val="false"/>
          <w:sz w:val="20"/>
        </w:rPr>
        <w:t xml:space="preserve">September 30, </w:t>
      </w:r>
      <w:bookmarkStart w:id="5" w:name="xdx_907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6" w:name="xdx_905_edei--DocumentTransitionReport_c"/>
            <w:bookmarkEnd w:id="6"/>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 to 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5_edei--EntityFileNumber_c20250101"/>
      <w:bookmarkEnd w:id="7"/>
      <w:r>
        <w:rPr>
          <w:rFonts w:ascii="Times New Roman;Times;Serif" w:hAnsi="Times New Roman;Times;Serif"/>
          <w:b/>
          <w:i w:val="false"/>
          <w:caps w:val="false"/>
          <w:smallCaps w:val="false"/>
          <w:sz w:val="20"/>
        </w:rPr>
        <w:t>000-19871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F_edei--EntityRegistrantName_c2025"/>
      <w:bookmarkEnd w:id="8"/>
      <w:r>
        <w:rPr>
          <w:rFonts w:ascii="Times New Roman;Times;Serif" w:hAnsi="Times New Roman;Times;Serif"/>
          <w:b/>
          <w:i w:val="false"/>
          <w:caps w:val="false"/>
          <w:smallCaps w:val="false"/>
          <w:sz w:val="36"/>
        </w:rPr>
        <w:t>MICROBOT MEDICAL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(Name of Registrant in Its Charter)</w:t>
      </w:r>
    </w:p>
    <w:p>
      <w:pPr>
        <w:pStyle w:val="TextBody"/>
        <w:bidi w:val="0"/>
        <w:spacing w:before="0" w:after="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630"/>
        <w:gridCol w:w="60"/>
        <w:gridCol w:w="1565"/>
      </w:tblGrid>
      <w:tr>
        <w:trP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F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94-3078125</w:t>
            </w:r>
          </w:p>
        </w:tc>
      </w:tr>
      <w:tr>
        <w:trPr/>
        <w:tc>
          <w:tcPr>
            <w:tcW w:w="2630" w:type="dxa"/>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State or Other Jurisdiction of </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(I.R.S. Employer</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2_edei--EntityAddressAddressLine1_"/>
      <w:bookmarkEnd w:id="11"/>
      <w:r>
        <w:rPr>
          <w:rFonts w:ascii="Times New Roman;Times;Serif" w:hAnsi="Times New Roman;Times;Serif"/>
          <w:b/>
          <w:i w:val="false"/>
          <w:caps w:val="false"/>
          <w:smallCaps w:val="false"/>
          <w:sz w:val="20"/>
        </w:rPr>
        <w:t>175 Derby St., Bld. 27</w:t>
      </w:r>
    </w:p>
    <w:p>
      <w:pPr>
        <w:pStyle w:val="TextBody"/>
        <w:bidi w:val="0"/>
        <w:spacing w:before="0" w:after="0"/>
        <w:jc w:val="center"/>
        <w:rPr>
          <w:rFonts w:ascii="Times New Roman;Times;Serif" w:hAnsi="Times New Roman;Times;Serif"/>
          <w:b/>
          <w:i w:val="false"/>
          <w:caps w:val="false"/>
          <w:smallCaps w:val="false"/>
          <w:sz w:val="20"/>
        </w:rPr>
      </w:pPr>
      <w:bookmarkStart w:id="12" w:name="xdx_900_edei--EntityAddressCityOrTown_c2"/>
      <w:bookmarkEnd w:id="12"/>
      <w:r>
        <w:rPr>
          <w:rFonts w:ascii="Times New Roman;Times;Serif" w:hAnsi="Times New Roman;Times;Serif"/>
          <w:b/>
          <w:i w:val="false"/>
          <w:caps w:val="false"/>
          <w:smallCaps w:val="false"/>
          <w:sz w:val="20"/>
        </w:rPr>
        <w:t xml:space="preserve">Hingham, </w:t>
      </w:r>
      <w:bookmarkStart w:id="13" w:name="xdx_90F_edei--EntityAddressStateOrProvin"/>
      <w:bookmarkEnd w:id="13"/>
      <w:r>
        <w:rPr>
          <w:rFonts w:ascii="Times New Roman;Times;Serif" w:hAnsi="Times New Roman;Times;Serif"/>
          <w:b/>
          <w:i w:val="false"/>
          <w:caps w:val="false"/>
          <w:smallCaps w:val="false"/>
          <w:sz w:val="20"/>
        </w:rPr>
        <w:t xml:space="preserve">MA </w:t>
      </w:r>
      <w:bookmarkStart w:id="14" w:name="xdx_904_edei--EntityAddressPostalZipCode"/>
      <w:bookmarkEnd w:id="14"/>
      <w:r>
        <w:rPr>
          <w:rFonts w:ascii="Times New Roman;Times;Serif" w:hAnsi="Times New Roman;Times;Serif"/>
          <w:b/>
          <w:i w:val="false"/>
          <w:caps w:val="false"/>
          <w:smallCaps w:val="false"/>
          <w:sz w:val="20"/>
        </w:rPr>
        <w:t>02043</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xdx_901_edei--CityAreaCode_c20250101__20"/>
      <w:bookmarkEnd w:id="15"/>
      <w:r>
        <w:rPr>
          <w:rFonts w:ascii="Times New Roman;Times;Serif" w:hAnsi="Times New Roman;Times;Serif"/>
          <w:b/>
          <w:i w:val="false"/>
          <w:caps w:val="false"/>
          <w:smallCaps w:val="false"/>
          <w:sz w:val="20"/>
        </w:rPr>
        <w:t xml:space="preserve">(781) </w:t>
      </w:r>
      <w:bookmarkStart w:id="16" w:name="xdx_902_edei--LocalPhoneNumber_c20250101"/>
      <w:bookmarkEnd w:id="16"/>
      <w:r>
        <w:rPr>
          <w:rFonts w:ascii="Times New Roman;Times;Serif" w:hAnsi="Times New Roman;Times;Serif"/>
          <w:b/>
          <w:i w:val="false"/>
          <w:caps w:val="false"/>
          <w:smallCaps w:val="false"/>
          <w:sz w:val="20"/>
        </w:rPr>
        <w:t>875-3605</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6390" w:type="dxa"/>
        <w:jc w:val="left"/>
        <w:tblInd w:w="0" w:type="dxa"/>
        <w:tblLayout w:type="fixed"/>
        <w:tblCellMar>
          <w:top w:w="0" w:type="dxa"/>
          <w:left w:w="0" w:type="dxa"/>
          <w:bottom w:w="28" w:type="dxa"/>
          <w:right w:w="0" w:type="dxa"/>
        </w:tblCellMar>
      </w:tblPr>
      <w:tblGrid>
        <w:gridCol w:w="1565"/>
        <w:gridCol w:w="60"/>
        <w:gridCol w:w="1535"/>
        <w:gridCol w:w="60"/>
        <w:gridCol w:w="3170"/>
      </w:tblGrid>
      <w:tr>
        <w:trPr/>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exchange on which registered</w:t>
            </w:r>
          </w:p>
        </w:tc>
      </w:tr>
      <w:tr>
        <w:trPr/>
        <w:tc>
          <w:tcPr>
            <w:tcW w:w="15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D_edei--Security12bTitle_c20250101"/>
            <w:bookmarkEnd w:id="17"/>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C_edei--TradingSymbol_c20250101__2"/>
            <w:bookmarkEnd w:id="18"/>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ExchangeName_c2025"/>
            <w:bookmarkEnd w:id="19"/>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9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bookmarkStart w:id="21" w:name="xdx_90E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2060"/>
        <w:gridCol w:w="245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0_edei--EntityFilerCategory_c20250"/>
            <w:bookmarkEnd w:id="22"/>
            <w:r>
              <w:rPr>
                <w:rFonts w:ascii="Times New Roman;Times;Serif" w:hAnsi="Times New Roman;Times;Serif"/>
                <w:b w:val="false"/>
                <w:i w:val="false"/>
                <w:caps w:val="false"/>
                <w:smallCaps w:val="false"/>
                <w:sz w:val="20"/>
              </w:rPr>
              <w:t>Non-accelerated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3" w:name="xdx_903_edei--EntitySmallBusiness_c20250"/>
            <w:bookmarkEnd w:id="23"/>
            <w:r>
              <w:rPr>
                <w:rFonts w:ascii="Times New Roman;Times;Serif" w:hAnsi="Times New Roman;Times;Serif"/>
                <w:b w:val="false"/>
                <w:i w:val="false"/>
                <w:caps w:val="false"/>
                <w:smallCaps w:val="false"/>
                <w:sz w:val="20"/>
              </w:rPr>
              <w:t>☒</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E_edei--EntityEmergingGrowthCompan"/>
            <w:bookmarkEnd w:id="24"/>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C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w:t>
      </w:r>
      <w:bookmarkStart w:id="26" w:name="xdx_908_edei--EntityCommonStockSharesOut"/>
      <w:bookmarkEnd w:id="26"/>
      <w:r>
        <w:rPr>
          <w:rFonts w:ascii="Times New Roman;Times;Serif" w:hAnsi="Times New Roman;Times;Serif"/>
          <w:b w:val="false"/>
          <w:i w:val="false"/>
          <w:caps w:val="false"/>
          <w:smallCaps w:val="false"/>
          <w:sz w:val="20"/>
        </w:rPr>
        <w:t>67,158,044 shares of Common Stock, $</w:t>
      </w:r>
      <w:bookmarkStart w:id="27" w:name="xdx_90A_edei--EntityListingParValuePerSh"/>
      <w:bookmarkEnd w:id="27"/>
      <w:r>
        <w:rPr>
          <w:rFonts w:ascii="Times New Roman;Times;Serif" w:hAnsi="Times New Roman;Times;Serif"/>
          <w:b w:val="false"/>
          <w:i w:val="false"/>
          <w:caps w:val="false"/>
          <w:smallCaps w:val="false"/>
          <w:sz w:val="20"/>
        </w:rPr>
        <w:t>0.01 par value at November 12,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 AND SUBSIDIARY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Index</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Financial Information</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99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1 - Financial Statements</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60" w:type="dxa"/>
            <w:tcBorders/>
            <w:shd w:fill="CCEEFF" w:val="clear"/>
            <w:vAlign w:val="center"/>
          </w:tcPr>
          <w:p>
            <w:pPr>
              <w:pStyle w:val="TableContents"/>
              <w:bidi w:val="0"/>
              <w:spacing w:before="0" w:after="283"/>
              <w:jc w:val="left"/>
              <w:rPr/>
            </w:pPr>
            <w:hyperlink w:anchor="sk_001">
              <w:r>
                <w:rPr>
                  <w:rStyle w:val="InternetLink"/>
                  <w:rFonts w:ascii="Times New Roman;Times;Serif" w:hAnsi="Times New Roman;Times;Serif"/>
                  <w:b w:val="false"/>
                  <w:i w:val="false"/>
                  <w:caps w:val="false"/>
                  <w:smallCaps w:val="false"/>
                  <w:sz w:val="20"/>
                </w:rPr>
                <w:t>Interim Condensed Consolidated Balance Sheets as of September 30, 2025 (Unaudited) and December 31, 2024 (Audited)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60" w:type="dxa"/>
            <w:tcBorders/>
            <w:shd w:fill="FFFFFF" w:val="clear"/>
            <w:vAlign w:val="center"/>
          </w:tcPr>
          <w:p>
            <w:pPr>
              <w:pStyle w:val="TableContents"/>
              <w:bidi w:val="0"/>
              <w:spacing w:before="0" w:after="283"/>
              <w:jc w:val="left"/>
              <w:rPr/>
            </w:pPr>
            <w:hyperlink w:anchor="sk_002">
              <w:r>
                <w:rPr>
                  <w:rStyle w:val="InternetLink"/>
                  <w:rFonts w:ascii="Times New Roman;Times;Serif" w:hAnsi="Times New Roman;Times;Serif"/>
                  <w:b w:val="false"/>
                  <w:i w:val="false"/>
                  <w:caps w:val="false"/>
                  <w:smallCaps w:val="false"/>
                  <w:sz w:val="20"/>
                </w:rPr>
                <w:t>Interim Condensed Consolidated Statements of Comprehensive Loss for the Three and Nine Months Ended September 30, 2025 and 2024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960" w:type="dxa"/>
            <w:tcBorders/>
            <w:shd w:fill="CCEEFF" w:val="clear"/>
            <w:vAlign w:val="center"/>
          </w:tcPr>
          <w:p>
            <w:pPr>
              <w:pStyle w:val="TableContents"/>
              <w:bidi w:val="0"/>
              <w:spacing w:before="0" w:after="283"/>
              <w:jc w:val="left"/>
              <w:rPr/>
            </w:pPr>
            <w:hyperlink w:anchor="sk_003">
              <w:r>
                <w:rPr>
                  <w:rStyle w:val="InternetLink"/>
                  <w:rFonts w:ascii="Times New Roman;Times;Serif" w:hAnsi="Times New Roman;Times;Serif"/>
                  <w:b w:val="false"/>
                  <w:i w:val="false"/>
                  <w:caps w:val="false"/>
                  <w:smallCaps w:val="false"/>
                  <w:sz w:val="20"/>
                </w:rPr>
                <w:t>Interim Condensed Consolidated Statements of Shareholders’ Equity for the Three and Nine Months Ended September 30, 2025 and 2024 (Unaudited)</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60" w:type="dxa"/>
            <w:tcBorders/>
            <w:shd w:fill="FFFFFF" w:val="clear"/>
            <w:vAlign w:val="center"/>
          </w:tcPr>
          <w:p>
            <w:pPr>
              <w:pStyle w:val="TableContents"/>
              <w:bidi w:val="0"/>
              <w:spacing w:before="0" w:after="283"/>
              <w:jc w:val="left"/>
              <w:rPr/>
            </w:pPr>
            <w:hyperlink w:anchor="sk_004">
              <w:r>
                <w:rPr>
                  <w:rStyle w:val="InternetLink"/>
                  <w:rFonts w:ascii="Times New Roman;Times;Serif" w:hAnsi="Times New Roman;Times;Serif"/>
                  <w:b w:val="false"/>
                  <w:i w:val="false"/>
                  <w:caps w:val="false"/>
                  <w:smallCaps w:val="false"/>
                  <w:sz w:val="20"/>
                </w:rPr>
                <w:t>Interim Condensed Consolidated Statements of Cash Flows for the Nine Months Ended September 30, 2025 and 2024 (Unaudited)</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60" w:type="dxa"/>
            <w:tcBorders/>
            <w:shd w:fill="CCEEFF" w:val="clear"/>
            <w:vAlign w:val="center"/>
          </w:tcPr>
          <w:p>
            <w:pPr>
              <w:pStyle w:val="TableContents"/>
              <w:bidi w:val="0"/>
              <w:spacing w:before="0" w:after="283"/>
              <w:jc w:val="left"/>
              <w:rPr/>
            </w:pPr>
            <w:hyperlink w:anchor="sk_005">
              <w:r>
                <w:rPr>
                  <w:rStyle w:val="InternetLink"/>
                  <w:rFonts w:ascii="Times New Roman;Times;Serif" w:hAnsi="Times New Roman;Times;Serif"/>
                  <w:b w:val="false"/>
                  <w:i w:val="false"/>
                  <w:caps w:val="false"/>
                  <w:smallCaps w:val="false"/>
                  <w:sz w:val="20"/>
                </w:rPr>
                <w:t>Notes to Interim Unaudited Condensed Consolidated Financial Statements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960" w:type="dxa"/>
            <w:tcBorders/>
            <w:shd w:fill="FFFFFF" w:val="clear"/>
            <w:vAlign w:val="center"/>
          </w:tcPr>
          <w:p>
            <w:pPr>
              <w:pStyle w:val="TableContents"/>
              <w:bidi w:val="0"/>
              <w:spacing w:before="0" w:after="283"/>
              <w:jc w:val="left"/>
              <w:rPr/>
            </w:pPr>
            <w:hyperlink w:anchor="sk_006">
              <w:r>
                <w:rPr>
                  <w:rStyle w:val="InternetLink"/>
                  <w:rFonts w:ascii="Times New Roman;Times;Serif" w:hAnsi="Times New Roman;Times;Serif"/>
                  <w:b w:val="false"/>
                  <w:i w:val="false"/>
                  <w:caps w:val="false"/>
                  <w:smallCaps w:val="false"/>
                  <w:sz w:val="20"/>
                </w:rPr>
                <w:t>Item 2 - Management’s Discussion and Analysis of Financial Condition and Results of Operations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960" w:type="dxa"/>
            <w:tcBorders/>
            <w:shd w:fill="CCEEFF" w:val="clear"/>
            <w:vAlign w:val="center"/>
          </w:tcPr>
          <w:p>
            <w:pPr>
              <w:pStyle w:val="TableContents"/>
              <w:bidi w:val="0"/>
              <w:spacing w:before="0" w:after="283"/>
              <w:jc w:val="left"/>
              <w:rPr/>
            </w:pPr>
            <w:hyperlink w:anchor="sk_007">
              <w:r>
                <w:rPr>
                  <w:rStyle w:val="InternetLink"/>
                  <w:rFonts w:ascii="Times New Roman;Times;Serif" w:hAnsi="Times New Roman;Times;Serif"/>
                  <w:b w:val="false"/>
                  <w:i w:val="false"/>
                  <w:caps w:val="false"/>
                  <w:smallCaps w:val="false"/>
                  <w:sz w:val="20"/>
                </w:rPr>
                <w:t>Item 3 - Quantitative and Qualitative Disclosures About Market Risk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60" w:type="dxa"/>
            <w:tcBorders/>
            <w:shd w:fill="FFFFFF" w:val="clear"/>
            <w:vAlign w:val="center"/>
          </w:tcPr>
          <w:p>
            <w:pPr>
              <w:pStyle w:val="TableContents"/>
              <w:bidi w:val="0"/>
              <w:spacing w:before="0" w:after="283"/>
              <w:jc w:val="left"/>
              <w:rPr/>
            </w:pPr>
            <w:hyperlink w:anchor="sk_008">
              <w:r>
                <w:rPr>
                  <w:rStyle w:val="InternetLink"/>
                  <w:rFonts w:ascii="Times New Roman;Times;Serif" w:hAnsi="Times New Roman;Times;Serif"/>
                  <w:b w:val="false"/>
                  <w:i w:val="false"/>
                  <w:caps w:val="false"/>
                  <w:smallCaps w:val="false"/>
                  <w:sz w:val="20"/>
                </w:rPr>
                <w:t>Item 4 - Controls and Procedures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60" w:type="dxa"/>
            <w:tcBorders/>
            <w:shd w:fill="CCEEFF" w:val="clear"/>
            <w:vAlign w:val="center"/>
          </w:tcPr>
          <w:p>
            <w:pPr>
              <w:pStyle w:val="TableContents"/>
              <w:bidi w:val="0"/>
              <w:spacing w:before="0" w:after="283"/>
              <w:jc w:val="left"/>
              <w:rPr/>
            </w:pPr>
            <w:hyperlink w:anchor="sk_009">
              <w:r>
                <w:rPr>
                  <w:rStyle w:val="InternetLink"/>
                  <w:rFonts w:ascii="Times New Roman;Times;Serif" w:hAnsi="Times New Roman;Times;Serif"/>
                  <w:b w:val="false"/>
                  <w:i w:val="false"/>
                  <w:caps w:val="false"/>
                  <w:smallCaps w:val="false"/>
                  <w:sz w:val="20"/>
                </w:rPr>
                <w:t>Part II -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FFFFFF" w:val="clear"/>
            <w:vAlign w:val="center"/>
          </w:tcPr>
          <w:p>
            <w:pPr>
              <w:pStyle w:val="TableContents"/>
              <w:bidi w:val="0"/>
              <w:spacing w:before="0" w:after="283"/>
              <w:jc w:val="left"/>
              <w:rPr/>
            </w:pPr>
            <w:hyperlink w:anchor="sk_010">
              <w:r>
                <w:rPr>
                  <w:rStyle w:val="InternetLink"/>
                  <w:rFonts w:ascii="Times New Roman;Times;Serif" w:hAnsi="Times New Roman;Times;Serif"/>
                  <w:b w:val="false"/>
                  <w:i w:val="false"/>
                  <w:caps w:val="false"/>
                  <w:smallCaps w:val="false"/>
                  <w:sz w:val="20"/>
                </w:rPr>
                <w:t>Item 1 - Legal Proceedings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CCEEFF" w:val="clear"/>
            <w:vAlign w:val="center"/>
          </w:tcPr>
          <w:p>
            <w:pPr>
              <w:pStyle w:val="TableContents"/>
              <w:bidi w:val="0"/>
              <w:spacing w:before="0" w:after="283"/>
              <w:jc w:val="left"/>
              <w:rPr/>
            </w:pPr>
            <w:hyperlink w:anchor="sk_011">
              <w:r>
                <w:rPr>
                  <w:rStyle w:val="InternetLink"/>
                  <w:rFonts w:ascii="Times New Roman;Times;Serif" w:hAnsi="Times New Roman;Times;Serif"/>
                  <w:b w:val="false"/>
                  <w:i w:val="false"/>
                  <w:caps w:val="false"/>
                  <w:smallCaps w:val="false"/>
                  <w:sz w:val="20"/>
                </w:rPr>
                <w:t>Item 1A - 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FFFFFF" w:val="clear"/>
            <w:vAlign w:val="center"/>
          </w:tcPr>
          <w:p>
            <w:pPr>
              <w:pStyle w:val="TableContents"/>
              <w:bidi w:val="0"/>
              <w:spacing w:before="0" w:after="283"/>
              <w:jc w:val="left"/>
              <w:rPr/>
            </w:pPr>
            <w:hyperlink w:anchor="sk_012">
              <w:r>
                <w:rPr>
                  <w:rStyle w:val="InternetLink"/>
                  <w:rFonts w:ascii="Times New Roman;Times;Serif" w:hAnsi="Times New Roman;Times;Serif"/>
                  <w:b w:val="false"/>
                  <w:i w:val="false"/>
                  <w:caps w:val="false"/>
                  <w:smallCaps w:val="false"/>
                  <w:sz w:val="20"/>
                </w:rPr>
                <w:t>Item 2 - Unregistered Sales of Equity Securities and Use of Proceeds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CCEEFF" w:val="clear"/>
            <w:vAlign w:val="center"/>
          </w:tcPr>
          <w:p>
            <w:pPr>
              <w:pStyle w:val="TableContents"/>
              <w:bidi w:val="0"/>
              <w:spacing w:before="0" w:after="283"/>
              <w:jc w:val="left"/>
              <w:rPr/>
            </w:pPr>
            <w:hyperlink w:anchor="sk_013">
              <w:r>
                <w:rPr>
                  <w:rStyle w:val="InternetLink"/>
                  <w:rFonts w:ascii="Times New Roman;Times;Serif" w:hAnsi="Times New Roman;Times;Serif"/>
                  <w:b w:val="false"/>
                  <w:i w:val="false"/>
                  <w:caps w:val="false"/>
                  <w:smallCaps w:val="false"/>
                  <w:sz w:val="20"/>
                </w:rPr>
                <w:t>Item 3 - Defaults Upon Senior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FFFFFF" w:val="clear"/>
            <w:vAlign w:val="center"/>
          </w:tcPr>
          <w:p>
            <w:pPr>
              <w:pStyle w:val="TableContents"/>
              <w:bidi w:val="0"/>
              <w:spacing w:before="0" w:after="283"/>
              <w:jc w:val="left"/>
              <w:rPr/>
            </w:pPr>
            <w:hyperlink w:anchor="sk_014">
              <w:r>
                <w:rPr>
                  <w:rStyle w:val="InternetLink"/>
                  <w:rFonts w:ascii="Times New Roman;Times;Serif" w:hAnsi="Times New Roman;Times;Serif"/>
                  <w:b w:val="false"/>
                  <w:i w:val="false"/>
                  <w:caps w:val="false"/>
                  <w:smallCaps w:val="false"/>
                  <w:sz w:val="20"/>
                </w:rPr>
                <w:t>Item 4 - Mine Safety Disclosures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CCEEFF" w:val="clear"/>
            <w:vAlign w:val="center"/>
          </w:tcPr>
          <w:p>
            <w:pPr>
              <w:pStyle w:val="TableContents"/>
              <w:bidi w:val="0"/>
              <w:spacing w:before="0" w:after="283"/>
              <w:jc w:val="left"/>
              <w:rPr/>
            </w:pPr>
            <w:hyperlink w:anchor="sk_015">
              <w:r>
                <w:rPr>
                  <w:rStyle w:val="InternetLink"/>
                  <w:rFonts w:ascii="Times New Roman;Times;Serif" w:hAnsi="Times New Roman;Times;Serif"/>
                  <w:b w:val="false"/>
                  <w:i w:val="false"/>
                  <w:caps w:val="false"/>
                  <w:smallCaps w:val="false"/>
                  <w:sz w:val="20"/>
                </w:rPr>
                <w:t>Item 5 - Other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FFFFFF" w:val="clear"/>
            <w:vAlign w:val="center"/>
          </w:tcPr>
          <w:p>
            <w:pPr>
              <w:pStyle w:val="TableContents"/>
              <w:bidi w:val="0"/>
              <w:spacing w:before="0" w:after="283"/>
              <w:jc w:val="left"/>
              <w:rPr/>
            </w:pPr>
            <w:hyperlink w:anchor="sk_016">
              <w:r>
                <w:rPr>
                  <w:rStyle w:val="InternetLink"/>
                  <w:rFonts w:ascii="Times New Roman;Times;Serif" w:hAnsi="Times New Roman;Times;Serif"/>
                  <w:b w:val="false"/>
                  <w:i w:val="false"/>
                  <w:caps w:val="false"/>
                  <w:smallCaps w:val="false"/>
                  <w:sz w:val="20"/>
                </w:rPr>
                <w:t>Item 6 - Exhibits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60" w:type="dxa"/>
            <w:tcBorders/>
            <w:shd w:fill="CCEEFF" w:val="clear"/>
            <w:vAlign w:val="center"/>
          </w:tcPr>
          <w:p>
            <w:pPr>
              <w:pStyle w:val="TableContents"/>
              <w:bidi w:val="0"/>
              <w:spacing w:before="0" w:after="283"/>
              <w:jc w:val="left"/>
              <w:rPr/>
            </w:pPr>
            <w:hyperlink w:anchor="sk_017">
              <w:r>
                <w:rPr>
                  <w:rStyle w:val="InternetLink"/>
                  <w:rFonts w:ascii="Times New Roman;Times;Serif" w:hAnsi="Times New Roman;Times;Serif"/>
                  <w:b w:val="false"/>
                  <w:i w:val="false"/>
                  <w:caps w:val="false"/>
                  <w:smallCaps w:val="false"/>
                  <w:sz w:val="20"/>
                </w:rPr>
                <w:t>Signatures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8" w:name="sk_001"/>
      <w:bookmarkEnd w:id="28"/>
      <w:r>
        <w:rPr>
          <w:rFonts w:ascii="Times New Roman;Times;Serif" w:hAnsi="Times New Roman;Times;Serif"/>
          <w:b/>
          <w:i w:val="false"/>
          <w:caps w:val="false"/>
          <w:smallCaps w:val="false"/>
          <w:sz w:val="20"/>
          <w:u w:val="single"/>
        </w:rPr>
        <w:t>Interim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C_111_pn3n3_zm9xBdBZuTnj"/>
      <w:bookmarkStart w:id="30" w:name="xdx_30C_111_pn3n3_zm9xBdBZuTnj"/>
      <w:bookmarkEnd w:id="30"/>
    </w:p>
    <w:tbl>
      <w:tblPr>
        <w:tblW w:w="10205" w:type="dxa"/>
        <w:jc w:val="left"/>
        <w:tblInd w:w="0" w:type="dxa"/>
        <w:tblLayout w:type="fixed"/>
        <w:tblCellMar>
          <w:top w:w="0" w:type="dxa"/>
          <w:left w:w="0" w:type="dxa"/>
          <w:bottom w:w="0" w:type="dxa"/>
          <w:right w:w="0" w:type="dxa"/>
        </w:tblCellMar>
      </w:tblPr>
      <w:tblGrid>
        <w:gridCol w:w="6646"/>
        <w:gridCol w:w="60"/>
        <w:gridCol w:w="177"/>
        <w:gridCol w:w="413"/>
        <w:gridCol w:w="60"/>
        <w:gridCol w:w="60"/>
        <w:gridCol w:w="177"/>
        <w:gridCol w:w="1114"/>
        <w:gridCol w:w="95"/>
        <w:gridCol w:w="60"/>
        <w:gridCol w:w="192"/>
        <w:gridCol w:w="1039"/>
        <w:gridCol w:w="112"/>
      </w:tblGrid>
      <w:tr>
        <w:trPr/>
        <w:tc>
          <w:tcPr>
            <w:tcW w:w="66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8_20250930_zuf4m9aZX5Df"/>
            <w:bookmarkEnd w:id="31"/>
          </w:p>
        </w:tc>
        <w:tc>
          <w:tcPr>
            <w:tcW w:w="1291" w:type="dxa"/>
            <w:gridSpan w:val="2"/>
            <w:tcBorders/>
            <w:vAlign w:val="center"/>
          </w:tcPr>
          <w:p>
            <w:pPr>
              <w:pStyle w:val="TableContents"/>
              <w:bidi w:val="0"/>
              <w:spacing w:before="0" w:after="283"/>
              <w:jc w:val="center"/>
              <w:rPr>
                <w:b/>
              </w:rPr>
            </w:pPr>
            <w:r>
              <w:rPr>
                <w:b/>
              </w:rPr>
              <w:t>As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8_20241231_zoUo5Wg6VOIi"/>
            <w:bookmarkEnd w:id="32"/>
          </w:p>
        </w:tc>
        <w:tc>
          <w:tcPr>
            <w:tcW w:w="1231" w:type="dxa"/>
            <w:gridSpan w:val="2"/>
            <w:tcBorders/>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66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2" w:type="dxa"/>
            <w:tcBorders/>
            <w:vAlign w:val="center"/>
          </w:tcPr>
          <w:p>
            <w:pPr>
              <w:pStyle w:val="TableContents"/>
              <w:bidi w:val="0"/>
              <w:spacing w:before="0" w:after="283"/>
              <w:jc w:val="left"/>
              <w:rPr/>
            </w:pPr>
            <w:r>
              <w:rPr/>
              <w:t> </w:t>
            </w:r>
          </w:p>
        </w:tc>
      </w:tr>
      <w:tr>
        <w:trPr/>
        <w:tc>
          <w:tcPr>
            <w:tcW w:w="664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1"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1" w:type="dxa"/>
            <w:gridSpan w:val="2"/>
            <w:tcBorders/>
            <w:vAlign w:val="center"/>
          </w:tcPr>
          <w:p>
            <w:pPr>
              <w:pStyle w:val="TableContents"/>
              <w:bidi w:val="0"/>
              <w:spacing w:before="0" w:after="283"/>
              <w:jc w:val="center"/>
              <w:rPr/>
            </w:pPr>
            <w:r>
              <w:rPr/>
              <w:t>Audited</w:t>
            </w:r>
          </w:p>
        </w:tc>
        <w:tc>
          <w:tcPr>
            <w:tcW w:w="112" w:type="dxa"/>
            <w:tcBorders/>
            <w:vAlign w:val="center"/>
          </w:tcPr>
          <w:p>
            <w:pPr>
              <w:pStyle w:val="TableContents"/>
              <w:bidi w:val="0"/>
              <w:spacing w:before="0" w:after="283"/>
              <w:jc w:val="center"/>
              <w:rPr/>
            </w:pPr>
            <w:r>
              <w:rPr/>
              <w:t> </w:t>
            </w:r>
            <w:bookmarkStart w:id="33" w:name="xdx_401_eus-gaap--AssetsAbstract_iB_zSOS"/>
            <w:bookmarkEnd w:id="33"/>
          </w:p>
        </w:tc>
      </w:tr>
      <w:tr>
        <w:trPr/>
        <w:tc>
          <w:tcPr>
            <w:tcW w:w="6646"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4" w:name="xdx_40D_eus-gaap--AssetsCurrentAbstract_"/>
            <w:bookmarkEnd w:id="34"/>
          </w:p>
        </w:tc>
      </w:tr>
      <w:tr>
        <w:trPr/>
        <w:tc>
          <w:tcPr>
            <w:tcW w:w="664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5" w:name="xdx_40A_eus-gaap--CashAndCashEquivalents"/>
            <w:bookmarkEnd w:id="35"/>
          </w:p>
        </w:tc>
      </w:tr>
      <w:tr>
        <w:trPr/>
        <w:tc>
          <w:tcPr>
            <w:tcW w:w="664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6,704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3,114</w:t>
            </w:r>
          </w:p>
        </w:tc>
        <w:tc>
          <w:tcPr>
            <w:tcW w:w="112" w:type="dxa"/>
            <w:tcBorders/>
            <w:shd w:fill="CCEEFF" w:val="clear"/>
            <w:vAlign w:val="center"/>
          </w:tcPr>
          <w:p>
            <w:pPr>
              <w:pStyle w:val="TableContents"/>
              <w:bidi w:val="0"/>
              <w:spacing w:before="0" w:after="283"/>
              <w:jc w:val="left"/>
              <w:rPr/>
            </w:pPr>
            <w:r>
              <w:rPr/>
              <w:t> </w:t>
            </w:r>
            <w:bookmarkStart w:id="36" w:name="xdx_400_eus-gaap--MarketableSecuritiesCu"/>
            <w:bookmarkEnd w:id="36"/>
          </w:p>
        </w:tc>
      </w:tr>
      <w:tr>
        <w:trPr/>
        <w:tc>
          <w:tcPr>
            <w:tcW w:w="6646"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73,454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2,356</w:t>
            </w:r>
          </w:p>
        </w:tc>
        <w:tc>
          <w:tcPr>
            <w:tcW w:w="112" w:type="dxa"/>
            <w:tcBorders/>
            <w:shd w:fill="FFFFFF" w:val="clear"/>
            <w:vAlign w:val="center"/>
          </w:tcPr>
          <w:p>
            <w:pPr>
              <w:pStyle w:val="TableContents"/>
              <w:bidi w:val="0"/>
              <w:spacing w:before="0" w:after="283"/>
              <w:jc w:val="left"/>
              <w:rPr/>
            </w:pPr>
            <w:r>
              <w:rPr/>
              <w:t> </w:t>
            </w:r>
            <w:bookmarkStart w:id="37" w:name="xdx_403_eus-gaap--RestrictedCashAndCashE"/>
            <w:bookmarkEnd w:id="37"/>
          </w:p>
        </w:tc>
      </w:tr>
      <w:tr>
        <w:trPr/>
        <w:tc>
          <w:tcPr>
            <w:tcW w:w="6646"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49</w:t>
            </w:r>
          </w:p>
        </w:tc>
        <w:tc>
          <w:tcPr>
            <w:tcW w:w="112" w:type="dxa"/>
            <w:tcBorders/>
            <w:shd w:fill="CCEEFF" w:val="clear"/>
            <w:vAlign w:val="center"/>
          </w:tcPr>
          <w:p>
            <w:pPr>
              <w:pStyle w:val="TableContents"/>
              <w:bidi w:val="0"/>
              <w:spacing w:before="0" w:after="283"/>
              <w:jc w:val="left"/>
              <w:rPr/>
            </w:pPr>
            <w:r>
              <w:rPr/>
              <w:t> </w:t>
            </w:r>
            <w:bookmarkStart w:id="38" w:name="xdx_408_eus-gaap--PrepaidExpenseAndOther"/>
            <w:bookmarkEnd w:id="38"/>
          </w:p>
        </w:tc>
      </w:tr>
      <w:tr>
        <w:trPr/>
        <w:tc>
          <w:tcPr>
            <w:tcW w:w="664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112" w:type="dxa"/>
            <w:tcBorders/>
            <w:shd w:fill="FFFFFF" w:val="clear"/>
            <w:vAlign w:val="center"/>
          </w:tcPr>
          <w:p>
            <w:pPr>
              <w:pStyle w:val="TableContents"/>
              <w:bidi w:val="0"/>
              <w:spacing w:before="0" w:after="283"/>
              <w:jc w:val="left"/>
              <w:rPr/>
            </w:pPr>
            <w:r>
              <w:rPr/>
              <w:t> </w:t>
            </w:r>
            <w:bookmarkStart w:id="39" w:name="xdx_40B_eus-gaap--AssetsCurrent_i02TI_mt"/>
            <w:bookmarkEnd w:id="39"/>
          </w:p>
        </w:tc>
      </w:tr>
      <w:tr>
        <w:trPr/>
        <w:tc>
          <w:tcPr>
            <w:tcW w:w="664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80,785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5,819</w:t>
            </w:r>
          </w:p>
        </w:tc>
        <w:tc>
          <w:tcPr>
            <w:tcW w:w="112" w:type="dxa"/>
            <w:tcBorders/>
            <w:shd w:fill="CCEEFF" w:val="clear"/>
            <w:vAlign w:val="center"/>
          </w:tcPr>
          <w:p>
            <w:pPr>
              <w:pStyle w:val="TableContents"/>
              <w:bidi w:val="0"/>
              <w:spacing w:before="0" w:after="283"/>
              <w:jc w:val="left"/>
              <w:rPr/>
            </w:pPr>
            <w:r>
              <w:rPr/>
              <w:t> </w:t>
            </w:r>
          </w:p>
        </w:tc>
      </w:tr>
      <w:tr>
        <w:trPr/>
        <w:tc>
          <w:tcPr>
            <w:tcW w:w="6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0" w:name="xdx_40D_eus-gaap--PropertyPlantAndEquipm"/>
            <w:bookmarkEnd w:id="40"/>
          </w:p>
        </w:tc>
      </w:tr>
      <w:tr>
        <w:trPr/>
        <w:tc>
          <w:tcPr>
            <w:tcW w:w="6646"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80</w:t>
            </w:r>
          </w:p>
        </w:tc>
        <w:tc>
          <w:tcPr>
            <w:tcW w:w="112" w:type="dxa"/>
            <w:tcBorders/>
            <w:shd w:fill="CCEEFF" w:val="clear"/>
            <w:vAlign w:val="center"/>
          </w:tcPr>
          <w:p>
            <w:pPr>
              <w:pStyle w:val="TableContents"/>
              <w:bidi w:val="0"/>
              <w:spacing w:before="0" w:after="283"/>
              <w:jc w:val="left"/>
              <w:rPr/>
            </w:pPr>
            <w:r>
              <w:rPr/>
              <w:t> </w:t>
            </w:r>
            <w:bookmarkStart w:id="41" w:name="xdx_407_eus-gaap--OperatingLeaseRightOfU"/>
            <w:bookmarkEnd w:id="41"/>
          </w:p>
        </w:tc>
      </w:tr>
      <w:tr>
        <w:trPr/>
        <w:tc>
          <w:tcPr>
            <w:tcW w:w="6646" w:type="dxa"/>
            <w:tcBorders/>
            <w:shd w:fill="FFFFFF" w:val="clear"/>
            <w:vAlign w:val="center"/>
          </w:tcPr>
          <w:p>
            <w:pPr>
              <w:pStyle w:val="TableContents"/>
              <w:bidi w:val="0"/>
              <w:spacing w:before="0" w:after="283"/>
              <w:jc w:val="left"/>
              <w:rPr/>
            </w:pPr>
            <w:r>
              <w:rPr/>
              <w:t>Operating right-of-use assets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897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132</w:t>
            </w:r>
          </w:p>
        </w:tc>
        <w:tc>
          <w:tcPr>
            <w:tcW w:w="112" w:type="dxa"/>
            <w:tcBorders/>
            <w:shd w:fill="FFFFFF" w:val="clear"/>
            <w:vAlign w:val="center"/>
          </w:tcPr>
          <w:p>
            <w:pPr>
              <w:pStyle w:val="TableContents"/>
              <w:bidi w:val="0"/>
              <w:spacing w:before="0" w:after="283"/>
              <w:jc w:val="left"/>
              <w:rPr/>
            </w:pPr>
            <w:r>
              <w:rPr/>
              <w:t> </w:t>
            </w:r>
            <w:bookmarkStart w:id="42" w:name="xdx_40B_eus-gaap--Assets_i01TI_mtCzWJV_z"/>
            <w:bookmarkEnd w:id="42"/>
          </w:p>
        </w:tc>
      </w:tr>
      <w:tr>
        <w:trPr/>
        <w:tc>
          <w:tcPr>
            <w:tcW w:w="664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pPr>
            <w:r>
              <w:rPr/>
              <w:t>81,760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6,031</w:t>
            </w:r>
          </w:p>
        </w:tc>
        <w:tc>
          <w:tcPr>
            <w:tcW w:w="112" w:type="dxa"/>
            <w:tcBorders/>
            <w:shd w:fill="CCEEFF" w:val="clear"/>
            <w:vAlign w:val="center"/>
          </w:tcPr>
          <w:p>
            <w:pPr>
              <w:pStyle w:val="TableContents"/>
              <w:bidi w:val="0"/>
              <w:spacing w:before="0" w:after="283"/>
              <w:jc w:val="left"/>
              <w:rPr/>
            </w:pPr>
            <w:r>
              <w:rPr/>
              <w:t> </w:t>
            </w:r>
          </w:p>
        </w:tc>
      </w:tr>
      <w:tr>
        <w:trPr/>
        <w:tc>
          <w:tcPr>
            <w:tcW w:w="6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3" w:name="xdx_40C_eus-gaap--LiabilitiesAndStockhol"/>
            <w:bookmarkEnd w:id="43"/>
          </w:p>
        </w:tc>
      </w:tr>
      <w:tr>
        <w:trPr/>
        <w:tc>
          <w:tcPr>
            <w:tcW w:w="6646" w:type="dxa"/>
            <w:tcBorders/>
            <w:shd w:fill="CCEEFF" w:val="clear"/>
            <w:vAlign w:val="center"/>
          </w:tcPr>
          <w:p>
            <w:pPr>
              <w:pStyle w:val="TableContents"/>
              <w:bidi w:val="0"/>
              <w:spacing w:before="0" w:after="283"/>
              <w:jc w:val="center"/>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4" w:name="xdx_401_eus-gaap--LiabilitiesCurrentAbst"/>
            <w:bookmarkEnd w:id="44"/>
          </w:p>
        </w:tc>
      </w:tr>
      <w:tr>
        <w:trPr/>
        <w:tc>
          <w:tcPr>
            <w:tcW w:w="664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5" w:name="xdx_400_eus-gaap--AccountsPayableCurrent"/>
            <w:bookmarkEnd w:id="45"/>
          </w:p>
        </w:tc>
      </w:tr>
      <w:tr>
        <w:trPr/>
        <w:tc>
          <w:tcPr>
            <w:tcW w:w="664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114" w:type="dxa"/>
            <w:tcBorders/>
            <w:shd w:fill="CCEEFF" w:val="clear"/>
            <w:vAlign w:val="center"/>
          </w:tcPr>
          <w:p>
            <w:pPr>
              <w:pStyle w:val="TableContents"/>
              <w:bidi w:val="0"/>
              <w:spacing w:before="0" w:after="283"/>
              <w:jc w:val="right"/>
              <w:rPr/>
            </w:pPr>
            <w:r>
              <w:rPr/>
              <w:t>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165</w:t>
            </w:r>
          </w:p>
        </w:tc>
        <w:tc>
          <w:tcPr>
            <w:tcW w:w="112" w:type="dxa"/>
            <w:tcBorders/>
            <w:shd w:fill="CCEEFF" w:val="clear"/>
            <w:vAlign w:val="center"/>
          </w:tcPr>
          <w:p>
            <w:pPr>
              <w:pStyle w:val="TableContents"/>
              <w:bidi w:val="0"/>
              <w:spacing w:before="0" w:after="283"/>
              <w:jc w:val="left"/>
              <w:rPr/>
            </w:pPr>
            <w:r>
              <w:rPr/>
              <w:t> </w:t>
            </w:r>
            <w:bookmarkStart w:id="46" w:name="xdx_409_eus-gaap--OperatingLeaseLiabilit"/>
            <w:bookmarkEnd w:id="46"/>
          </w:p>
        </w:tc>
      </w:tr>
      <w:tr>
        <w:trPr/>
        <w:tc>
          <w:tcPr>
            <w:tcW w:w="6646"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70</w:t>
            </w:r>
          </w:p>
        </w:tc>
        <w:tc>
          <w:tcPr>
            <w:tcW w:w="112" w:type="dxa"/>
            <w:tcBorders/>
            <w:shd w:fill="FFFFFF" w:val="clear"/>
            <w:vAlign w:val="center"/>
          </w:tcPr>
          <w:p>
            <w:pPr>
              <w:pStyle w:val="TableContents"/>
              <w:bidi w:val="0"/>
              <w:spacing w:before="0" w:after="283"/>
              <w:jc w:val="left"/>
              <w:rPr/>
            </w:pPr>
            <w:r>
              <w:rPr/>
              <w:t> </w:t>
            </w:r>
            <w:bookmarkStart w:id="47" w:name="xdx_407_eus-gaap--AccruedLiabilitiesCurr"/>
            <w:bookmarkEnd w:id="47"/>
          </w:p>
        </w:tc>
      </w:tr>
      <w:tr>
        <w:trPr/>
        <w:tc>
          <w:tcPr>
            <w:tcW w:w="6646"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2,128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2,225</w:t>
            </w:r>
          </w:p>
        </w:tc>
        <w:tc>
          <w:tcPr>
            <w:tcW w:w="112" w:type="dxa"/>
            <w:tcBorders/>
            <w:shd w:fill="CCEEFF" w:val="clear"/>
            <w:vAlign w:val="center"/>
          </w:tcPr>
          <w:p>
            <w:pPr>
              <w:pStyle w:val="TableContents"/>
              <w:bidi w:val="0"/>
              <w:spacing w:before="0" w:after="283"/>
              <w:jc w:val="left"/>
              <w:rPr/>
            </w:pPr>
            <w:r>
              <w:rPr/>
              <w:t> </w:t>
            </w:r>
            <w:bookmarkStart w:id="48" w:name="xdx_40B_eus-gaap--LiabilitiesCurrent_i02"/>
            <w:bookmarkEnd w:id="48"/>
          </w:p>
        </w:tc>
      </w:tr>
      <w:tr>
        <w:trPr/>
        <w:tc>
          <w:tcPr>
            <w:tcW w:w="664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2,934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2,460</w:t>
            </w:r>
          </w:p>
        </w:tc>
        <w:tc>
          <w:tcPr>
            <w:tcW w:w="112" w:type="dxa"/>
            <w:tcBorders/>
            <w:shd w:fill="FFFFFF" w:val="clear"/>
            <w:vAlign w:val="center"/>
          </w:tcPr>
          <w:p>
            <w:pPr>
              <w:pStyle w:val="TableContents"/>
              <w:bidi w:val="0"/>
              <w:spacing w:before="0" w:after="283"/>
              <w:jc w:val="left"/>
              <w:rPr/>
            </w:pPr>
            <w:r>
              <w:rPr/>
              <w:t> </w:t>
            </w:r>
          </w:p>
        </w:tc>
      </w:tr>
      <w:tr>
        <w:trPr/>
        <w:tc>
          <w:tcPr>
            <w:tcW w:w="6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9" w:name="xdx_40F_eus-gaap--LiabilitiesNoncurrentA"/>
            <w:bookmarkEnd w:id="49"/>
          </w:p>
        </w:tc>
      </w:tr>
      <w:tr>
        <w:trPr/>
        <w:tc>
          <w:tcPr>
            <w:tcW w:w="6646"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0" w:name="xdx_403_eus-gaap--OperatingLeaseLiabilit"/>
            <w:bookmarkEnd w:id="50"/>
          </w:p>
        </w:tc>
      </w:tr>
      <w:tr>
        <w:trPr/>
        <w:tc>
          <w:tcPr>
            <w:tcW w:w="6646" w:type="dxa"/>
            <w:tcBorders/>
            <w:shd w:fill="CCEEFF" w:val="clear"/>
            <w:vAlign w:val="center"/>
          </w:tcPr>
          <w:p>
            <w:pPr>
              <w:pStyle w:val="TableContents"/>
              <w:bidi w:val="0"/>
              <w:spacing w:before="0" w:after="283"/>
              <w:jc w:val="left"/>
              <w:rPr/>
            </w:pPr>
            <w:r>
              <w:rPr/>
              <w:t>Long-term lease liabilities</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602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2" w:type="dxa"/>
            <w:tcBorders/>
            <w:shd w:fill="CCEEFF" w:val="clear"/>
            <w:vAlign w:val="center"/>
          </w:tcPr>
          <w:p>
            <w:pPr>
              <w:pStyle w:val="TableContents"/>
              <w:bidi w:val="0"/>
              <w:spacing w:before="0" w:after="283"/>
              <w:jc w:val="left"/>
              <w:rPr/>
            </w:pPr>
            <w:r>
              <w:rPr/>
              <w:t> </w:t>
            </w:r>
            <w:bookmarkStart w:id="51" w:name="xdx_40F_eus-gaap--Liabilities_i01TI_mtCz"/>
            <w:bookmarkEnd w:id="51"/>
          </w:p>
        </w:tc>
      </w:tr>
      <w:tr>
        <w:trPr/>
        <w:tc>
          <w:tcPr>
            <w:tcW w:w="664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3,536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2,501</w:t>
            </w:r>
          </w:p>
        </w:tc>
        <w:tc>
          <w:tcPr>
            <w:tcW w:w="112" w:type="dxa"/>
            <w:tcBorders/>
            <w:shd w:fill="FFFFFF" w:val="clear"/>
            <w:vAlign w:val="center"/>
          </w:tcPr>
          <w:p>
            <w:pPr>
              <w:pStyle w:val="TableContents"/>
              <w:bidi w:val="0"/>
              <w:spacing w:before="0" w:after="283"/>
              <w:jc w:val="left"/>
              <w:rPr/>
            </w:pPr>
            <w:r>
              <w:rPr/>
              <w:t> </w:t>
            </w:r>
          </w:p>
        </w:tc>
      </w:tr>
      <w:tr>
        <w:trPr/>
        <w:tc>
          <w:tcPr>
            <w:tcW w:w="6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2" w:name="xdx_402_eus-gaap--StockholdersEquityAbst"/>
            <w:bookmarkEnd w:id="52"/>
          </w:p>
        </w:tc>
      </w:tr>
      <w:tr>
        <w:trPr/>
        <w:tc>
          <w:tcPr>
            <w:tcW w:w="6646"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3" w:name="xdx_403_eus-gaap--CommonStockValue_i02I_"/>
            <w:bookmarkEnd w:id="53"/>
          </w:p>
        </w:tc>
      </w:tr>
      <w:tr>
        <w:trPr/>
        <w:tc>
          <w:tcPr>
            <w:tcW w:w="6646" w:type="dxa"/>
            <w:tcBorders/>
            <w:shd w:fill="FFFFFF" w:val="clear"/>
            <w:vAlign w:val="center"/>
          </w:tcPr>
          <w:p>
            <w:pPr>
              <w:pStyle w:val="TableContents"/>
              <w:bidi w:val="0"/>
              <w:spacing w:before="0" w:after="283"/>
              <w:jc w:val="left"/>
              <w:rPr/>
            </w:pPr>
            <w:r>
              <w:rPr/>
              <w:t>Common stock; $</w:t>
            </w:r>
            <w:bookmarkStart w:id="54" w:name="xdx_90D_eus-gaap--CommonStockParOrStated"/>
            <w:bookmarkStart w:id="55" w:name="xdx_900_eus-gaap--CommonStockParOrStated"/>
            <w:bookmarkEnd w:id="54"/>
            <w:bookmarkEnd w:id="55"/>
            <w:r>
              <w:rPr/>
              <w:t xml:space="preserve">0.01 par value; </w:t>
            </w:r>
            <w:bookmarkStart w:id="56" w:name="xdx_90D_eus-gaap--CommonStockSharesAutho"/>
            <w:bookmarkEnd w:id="56"/>
            <w:r>
              <w:rPr/>
              <w:t xml:space="preserve">120,000,000 and </w:t>
            </w:r>
            <w:bookmarkStart w:id="57" w:name="xdx_905_eus-gaap--CommonStockSharesAutho"/>
            <w:bookmarkEnd w:id="57"/>
            <w:r>
              <w:rPr/>
              <w:t xml:space="preserve">60,000,000 shares authorized as of September 30, 2025 and December 31, 2024, respectively; </w:t>
            </w:r>
            <w:bookmarkStart w:id="58" w:name="xdx_909_eus-gaap--CommonStockSharesOutst"/>
            <w:bookmarkStart w:id="59" w:name="xdx_904_eus-gaap--CommonStockSharesIssue"/>
            <w:bookmarkEnd w:id="58"/>
            <w:bookmarkEnd w:id="59"/>
            <w:r>
              <w:rPr/>
              <w:t xml:space="preserve">65,833,556 and </w:t>
            </w:r>
            <w:bookmarkStart w:id="60" w:name="xdx_907_eus-gaap--CommonStockSharesOutst"/>
            <w:bookmarkStart w:id="61" w:name="xdx_900_eus-gaap--CommonStockSharesIssue"/>
            <w:bookmarkEnd w:id="60"/>
            <w:bookmarkEnd w:id="61"/>
            <w:r>
              <w:rPr/>
              <w:t>19,399,513 shares issued and outstanding as of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659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195</w:t>
            </w:r>
          </w:p>
        </w:tc>
        <w:tc>
          <w:tcPr>
            <w:tcW w:w="112" w:type="dxa"/>
            <w:tcBorders/>
            <w:shd w:fill="FFFFFF" w:val="clear"/>
            <w:vAlign w:val="center"/>
          </w:tcPr>
          <w:p>
            <w:pPr>
              <w:pStyle w:val="TableContents"/>
              <w:bidi w:val="0"/>
              <w:spacing w:before="0" w:after="283"/>
              <w:jc w:val="left"/>
              <w:rPr/>
            </w:pPr>
            <w:r>
              <w:rPr/>
              <w:t> </w:t>
            </w:r>
            <w:bookmarkStart w:id="62" w:name="xdx_409_eus-gaap--AdditionalPaidInCapita"/>
            <w:bookmarkEnd w:id="62"/>
          </w:p>
        </w:tc>
      </w:tr>
      <w:tr>
        <w:trPr/>
        <w:tc>
          <w:tcPr>
            <w:tcW w:w="664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178,187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94,279</w:t>
            </w:r>
          </w:p>
        </w:tc>
        <w:tc>
          <w:tcPr>
            <w:tcW w:w="112" w:type="dxa"/>
            <w:tcBorders/>
            <w:shd w:fill="CCEEFF" w:val="clear"/>
            <w:vAlign w:val="center"/>
          </w:tcPr>
          <w:p>
            <w:pPr>
              <w:pStyle w:val="TableContents"/>
              <w:bidi w:val="0"/>
              <w:spacing w:before="0" w:after="283"/>
              <w:jc w:val="left"/>
              <w:rPr/>
            </w:pPr>
            <w:r>
              <w:rPr/>
              <w:t> </w:t>
            </w:r>
            <w:bookmarkStart w:id="63" w:name="xdx_40C_eus-gaap--RetainedEarningsAccumu"/>
            <w:bookmarkEnd w:id="63"/>
          </w:p>
        </w:tc>
      </w:tr>
      <w:tr>
        <w:trPr/>
        <w:tc>
          <w:tcPr>
            <w:tcW w:w="664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(100,622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(90,944</w:t>
            </w:r>
          </w:p>
        </w:tc>
        <w:tc>
          <w:tcPr>
            <w:tcW w:w="112" w:type="dxa"/>
            <w:tcBorders/>
            <w:shd w:fill="FFFFFF" w:val="clear"/>
            <w:vAlign w:val="center"/>
          </w:tcPr>
          <w:p>
            <w:pPr>
              <w:pStyle w:val="TableContents"/>
              <w:bidi w:val="0"/>
              <w:spacing w:before="0" w:after="283"/>
              <w:jc w:val="left"/>
              <w:rPr/>
            </w:pPr>
            <w:r>
              <w:rPr/>
              <w:t>)</w:t>
            </w:r>
            <w:bookmarkStart w:id="64" w:name="xdx_401_eus-gaap--StockholdersEquity_i02"/>
            <w:bookmarkEnd w:id="64"/>
          </w:p>
        </w:tc>
      </w:tr>
      <w:tr>
        <w:trPr/>
        <w:tc>
          <w:tcPr>
            <w:tcW w:w="6646"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78,224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283"/>
              <w:jc w:val="right"/>
              <w:rPr/>
            </w:pPr>
            <w:r>
              <w:rPr/>
              <w:t>3,530</w:t>
            </w:r>
          </w:p>
        </w:tc>
        <w:tc>
          <w:tcPr>
            <w:tcW w:w="112" w:type="dxa"/>
            <w:tcBorders/>
            <w:shd w:fill="CCEEFF" w:val="clear"/>
            <w:vAlign w:val="center"/>
          </w:tcPr>
          <w:p>
            <w:pPr>
              <w:pStyle w:val="TableContents"/>
              <w:bidi w:val="0"/>
              <w:spacing w:before="0" w:after="283"/>
              <w:jc w:val="left"/>
              <w:rPr/>
            </w:pPr>
            <w:r>
              <w:rPr/>
              <w:t> </w:t>
            </w:r>
            <w:bookmarkStart w:id="65" w:name="xdx_409_eus-gaap--LiabilitiesAndStockhol"/>
            <w:bookmarkEnd w:id="65"/>
          </w:p>
        </w:tc>
      </w:tr>
      <w:tr>
        <w:trPr/>
        <w:tc>
          <w:tcPr>
            <w:tcW w:w="6646"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jc w:val="right"/>
              <w:rPr/>
            </w:pPr>
            <w:r>
              <w:rPr/>
              <w:t>81,760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6,031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66" w:name="sk_002"/>
      <w:bookmarkEnd w:id="66"/>
      <w:r>
        <w:rPr>
          <w:rFonts w:ascii="Times New Roman;Times;Serif" w:hAnsi="Times New Roman;Times;Serif"/>
          <w:b/>
          <w:i w:val="false"/>
          <w:caps w:val="false"/>
          <w:smallCaps w:val="false"/>
          <w:sz w:val="20"/>
          <w:u w:val="single"/>
        </w:rPr>
        <w:t>Interim Condensed 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 w:name="xdx_30F_113_pn3n3_zhwbIqvIuyI"/>
      <w:bookmarkStart w:id="68" w:name="xdx_30F_113_pn3n3_zhwbIqvIuyI"/>
      <w:bookmarkEnd w:id="68"/>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 w:name="xdx_495_20250701__20250930_z7iPBlphEFD5"/>
            <w:bookmarkEnd w:id="6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 w:name="xdx_49D_20240701__20240930_zCQqSJtXaIFk"/>
            <w:bookmarkEnd w:id="70"/>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 w:name="xdx_499_20250101__20250930_zdKVemH2IVC6"/>
            <w:bookmarkEnd w:id="7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 w:name="xdx_49A_20240101__20240930_z0uKL63bS7g9"/>
            <w:bookmarkEnd w:id="72"/>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bookmarkStart w:id="73" w:name="xdx_406_eus-gaap--ResearchAndDevelopment"/>
            <w:bookmarkEnd w:id="73"/>
          </w:p>
        </w:tc>
      </w:tr>
      <w:tr>
        <w:trPr/>
        <w:tc>
          <w:tcPr>
            <w:tcW w:w="461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(4,646</w:t>
            </w:r>
          </w:p>
        </w:tc>
        <w:tc>
          <w:tcPr>
            <w:tcW w:w="110" w:type="dxa"/>
            <w:tcBorders/>
            <w:shd w:fill="CCEEFF" w:val="clear"/>
            <w:vAlign w:val="center"/>
          </w:tcPr>
          <w:p>
            <w:pPr>
              <w:pStyle w:val="TableContents"/>
              <w:bidi w:val="0"/>
              <w:spacing w:before="0" w:after="283"/>
              <w:jc w:val="left"/>
              <w:rPr/>
            </w:pPr>
            <w:r>
              <w:rPr/>
              <w:t>)</w:t>
            </w:r>
            <w:bookmarkStart w:id="74" w:name="xdx_400_eus-gaap--GeneralAndAdministrati"/>
            <w:bookmarkEnd w:id="74"/>
          </w:p>
        </w:tc>
      </w:tr>
      <w:tr>
        <w:trPr/>
        <w:tc>
          <w:tcPr>
            <w:tcW w:w="4610" w:type="dxa"/>
            <w:tcBorders/>
            <w:shd w:fill="FFFFFF" w:val="clear"/>
            <w:vAlign w:val="center"/>
          </w:tcPr>
          <w:p>
            <w:pPr>
              <w:pStyle w:val="TableContents"/>
              <w:bidi w:val="0"/>
              <w:spacing w:before="0" w:after="283"/>
              <w:jc w:val="left"/>
              <w:rPr/>
            </w:pPr>
            <w:r>
              <w:rPr/>
              <w:t>Sales,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(5,864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(3,549</w:t>
            </w:r>
          </w:p>
        </w:tc>
        <w:tc>
          <w:tcPr>
            <w:tcW w:w="110" w:type="dxa"/>
            <w:tcBorders/>
            <w:shd w:fill="FFFFFF" w:val="clear"/>
            <w:vAlign w:val="center"/>
          </w:tcPr>
          <w:p>
            <w:pPr>
              <w:pStyle w:val="TableContents"/>
              <w:bidi w:val="0"/>
              <w:spacing w:before="0" w:after="283"/>
              <w:jc w:val="left"/>
              <w:rPr/>
            </w:pPr>
            <w:r>
              <w:rPr/>
              <w:t>)</w:t>
            </w:r>
            <w:bookmarkStart w:id="75" w:name="xdx_403_eus-gaap--OperatingIncomeLoss_iT"/>
            <w:bookmarkEnd w:id="75"/>
          </w:p>
        </w:tc>
      </w:tr>
      <w:tr>
        <w:trPr/>
        <w:tc>
          <w:tcPr>
            <w:tcW w:w="461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(8,195</w:t>
            </w:r>
          </w:p>
        </w:tc>
        <w:tc>
          <w:tcPr>
            <w:tcW w:w="110" w:type="dxa"/>
            <w:tcBorders/>
            <w:shd w:fill="CCEEFF" w:val="clear"/>
            <w:vAlign w:val="center"/>
          </w:tcPr>
          <w:p>
            <w:pPr>
              <w:pStyle w:val="TableContents"/>
              <w:bidi w:val="0"/>
              <w:spacing w:before="0" w:after="283"/>
              <w:jc w:val="left"/>
              <w:rPr/>
            </w:pPr>
            <w:r>
              <w:rPr/>
              <w:t>)</w:t>
            </w:r>
            <w:bookmarkStart w:id="76" w:name="xdx_403_eus-gaap--OtherNonoperatingIncom"/>
            <w:bookmarkEnd w:id="76"/>
          </w:p>
        </w:tc>
      </w:tr>
      <w:tr>
        <w:trPr/>
        <w:tc>
          <w:tcPr>
            <w:tcW w:w="4610" w:type="dxa"/>
            <w:tcBorders/>
            <w:shd w:fill="FFFFFF" w:val="clear"/>
            <w:vAlign w:val="center"/>
          </w:tcPr>
          <w:p>
            <w:pPr>
              <w:pStyle w:val="TableContents"/>
              <w:bidi w:val="0"/>
              <w:spacing w:before="0" w:after="283"/>
              <w:jc w:val="left"/>
              <w:rPr/>
            </w:pPr>
            <w:r>
              <w:rPr/>
              <w:t>Other income (see Note 3G)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7" w:name="xdx_40C_eus-gaap--InterestIncomeExpenseN"/>
            <w:bookmarkEnd w:id="77"/>
          </w:p>
        </w:tc>
      </w:tr>
      <w:tr>
        <w:trPr/>
        <w:tc>
          <w:tcPr>
            <w:tcW w:w="4610" w:type="dxa"/>
            <w:tcBorders/>
            <w:shd w:fill="CCEEFF" w:val="clear"/>
            <w:vAlign w:val="center"/>
          </w:tcPr>
          <w:p>
            <w:pPr>
              <w:pStyle w:val="TableContents"/>
              <w:bidi w:val="0"/>
              <w:spacing w:before="0" w:after="283"/>
              <w:jc w:val="left"/>
              <w:rPr/>
            </w:pPr>
            <w:r>
              <w:rPr/>
              <w:t>Financing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144</w:t>
            </w:r>
          </w:p>
        </w:tc>
        <w:tc>
          <w:tcPr>
            <w:tcW w:w="110" w:type="dxa"/>
            <w:tcBorders/>
            <w:shd w:fill="CCEEFF" w:val="clear"/>
            <w:vAlign w:val="center"/>
          </w:tcPr>
          <w:p>
            <w:pPr>
              <w:pStyle w:val="TableContents"/>
              <w:bidi w:val="0"/>
              <w:spacing w:before="0" w:after="283"/>
              <w:jc w:val="left"/>
              <w:rPr/>
            </w:pPr>
            <w:r>
              <w:rPr/>
              <w:t> </w:t>
            </w:r>
            <w:bookmarkStart w:id="78" w:name="xdx_40A_eus-gaap--NetIncomeLoss_iT_mtNIL"/>
            <w:bookmarkEnd w:id="78"/>
          </w:p>
        </w:tc>
      </w:tr>
      <w:tr>
        <w:trPr/>
        <w:tc>
          <w:tcPr>
            <w:tcW w:w="46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(3,577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(9,678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(8,051</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79" w:name="xdx_905_eus-gaap--EarningsPerShareDilute"/>
            <w:bookmarkStart w:id="80" w:name="xdx_903_eus-gaap--EarningsPerShareBasic_"/>
            <w:bookmarkEnd w:id="79"/>
            <w:bookmarkEnd w:id="80"/>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1" w:name="xdx_90E_eus-gaap--EarningsPerShareDilute"/>
            <w:bookmarkStart w:id="82" w:name="xdx_90C_eus-gaap--EarningsPerShareBasic_"/>
            <w:bookmarkEnd w:id="81"/>
            <w:bookmarkEnd w:id="82"/>
            <w:r>
              <w:rPr/>
              <w:t>(0.20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3" w:name="xdx_90A_eus-gaap--EarningsPerShareDilute"/>
            <w:bookmarkStart w:id="84" w:name="xdx_901_eus-gaap--EarningsPerShareBasic_"/>
            <w:bookmarkEnd w:id="83"/>
            <w:bookmarkEnd w:id="84"/>
            <w:r>
              <w:rPr/>
              <w:t>(0.25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85" w:name="xdx_90A_eus-gaap--EarningsPerShareDilute"/>
            <w:bookmarkStart w:id="86" w:name="xdx_900_eus-gaap--EarningsPerShareBasic_"/>
            <w:bookmarkEnd w:id="85"/>
            <w:bookmarkEnd w:id="86"/>
            <w:r>
              <w:rPr/>
              <w:t>(0.53</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Basic and 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7" w:name="xdx_904_eus-gaap--WeightedAverageNumberO"/>
            <w:bookmarkStart w:id="88" w:name="xdx_906_eus-gaap--WeightedAverageNumberO"/>
            <w:bookmarkEnd w:id="87"/>
            <w:bookmarkEnd w:id="88"/>
            <w:r>
              <w:rPr/>
              <w:t>48,095,384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89" w:name="xdx_90F_eus-gaap--WeightedAverageNumberO"/>
            <w:bookmarkStart w:id="90" w:name="xdx_90E_eus-gaap--WeightedAverageNumberO"/>
            <w:bookmarkEnd w:id="89"/>
            <w:bookmarkEnd w:id="90"/>
            <w:r>
              <w:rPr/>
              <w:t>16,471,419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1" w:name="xdx_903_eus-gaap--WeightedAverageNumberO"/>
            <w:bookmarkStart w:id="92" w:name="xdx_906_eus-gaap--WeightedAverageNumberO"/>
            <w:bookmarkEnd w:id="91"/>
            <w:bookmarkEnd w:id="92"/>
            <w:r>
              <w:rPr/>
              <w:t>38,618,642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93" w:name="xdx_904_eus-gaap--WeightedAverageNumberO"/>
            <w:bookmarkStart w:id="94" w:name="xdx_90E_eus-gaap--WeightedAverageNumberO"/>
            <w:bookmarkEnd w:id="93"/>
            <w:bookmarkEnd w:id="94"/>
            <w:r>
              <w:rPr/>
              <w:t>15,129,574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95" w:name="sk_003"/>
      <w:bookmarkEnd w:id="95"/>
      <w:r>
        <w:rPr>
          <w:rFonts w:ascii="Times New Roman;Times;Serif" w:hAnsi="Times New Roman;Times;Serif"/>
          <w:b/>
          <w:i w:val="false"/>
          <w:caps w:val="false"/>
          <w:smallCaps w:val="false"/>
          <w:sz w:val="20"/>
          <w:u w:val="single"/>
        </w:rPr>
        <w:t>Interim Condensed Consolidated Statements of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 U.S. dollars in thousands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6" w:name="xdx_30D_114_pn3n3_zzJDzg0I0hY5"/>
      <w:bookmarkStart w:id="97" w:name="xdx_30D_114_pn3n3_zzJDzg0I0hY5"/>
      <w:bookmarkEnd w:id="97"/>
    </w:p>
    <w:tbl>
      <w:tblPr>
        <w:tblW w:w="10205" w:type="dxa"/>
        <w:jc w:val="left"/>
        <w:tblInd w:w="0" w:type="dxa"/>
        <w:tblLayout w:type="fixed"/>
        <w:tblCellMar>
          <w:top w:w="0" w:type="dxa"/>
          <w:left w:w="0" w:type="dxa"/>
          <w:bottom w:w="0" w:type="dxa"/>
          <w:right w:w="0" w:type="dxa"/>
        </w:tblCellMar>
      </w:tblPr>
      <w:tblGrid>
        <w:gridCol w:w="3626"/>
        <w:gridCol w:w="60"/>
        <w:gridCol w:w="60"/>
        <w:gridCol w:w="1100"/>
        <w:gridCol w:w="60"/>
        <w:gridCol w:w="60"/>
        <w:gridCol w:w="231"/>
        <w:gridCol w:w="629"/>
        <w:gridCol w:w="60"/>
        <w:gridCol w:w="60"/>
        <w:gridCol w:w="187"/>
        <w:gridCol w:w="913"/>
        <w:gridCol w:w="60"/>
        <w:gridCol w:w="60"/>
        <w:gridCol w:w="214"/>
        <w:gridCol w:w="1156"/>
        <w:gridCol w:w="95"/>
        <w:gridCol w:w="60"/>
        <w:gridCol w:w="238"/>
        <w:gridCol w:w="1165"/>
        <w:gridCol w:w="111"/>
      </w:tblGrid>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 w:name="xdx_4B4_us-gaap--StatementEquityComponen"/>
            <w:bookmarkEnd w:id="98"/>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 w:name="xdx_4B5_us-gaap--StatementEquityComponen"/>
            <w:bookmarkEnd w:id="99"/>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 w:name="xdx_4BE_us-gaap--StatementEquityComponen"/>
            <w:bookmarkEnd w:id="10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 w:name="xdx_4B8_zrLPd1XTZyPb"/>
            <w:bookmarkEnd w:id="101"/>
          </w:p>
        </w:tc>
        <w:tc>
          <w:tcPr>
            <w:tcW w:w="14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center"/>
              <w:rPr>
                <w:b/>
              </w:rPr>
            </w:pPr>
            <w:r>
              <w:rPr>
                <w:b/>
              </w:rPr>
              <w:t>Shareholders’</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3"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102" w:name="xdx_43B_c20240101__20240331_eus-gaap--St"/>
            <w:bookmarkEnd w:id="102"/>
          </w:p>
        </w:tc>
      </w:tr>
      <w:tr>
        <w:trPr/>
        <w:tc>
          <w:tcPr>
            <w:tcW w:w="3626" w:type="dxa"/>
            <w:tcBorders/>
            <w:shd w:fill="CCEEFF" w:val="clear"/>
            <w:vAlign w:val="center"/>
          </w:tcPr>
          <w:p>
            <w:pPr>
              <w:pStyle w:val="TableContents"/>
              <w:bidi w:val="0"/>
              <w:spacing w:before="0" w:after="283"/>
              <w:jc w:val="left"/>
              <w:rPr/>
            </w:pPr>
            <w:r>
              <w:rPr/>
              <w:t>Balances, December 31, 2023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 w:name="xdx_98C_eus-gaap--SharesOutstanding_iS_p"/>
            <w:bookmarkEnd w:id="103"/>
          </w:p>
        </w:tc>
        <w:tc>
          <w:tcPr>
            <w:tcW w:w="1100" w:type="dxa"/>
            <w:tcBorders/>
            <w:shd w:fill="CCEEFF" w:val="clear"/>
            <w:vAlign w:val="center"/>
          </w:tcPr>
          <w:p>
            <w:pPr>
              <w:pStyle w:val="TableContents"/>
              <w:bidi w:val="0"/>
              <w:spacing w:before="0" w:after="283"/>
              <w:jc w:val="right"/>
              <w:rPr/>
            </w:pPr>
            <w:r>
              <w:rPr/>
              <w:t>11,707,317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83,884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(79,501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5" w:type="dxa"/>
            <w:tcBorders/>
            <w:shd w:fill="CCEEFF" w:val="clear"/>
            <w:vAlign w:val="center"/>
          </w:tcPr>
          <w:p>
            <w:pPr>
              <w:pStyle w:val="TableContents"/>
              <w:bidi w:val="0"/>
              <w:spacing w:before="0" w:after="283"/>
              <w:jc w:val="right"/>
              <w:rPr/>
            </w:pPr>
            <w:r>
              <w:rPr/>
              <w:t>  </w:t>
            </w:r>
            <w:r>
              <w:rPr/>
              <w:t>4,501</w:t>
            </w:r>
          </w:p>
        </w:tc>
        <w:tc>
          <w:tcPr>
            <w:tcW w:w="111" w:type="dxa"/>
            <w:tcBorders/>
            <w:shd w:fill="CCEEFF" w:val="clear"/>
            <w:vAlign w:val="center"/>
          </w:tcPr>
          <w:p>
            <w:pPr>
              <w:pStyle w:val="TableContents"/>
              <w:bidi w:val="0"/>
              <w:spacing w:before="0" w:after="283"/>
              <w:jc w:val="left"/>
              <w:rPr/>
            </w:pPr>
            <w:r>
              <w:rPr/>
              <w:t> </w:t>
            </w:r>
            <w:bookmarkStart w:id="104" w:name="xdx_405_eus-gaap--StockIssuedDuringPerio"/>
            <w:bookmarkEnd w:id="104"/>
          </w:p>
        </w:tc>
      </w:tr>
      <w:tr>
        <w:trPr/>
        <w:tc>
          <w:tcPr>
            <w:tcW w:w="3626" w:type="dxa"/>
            <w:tcBorders/>
            <w:shd w:fill="FFFFFF" w:val="clear"/>
            <w:vAlign w:val="center"/>
          </w:tcPr>
          <w:p>
            <w:pPr>
              <w:pStyle w:val="TableContents"/>
              <w:bidi w:val="0"/>
              <w:spacing w:before="0" w:after="283"/>
              <w:jc w:val="left"/>
              <w:rPr/>
            </w:pPr>
            <w:r>
              <w:rPr/>
              <w:t xml:space="preserve">Issuance of common stock and warrants, net </w:t>
            </w:r>
            <w:bookmarkStart w:id="105" w:name="xdx_F43_zBoqqXRB2FQ8"/>
            <w:bookmarkEnd w:id="105"/>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6" w:name="xdx_98A_eus-gaap--StockIssuedDuringPerio"/>
            <w:bookmarkEnd w:id="106"/>
          </w:p>
        </w:tc>
        <w:tc>
          <w:tcPr>
            <w:tcW w:w="1100" w:type="dxa"/>
            <w:tcBorders/>
            <w:shd w:fill="FFFFFF" w:val="clear"/>
            <w:vAlign w:val="center"/>
          </w:tcPr>
          <w:p>
            <w:pPr>
              <w:pStyle w:val="TableContents"/>
              <w:bidi w:val="0"/>
              <w:spacing w:before="0" w:after="283"/>
              <w:jc w:val="right"/>
              <w:rPr/>
            </w:pPr>
            <w:r>
              <w:rPr/>
              <w:t>1,685,682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2,397</w:t>
            </w:r>
          </w:p>
        </w:tc>
        <w:tc>
          <w:tcPr>
            <w:tcW w:w="111" w:type="dxa"/>
            <w:tcBorders/>
            <w:shd w:fill="FFFFFF" w:val="clear"/>
            <w:vAlign w:val="center"/>
          </w:tcPr>
          <w:p>
            <w:pPr>
              <w:pStyle w:val="TableContents"/>
              <w:bidi w:val="0"/>
              <w:spacing w:before="0" w:after="283"/>
              <w:jc w:val="left"/>
              <w:rPr/>
            </w:pPr>
            <w:r>
              <w:rPr/>
              <w:t> </w:t>
            </w:r>
            <w:bookmarkStart w:id="107" w:name="xdx_402_ecustom--StockIssuedDuringPeriod"/>
            <w:bookmarkEnd w:id="107"/>
          </w:p>
        </w:tc>
      </w:tr>
      <w:tr>
        <w:trPr/>
        <w:tc>
          <w:tcPr>
            <w:tcW w:w="3626" w:type="dxa"/>
            <w:tcBorders/>
            <w:shd w:fill="CCEEFF" w:val="clear"/>
            <w:vAlign w:val="center"/>
          </w:tcPr>
          <w:p>
            <w:pPr>
              <w:pStyle w:val="TableContents"/>
              <w:bidi w:val="0"/>
              <w:spacing w:before="0" w:after="283"/>
              <w:jc w:val="left"/>
              <w:rPr/>
            </w:pPr>
            <w:r>
              <w:rPr/>
              <w:t xml:space="preserve">Issuance of common stock relating to settlement agreement </w:t>
            </w:r>
            <w:bookmarkStart w:id="108" w:name="xdx_F4F_zaBaQ7gFltDk"/>
            <w:bookmarkEnd w:id="108"/>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9" w:name="xdx_98C_ecustom--StockIssuedDuringPeriod"/>
            <w:bookmarkEnd w:id="109"/>
          </w:p>
        </w:tc>
        <w:tc>
          <w:tcPr>
            <w:tcW w:w="1100" w:type="dxa"/>
            <w:tcBorders/>
            <w:shd w:fill="CCEEFF" w:val="clear"/>
            <w:vAlign w:val="center"/>
          </w:tcPr>
          <w:p>
            <w:pPr>
              <w:pStyle w:val="TableContents"/>
              <w:bidi w:val="0"/>
              <w:spacing w:before="0" w:after="283"/>
              <w:jc w:val="right"/>
              <w:rPr/>
            </w:pPr>
            <w:r>
              <w:rPr/>
              <w:t>1,005,965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1,111</w:t>
            </w:r>
          </w:p>
        </w:tc>
        <w:tc>
          <w:tcPr>
            <w:tcW w:w="111" w:type="dxa"/>
            <w:tcBorders/>
            <w:shd w:fill="CCEEFF" w:val="clear"/>
            <w:vAlign w:val="center"/>
          </w:tcPr>
          <w:p>
            <w:pPr>
              <w:pStyle w:val="TableContents"/>
              <w:bidi w:val="0"/>
              <w:spacing w:before="0" w:after="283"/>
              <w:jc w:val="left"/>
              <w:rPr/>
            </w:pPr>
            <w:r>
              <w:rPr/>
              <w:t> </w:t>
            </w:r>
            <w:bookmarkStart w:id="110" w:name="xdx_40B_eus-gaap--AdjustmentsToAdditiona"/>
            <w:bookmarkEnd w:id="110"/>
          </w:p>
        </w:tc>
      </w:tr>
      <w:tr>
        <w:trPr/>
        <w:tc>
          <w:tcPr>
            <w:tcW w:w="3626"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529</w:t>
            </w:r>
          </w:p>
        </w:tc>
        <w:tc>
          <w:tcPr>
            <w:tcW w:w="111" w:type="dxa"/>
            <w:tcBorders/>
            <w:shd w:fill="FFFFFF" w:val="clear"/>
            <w:vAlign w:val="center"/>
          </w:tcPr>
          <w:p>
            <w:pPr>
              <w:pStyle w:val="TableContents"/>
              <w:bidi w:val="0"/>
              <w:spacing w:before="0" w:after="283"/>
              <w:jc w:val="left"/>
              <w:rPr/>
            </w:pPr>
            <w:r>
              <w:rPr/>
              <w:t> </w:t>
            </w:r>
            <w:bookmarkStart w:id="111" w:name="xdx_409_eus-gaap--NetIncomeLoss_zTsBnFqO"/>
            <w:bookmarkEnd w:id="111"/>
          </w:p>
        </w:tc>
      </w:tr>
      <w:tr>
        <w:trPr/>
        <w:tc>
          <w:tcPr>
            <w:tcW w:w="362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(2,371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(2,371</w:t>
            </w:r>
          </w:p>
        </w:tc>
        <w:tc>
          <w:tcPr>
            <w:tcW w:w="111" w:type="dxa"/>
            <w:tcBorders/>
            <w:shd w:fill="CCEEFF" w:val="clear"/>
            <w:vAlign w:val="center"/>
          </w:tcPr>
          <w:p>
            <w:pPr>
              <w:pStyle w:val="TableContents"/>
              <w:bidi w:val="0"/>
              <w:spacing w:before="0" w:after="283"/>
              <w:jc w:val="left"/>
              <w:rPr/>
            </w:pPr>
            <w:r>
              <w:rPr/>
              <w:t>)</w:t>
            </w:r>
            <w:bookmarkStart w:id="112" w:name="xdx_437_c20240401__20240630_eus-gaap--St"/>
            <w:bookmarkEnd w:id="112"/>
          </w:p>
        </w:tc>
      </w:tr>
      <w:tr>
        <w:trPr/>
        <w:tc>
          <w:tcPr>
            <w:tcW w:w="3626" w:type="dxa"/>
            <w:tcBorders/>
            <w:shd w:fill="FFFFFF" w:val="clear"/>
            <w:vAlign w:val="center"/>
          </w:tcPr>
          <w:p>
            <w:pPr>
              <w:pStyle w:val="TableContents"/>
              <w:bidi w:val="0"/>
              <w:spacing w:before="0" w:after="283"/>
              <w:jc w:val="left"/>
              <w:rPr/>
            </w:pPr>
            <w:r>
              <w:rPr/>
              <w:t>Balances,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3" w:name="xdx_988_eus-gaap--SharesOutstanding_iS_p"/>
            <w:bookmarkEnd w:id="113"/>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14,398,964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87,894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(81,872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6,167</w:t>
            </w:r>
          </w:p>
        </w:tc>
        <w:tc>
          <w:tcPr>
            <w:tcW w:w="111" w:type="dxa"/>
            <w:tcBorders/>
            <w:shd w:fill="FFFFFF" w:val="clear"/>
            <w:vAlign w:val="center"/>
          </w:tcPr>
          <w:p>
            <w:pPr>
              <w:pStyle w:val="TableContents"/>
              <w:bidi w:val="0"/>
              <w:spacing w:before="0" w:after="283"/>
              <w:jc w:val="left"/>
              <w:rPr/>
            </w:pPr>
            <w:r>
              <w:rPr/>
              <w:t> </w:t>
            </w:r>
            <w:bookmarkStart w:id="114" w:name="xdx_40B_eus-gaap--StockIssuedDuringPerio"/>
            <w:bookmarkEnd w:id="114"/>
          </w:p>
        </w:tc>
      </w:tr>
      <w:tr>
        <w:trPr/>
        <w:tc>
          <w:tcPr>
            <w:tcW w:w="3626" w:type="dxa"/>
            <w:tcBorders/>
            <w:shd w:fill="CCEEFF" w:val="clear"/>
            <w:vAlign w:val="center"/>
          </w:tcPr>
          <w:p>
            <w:pPr>
              <w:pStyle w:val="TableContents"/>
              <w:bidi w:val="0"/>
              <w:spacing w:before="0" w:after="283"/>
              <w:jc w:val="left"/>
              <w:rPr/>
            </w:pPr>
            <w:r>
              <w:rPr/>
              <w:t xml:space="preserve">Issuance of common stock and warrants, net </w:t>
            </w:r>
            <w:bookmarkStart w:id="115" w:name="xdx_F4E_zjWu97T5Whce"/>
            <w:bookmarkEnd w:id="115"/>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6" w:name="xdx_98F_eus-gaap--StockIssuedDuringPerio"/>
            <w:bookmarkEnd w:id="116"/>
          </w:p>
        </w:tc>
        <w:tc>
          <w:tcPr>
            <w:tcW w:w="1100" w:type="dxa"/>
            <w:tcBorders/>
            <w:shd w:fill="CCEEFF" w:val="clear"/>
            <w:vAlign w:val="center"/>
          </w:tcPr>
          <w:p>
            <w:pPr>
              <w:pStyle w:val="TableContents"/>
              <w:bidi w:val="0"/>
              <w:spacing w:before="0" w:after="283"/>
              <w:jc w:val="right"/>
              <w:rPr/>
            </w:pPr>
            <w:r>
              <w:rPr/>
              <w:t>1,566,669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2,022</w:t>
            </w:r>
          </w:p>
        </w:tc>
        <w:tc>
          <w:tcPr>
            <w:tcW w:w="111" w:type="dxa"/>
            <w:tcBorders/>
            <w:shd w:fill="CCEEFF" w:val="clear"/>
            <w:vAlign w:val="center"/>
          </w:tcPr>
          <w:p>
            <w:pPr>
              <w:pStyle w:val="TableContents"/>
              <w:bidi w:val="0"/>
              <w:spacing w:before="0" w:after="283"/>
              <w:jc w:val="left"/>
              <w:rPr/>
            </w:pPr>
            <w:r>
              <w:rPr/>
              <w:t> </w:t>
            </w:r>
            <w:bookmarkStart w:id="117" w:name="xdx_40F_eus-gaap--AdjustmentsToAdditiona"/>
            <w:bookmarkEnd w:id="117"/>
          </w:p>
        </w:tc>
      </w:tr>
      <w:tr>
        <w:trPr/>
        <w:tc>
          <w:tcPr>
            <w:tcW w:w="3626"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331</w:t>
            </w:r>
          </w:p>
        </w:tc>
        <w:tc>
          <w:tcPr>
            <w:tcW w:w="111" w:type="dxa"/>
            <w:tcBorders/>
            <w:shd w:fill="FFFFFF" w:val="clear"/>
            <w:vAlign w:val="center"/>
          </w:tcPr>
          <w:p>
            <w:pPr>
              <w:pStyle w:val="TableContents"/>
              <w:bidi w:val="0"/>
              <w:spacing w:before="0" w:after="283"/>
              <w:jc w:val="left"/>
              <w:rPr/>
            </w:pPr>
            <w:r>
              <w:rPr/>
              <w:t> </w:t>
            </w:r>
            <w:bookmarkStart w:id="118" w:name="xdx_400_eus-gaap--NetIncomeLoss_zKlAyshZ"/>
            <w:bookmarkEnd w:id="118"/>
          </w:p>
        </w:tc>
      </w:tr>
      <w:tr>
        <w:trPr/>
        <w:tc>
          <w:tcPr>
            <w:tcW w:w="362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(2,465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(2,465</w:t>
            </w:r>
          </w:p>
        </w:tc>
        <w:tc>
          <w:tcPr>
            <w:tcW w:w="111" w:type="dxa"/>
            <w:tcBorders/>
            <w:shd w:fill="CCEEFF" w:val="clear"/>
            <w:vAlign w:val="center"/>
          </w:tcPr>
          <w:p>
            <w:pPr>
              <w:pStyle w:val="TableContents"/>
              <w:bidi w:val="0"/>
              <w:spacing w:before="0" w:after="283"/>
              <w:jc w:val="left"/>
              <w:rPr/>
            </w:pPr>
            <w:r>
              <w:rPr/>
              <w:t>)</w:t>
            </w:r>
            <w:bookmarkStart w:id="119" w:name="xdx_434_c20240701__20240930_eus-gaap--St"/>
            <w:bookmarkEnd w:id="119"/>
          </w:p>
        </w:tc>
      </w:tr>
      <w:tr>
        <w:trPr/>
        <w:tc>
          <w:tcPr>
            <w:tcW w:w="3626" w:type="dxa"/>
            <w:tcBorders/>
            <w:shd w:fill="FFFFFF" w:val="clear"/>
            <w:vAlign w:val="center"/>
          </w:tcPr>
          <w:p>
            <w:pPr>
              <w:pStyle w:val="TableContents"/>
              <w:bidi w:val="0"/>
              <w:spacing w:before="0" w:after="283"/>
              <w:jc w:val="left"/>
              <w:rPr/>
            </w:pPr>
            <w:r>
              <w:rPr/>
              <w:t>Balances, 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0" w:name="xdx_982_eus-gaap--SharesOutstanding_iS_p"/>
            <w:bookmarkEnd w:id="120"/>
          </w:p>
        </w:tc>
        <w:tc>
          <w:tcPr>
            <w:tcW w:w="1100" w:type="dxa"/>
            <w:tcBorders/>
            <w:shd w:fill="FFFFFF" w:val="clear"/>
            <w:vAlign w:val="center"/>
          </w:tcPr>
          <w:p>
            <w:pPr>
              <w:pStyle w:val="TableContents"/>
              <w:bidi w:val="0"/>
              <w:spacing w:before="0" w:after="283"/>
              <w:jc w:val="right"/>
              <w:rPr/>
            </w:pPr>
            <w:r>
              <w:rPr/>
              <w:t>15,965,633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629" w:type="dxa"/>
            <w:tcBorders/>
            <w:shd w:fill="FFFFFF" w:val="clear"/>
            <w:vAlign w:val="center"/>
          </w:tcPr>
          <w:p>
            <w:pPr>
              <w:pStyle w:val="TableContents"/>
              <w:bidi w:val="0"/>
              <w:spacing w:before="0" w:after="283"/>
              <w:jc w:val="right"/>
              <w:rPr/>
            </w:pPr>
            <w:r>
              <w:rPr/>
              <w:t>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913" w:type="dxa"/>
            <w:tcBorders/>
            <w:shd w:fill="FFFFFF" w:val="clear"/>
            <w:vAlign w:val="center"/>
          </w:tcPr>
          <w:p>
            <w:pPr>
              <w:pStyle w:val="TableContents"/>
              <w:bidi w:val="0"/>
              <w:spacing w:before="0" w:after="283"/>
              <w:jc w:val="right"/>
              <w:rPr/>
            </w:pPr>
            <w:r>
              <w:rPr/>
              <w:t>90,231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(84,337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165" w:type="dxa"/>
            <w:tcBorders/>
            <w:shd w:fill="FFFFFF" w:val="clear"/>
            <w:vAlign w:val="center"/>
          </w:tcPr>
          <w:p>
            <w:pPr>
              <w:pStyle w:val="TableContents"/>
              <w:bidi w:val="0"/>
              <w:spacing w:before="0" w:after="283"/>
              <w:jc w:val="right"/>
              <w:rPr/>
            </w:pPr>
            <w:r>
              <w:rPr/>
              <w:t>6,055</w:t>
            </w:r>
          </w:p>
        </w:tc>
        <w:tc>
          <w:tcPr>
            <w:tcW w:w="111" w:type="dxa"/>
            <w:tcBorders/>
            <w:shd w:fill="FFFFFF" w:val="clear"/>
            <w:vAlign w:val="center"/>
          </w:tcPr>
          <w:p>
            <w:pPr>
              <w:pStyle w:val="TableContents"/>
              <w:bidi w:val="0"/>
              <w:spacing w:before="0" w:after="283"/>
              <w:jc w:val="left"/>
              <w:rPr/>
            </w:pPr>
            <w:r>
              <w:rPr/>
              <w:t> </w:t>
            </w:r>
            <w:bookmarkStart w:id="121" w:name="xdx_40B_eus-gaap--StockIssuedDuringPerio"/>
            <w:bookmarkEnd w:id="121"/>
          </w:p>
        </w:tc>
      </w:tr>
      <w:tr>
        <w:trPr/>
        <w:tc>
          <w:tcPr>
            <w:tcW w:w="3626" w:type="dxa"/>
            <w:tcBorders/>
            <w:shd w:fill="CCEEFF" w:val="clear"/>
            <w:vAlign w:val="center"/>
          </w:tcPr>
          <w:p>
            <w:pPr>
              <w:pStyle w:val="TableContents"/>
              <w:bidi w:val="0"/>
              <w:spacing w:before="0" w:after="283"/>
              <w:jc w:val="left"/>
              <w:rPr/>
            </w:pPr>
            <w:r>
              <w:rPr/>
              <w:t xml:space="preserve">Issuance of common stock under the at-the-market offering, net </w:t>
            </w:r>
            <w:bookmarkStart w:id="122" w:name="xdx_F4F_z4TeyFfeZDjk"/>
            <w:bookmarkEnd w:id="122"/>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3" w:name="xdx_989_eus-gaap--StockIssuedDuringPerio"/>
            <w:bookmarkEnd w:id="123"/>
          </w:p>
        </w:tc>
        <w:tc>
          <w:tcPr>
            <w:tcW w:w="1100" w:type="dxa"/>
            <w:tcBorders/>
            <w:shd w:fill="CCEEFF" w:val="clear"/>
            <w:vAlign w:val="center"/>
          </w:tcPr>
          <w:p>
            <w:pPr>
              <w:pStyle w:val="TableContents"/>
              <w:bidi w:val="0"/>
              <w:spacing w:before="0" w:after="283"/>
              <w:jc w:val="right"/>
              <w:rPr/>
            </w:pPr>
            <w:r>
              <w:rPr/>
              <w:t>685,800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685</w:t>
            </w:r>
          </w:p>
        </w:tc>
        <w:tc>
          <w:tcPr>
            <w:tcW w:w="111" w:type="dxa"/>
            <w:tcBorders/>
            <w:shd w:fill="CCEEFF" w:val="clear"/>
            <w:vAlign w:val="center"/>
          </w:tcPr>
          <w:p>
            <w:pPr>
              <w:pStyle w:val="TableContents"/>
              <w:bidi w:val="0"/>
              <w:spacing w:before="0" w:after="283"/>
              <w:jc w:val="left"/>
              <w:rPr/>
            </w:pPr>
            <w:r>
              <w:rPr/>
              <w:t> </w:t>
            </w:r>
            <w:bookmarkStart w:id="124" w:name="xdx_400_eus-gaap--AdjustmentsToAdditiona"/>
            <w:bookmarkEnd w:id="124"/>
          </w:p>
        </w:tc>
      </w:tr>
      <w:tr>
        <w:trPr/>
        <w:tc>
          <w:tcPr>
            <w:tcW w:w="3626"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283</w:t>
            </w:r>
          </w:p>
        </w:tc>
        <w:tc>
          <w:tcPr>
            <w:tcW w:w="111" w:type="dxa"/>
            <w:tcBorders/>
            <w:shd w:fill="FFFFFF" w:val="clear"/>
            <w:vAlign w:val="center"/>
          </w:tcPr>
          <w:p>
            <w:pPr>
              <w:pStyle w:val="TableContents"/>
              <w:bidi w:val="0"/>
              <w:spacing w:before="0" w:after="283"/>
              <w:jc w:val="left"/>
              <w:rPr/>
            </w:pPr>
            <w:r>
              <w:rPr/>
              <w:t> </w:t>
            </w:r>
            <w:bookmarkStart w:id="125" w:name="xdx_409_eus-gaap--NetIncomeLoss_zSTC8ftR"/>
            <w:bookmarkEnd w:id="125"/>
          </w:p>
        </w:tc>
      </w:tr>
      <w:tr>
        <w:trPr/>
        <w:tc>
          <w:tcPr>
            <w:tcW w:w="362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pPr>
            <w:r>
              <w:rPr/>
              <w:t>(3,215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CCEEFF" w:val="clear"/>
            <w:tcMar>
              <w:bottom w:w="28" w:type="dxa"/>
            </w:tcMar>
            <w:vAlign w:val="center"/>
          </w:tcPr>
          <w:p>
            <w:pPr>
              <w:pStyle w:val="TableContents"/>
              <w:bidi w:val="0"/>
              <w:spacing w:before="0" w:after="283"/>
              <w:jc w:val="right"/>
              <w:rPr/>
            </w:pPr>
            <w:r>
              <w:rPr/>
              <w:t>(3,215</w:t>
            </w:r>
          </w:p>
        </w:tc>
        <w:tc>
          <w:tcPr>
            <w:tcW w:w="111" w:type="dxa"/>
            <w:tcBorders/>
            <w:shd w:fill="CCEEFF" w:val="clear"/>
            <w:vAlign w:val="center"/>
          </w:tcPr>
          <w:p>
            <w:pPr>
              <w:pStyle w:val="TableContents"/>
              <w:bidi w:val="0"/>
              <w:spacing w:before="0" w:after="283"/>
              <w:jc w:val="left"/>
              <w:rPr/>
            </w:pPr>
            <w:r>
              <w:rPr/>
              <w:t>)</w:t>
            </w:r>
            <w:bookmarkStart w:id="126" w:name="xdx_432_c20240701__20240930_eus-gaap--St"/>
            <w:bookmarkEnd w:id="126"/>
          </w:p>
        </w:tc>
      </w:tr>
      <w:tr>
        <w:trPr/>
        <w:tc>
          <w:tcPr>
            <w:tcW w:w="3626" w:type="dxa"/>
            <w:tcBorders/>
            <w:shd w:fill="FFFFFF" w:val="clear"/>
            <w:vAlign w:val="center"/>
          </w:tcPr>
          <w:p>
            <w:pPr>
              <w:pStyle w:val="TableContents"/>
              <w:bidi w:val="0"/>
              <w:spacing w:before="0" w:after="283"/>
              <w:jc w:val="left"/>
              <w:rPr/>
            </w:pPr>
            <w:r>
              <w:rPr/>
              <w:t>Balances, September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7" w:name="xdx_98D_eus-gaap--SharesOutstanding_iE_p"/>
            <w:bookmarkEnd w:id="127"/>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16,651,433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bottom w:w="28" w:type="dxa"/>
            </w:tcMar>
            <w:vAlign w:val="center"/>
          </w:tcPr>
          <w:p>
            <w:pPr>
              <w:pStyle w:val="TableContents"/>
              <w:bidi w:val="0"/>
              <w:spacing w:before="0" w:after="283"/>
              <w:jc w:val="right"/>
              <w:rPr/>
            </w:pPr>
            <w:r>
              <w:rPr/>
              <w:t>91,192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FFFFFF" w:val="clear"/>
            <w:tcMar>
              <w:bottom w:w="28" w:type="dxa"/>
            </w:tcMar>
            <w:vAlign w:val="center"/>
          </w:tcPr>
          <w:p>
            <w:pPr>
              <w:pStyle w:val="TableContents"/>
              <w:bidi w:val="0"/>
              <w:spacing w:before="0" w:after="283"/>
              <w:jc w:val="right"/>
              <w:rPr/>
            </w:pPr>
            <w:r>
              <w:rPr/>
              <w:t>(87,552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pPr>
            <w:r>
              <w:rPr/>
              <w:t>3,808</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8"/>
        <w:gridCol w:w="60"/>
        <w:gridCol w:w="60"/>
        <w:gridCol w:w="1100"/>
        <w:gridCol w:w="60"/>
        <w:gridCol w:w="60"/>
        <w:gridCol w:w="231"/>
        <w:gridCol w:w="629"/>
        <w:gridCol w:w="95"/>
        <w:gridCol w:w="60"/>
        <w:gridCol w:w="163"/>
        <w:gridCol w:w="937"/>
        <w:gridCol w:w="95"/>
        <w:gridCol w:w="60"/>
        <w:gridCol w:w="188"/>
        <w:gridCol w:w="1182"/>
        <w:gridCol w:w="95"/>
        <w:gridCol w:w="60"/>
        <w:gridCol w:w="238"/>
        <w:gridCol w:w="1163"/>
        <w:gridCol w:w="111"/>
      </w:tblGrid>
      <w:tr>
        <w:trPr/>
        <w:tc>
          <w:tcPr>
            <w:tcW w:w="35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35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b/>
              </w:rPr>
            </w:pPr>
            <w:r>
              <w:rPr>
                <w:b/>
              </w:rPr>
              <w:t>Shareholders’</w:t>
            </w:r>
          </w:p>
        </w:tc>
        <w:tc>
          <w:tcPr>
            <w:tcW w:w="111" w:type="dxa"/>
            <w:tcBorders/>
            <w:vAlign w:val="center"/>
          </w:tcPr>
          <w:p>
            <w:pPr>
              <w:pStyle w:val="TableContents"/>
              <w:bidi w:val="0"/>
              <w:spacing w:before="0" w:after="283"/>
              <w:jc w:val="left"/>
              <w:rPr/>
            </w:pPr>
            <w:r>
              <w:rPr/>
              <w:t> </w:t>
            </w:r>
          </w:p>
        </w:tc>
      </w:tr>
      <w:tr>
        <w:trPr/>
        <w:tc>
          <w:tcPr>
            <w:tcW w:w="35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jc w:val="left"/>
              <w:rPr/>
            </w:pPr>
            <w:r>
              <w:rPr/>
              <w:t> </w:t>
            </w:r>
          </w:p>
        </w:tc>
      </w:tr>
      <w:tr>
        <w:trPr/>
        <w:tc>
          <w:tcPr>
            <w:tcW w:w="35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bookmarkStart w:id="128" w:name="xdx_430_c20250101__20250331_eus-gaap--St"/>
            <w:bookmarkEnd w:id="128"/>
          </w:p>
        </w:tc>
      </w:tr>
      <w:tr>
        <w:trPr/>
        <w:tc>
          <w:tcPr>
            <w:tcW w:w="3558" w:type="dxa"/>
            <w:tcBorders/>
            <w:shd w:fill="CCEEFF" w:val="clear"/>
            <w:vAlign w:val="center"/>
          </w:tcPr>
          <w:p>
            <w:pPr>
              <w:pStyle w:val="TableContents"/>
              <w:bidi w:val="0"/>
              <w:spacing w:before="0" w:after="283"/>
              <w:jc w:val="left"/>
              <w:rPr/>
            </w:pPr>
            <w:r>
              <w:rPr/>
              <w:t>Balances, December 31, 2024 (Audited)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9" w:name="xdx_985_eus-gaap--SharesOutstanding_iS_p"/>
            <w:bookmarkEnd w:id="129"/>
          </w:p>
        </w:tc>
        <w:tc>
          <w:tcPr>
            <w:tcW w:w="1100" w:type="dxa"/>
            <w:tcBorders/>
            <w:shd w:fill="CCEEFF" w:val="clear"/>
            <w:vAlign w:val="center"/>
          </w:tcPr>
          <w:p>
            <w:pPr>
              <w:pStyle w:val="TableContents"/>
              <w:bidi w:val="0"/>
              <w:spacing w:before="0" w:after="283"/>
              <w:jc w:val="right"/>
              <w:rPr/>
            </w:pPr>
            <w:r>
              <w:rPr/>
              <w:t>19,399,513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94,279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(90,944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3,530</w:t>
            </w:r>
          </w:p>
        </w:tc>
        <w:tc>
          <w:tcPr>
            <w:tcW w:w="111" w:type="dxa"/>
            <w:tcBorders/>
            <w:shd w:fill="CCEEFF" w:val="clear"/>
            <w:vAlign w:val="center"/>
          </w:tcPr>
          <w:p>
            <w:pPr>
              <w:pStyle w:val="TableContents"/>
              <w:bidi w:val="0"/>
              <w:spacing w:before="0" w:after="283"/>
              <w:jc w:val="left"/>
              <w:rPr/>
            </w:pPr>
            <w:r>
              <w:rPr/>
              <w:t> </w:t>
            </w:r>
            <w:bookmarkStart w:id="130" w:name="xdx_405_eus-gaap--StockIssuedDuringPerio"/>
            <w:bookmarkEnd w:id="130"/>
          </w:p>
        </w:tc>
      </w:tr>
      <w:tr>
        <w:trPr/>
        <w:tc>
          <w:tcPr>
            <w:tcW w:w="3558" w:type="dxa"/>
            <w:tcBorders/>
            <w:shd w:fill="FFFFFF" w:val="clear"/>
            <w:vAlign w:val="center"/>
          </w:tcPr>
          <w:p>
            <w:pPr>
              <w:pStyle w:val="TableContents"/>
              <w:bidi w:val="0"/>
              <w:spacing w:before="0" w:after="283"/>
              <w:jc w:val="left"/>
              <w:rPr/>
            </w:pPr>
            <w:r>
              <w:rPr/>
              <w:t xml:space="preserve">Issuance of common stock and warrants, net </w:t>
            </w:r>
            <w:bookmarkStart w:id="131" w:name="xdx_F4A_zT3aYF81QQci"/>
            <w:bookmarkEnd w:id="131"/>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2" w:name="xdx_989_eus-gaap--StockIssuedDuringPerio"/>
            <w:bookmarkEnd w:id="132"/>
          </w:p>
        </w:tc>
        <w:tc>
          <w:tcPr>
            <w:tcW w:w="1100" w:type="dxa"/>
            <w:tcBorders/>
            <w:shd w:fill="FFFFFF" w:val="clear"/>
            <w:vAlign w:val="center"/>
          </w:tcPr>
          <w:p>
            <w:pPr>
              <w:pStyle w:val="TableContents"/>
              <w:bidi w:val="0"/>
              <w:spacing w:before="0" w:after="283"/>
              <w:jc w:val="right"/>
              <w:rPr/>
            </w:pPr>
            <w:r>
              <w:rPr/>
              <w:t>13,891,840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25,778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25,917</w:t>
            </w:r>
          </w:p>
        </w:tc>
        <w:tc>
          <w:tcPr>
            <w:tcW w:w="111" w:type="dxa"/>
            <w:tcBorders/>
            <w:shd w:fill="FFFFFF" w:val="clear"/>
            <w:vAlign w:val="center"/>
          </w:tcPr>
          <w:p>
            <w:pPr>
              <w:pStyle w:val="TableContents"/>
              <w:bidi w:val="0"/>
              <w:spacing w:before="0" w:after="283"/>
              <w:jc w:val="left"/>
              <w:rPr/>
            </w:pPr>
            <w:r>
              <w:rPr/>
              <w:t> </w:t>
            </w:r>
            <w:bookmarkStart w:id="133" w:name="xdx_406_eus-gaap--StockIssuedDuringPerio"/>
            <w:bookmarkEnd w:id="133"/>
          </w:p>
        </w:tc>
      </w:tr>
      <w:tr>
        <w:trPr/>
        <w:tc>
          <w:tcPr>
            <w:tcW w:w="3558" w:type="dxa"/>
            <w:tcBorders/>
            <w:shd w:fill="CCEEFF" w:val="clear"/>
            <w:vAlign w:val="center"/>
          </w:tcPr>
          <w:p>
            <w:pPr>
              <w:pStyle w:val="TableContents"/>
              <w:bidi w:val="0"/>
              <w:spacing w:before="0" w:after="283"/>
              <w:jc w:val="left"/>
              <w:rPr/>
            </w:pPr>
            <w:r>
              <w:rPr/>
              <w:t xml:space="preserve">Issuance of common stock under the at-the-market offering, net </w:t>
            </w:r>
            <w:bookmarkStart w:id="134" w:name="xdx_F4E_zXc0WpqthQ1j"/>
            <w:bookmarkEnd w:id="134"/>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5" w:name="xdx_983_eus-gaap--StockIssuedDuringPerio"/>
            <w:bookmarkEnd w:id="135"/>
          </w:p>
        </w:tc>
        <w:tc>
          <w:tcPr>
            <w:tcW w:w="1100" w:type="dxa"/>
            <w:tcBorders/>
            <w:shd w:fill="CCEEFF" w:val="clear"/>
            <w:vAlign w:val="center"/>
          </w:tcPr>
          <w:p>
            <w:pPr>
              <w:pStyle w:val="TableContents"/>
              <w:bidi w:val="0"/>
              <w:spacing w:before="0" w:after="283"/>
              <w:jc w:val="right"/>
              <w:rPr/>
            </w:pPr>
            <w:r>
              <w:rPr/>
              <w:t>842,606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997</w:t>
            </w:r>
          </w:p>
        </w:tc>
        <w:tc>
          <w:tcPr>
            <w:tcW w:w="111" w:type="dxa"/>
            <w:tcBorders/>
            <w:shd w:fill="CCEEFF" w:val="clear"/>
            <w:vAlign w:val="center"/>
          </w:tcPr>
          <w:p>
            <w:pPr>
              <w:pStyle w:val="TableContents"/>
              <w:bidi w:val="0"/>
              <w:spacing w:before="0" w:after="283"/>
              <w:jc w:val="left"/>
              <w:rPr/>
            </w:pPr>
            <w:r>
              <w:rPr/>
              <w:t> </w:t>
            </w:r>
            <w:bookmarkStart w:id="136" w:name="xdx_40D_ecustom--StockIssuedDuringPeriod"/>
            <w:bookmarkEnd w:id="136"/>
          </w:p>
        </w:tc>
      </w:tr>
      <w:tr>
        <w:trPr/>
        <w:tc>
          <w:tcPr>
            <w:tcW w:w="3558" w:type="dxa"/>
            <w:tcBorders/>
            <w:shd w:fill="FFFFFF" w:val="clear"/>
            <w:vAlign w:val="center"/>
          </w:tcPr>
          <w:p>
            <w:pPr>
              <w:pStyle w:val="TableContents"/>
              <w:bidi w:val="0"/>
              <w:spacing w:before="0" w:after="283"/>
              <w:jc w:val="left"/>
              <w:rPr/>
            </w:pPr>
            <w:r>
              <w:rPr/>
              <w:t xml:space="preserve">Issuance of common stock upon exercise of warrants, net </w:t>
            </w:r>
            <w:bookmarkStart w:id="137" w:name="xdx_F40_zjbuVASw2zVg"/>
            <w:bookmarkEnd w:id="137"/>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6_ecustom--StockIssuedDuringPeriod"/>
            <w:bookmarkEnd w:id="138"/>
          </w:p>
        </w:tc>
        <w:tc>
          <w:tcPr>
            <w:tcW w:w="1100" w:type="dxa"/>
            <w:tcBorders/>
            <w:shd w:fill="FFFFFF" w:val="clear"/>
            <w:vAlign w:val="center"/>
          </w:tcPr>
          <w:p>
            <w:pPr>
              <w:pStyle w:val="TableContents"/>
              <w:bidi w:val="0"/>
              <w:spacing w:before="0" w:after="283"/>
              <w:jc w:val="right"/>
              <w:rPr/>
            </w:pPr>
            <w:r>
              <w:rPr/>
              <w:t>610,517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852</w:t>
            </w:r>
          </w:p>
        </w:tc>
        <w:tc>
          <w:tcPr>
            <w:tcW w:w="111" w:type="dxa"/>
            <w:tcBorders/>
            <w:shd w:fill="FFFFFF" w:val="clear"/>
            <w:vAlign w:val="center"/>
          </w:tcPr>
          <w:p>
            <w:pPr>
              <w:pStyle w:val="TableContents"/>
              <w:bidi w:val="0"/>
              <w:spacing w:before="0" w:after="283"/>
              <w:jc w:val="left"/>
              <w:rPr/>
            </w:pPr>
            <w:r>
              <w:rPr/>
              <w:t> </w:t>
            </w:r>
            <w:bookmarkStart w:id="139" w:name="xdx_40B_eus-gaap--AdjustmentsToAdditiona"/>
            <w:bookmarkEnd w:id="139"/>
          </w:p>
        </w:tc>
      </w:tr>
      <w:tr>
        <w:trPr/>
        <w:tc>
          <w:tcPr>
            <w:tcW w:w="3558"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256</w:t>
            </w:r>
          </w:p>
        </w:tc>
        <w:tc>
          <w:tcPr>
            <w:tcW w:w="111" w:type="dxa"/>
            <w:tcBorders/>
            <w:shd w:fill="CCEEFF" w:val="clear"/>
            <w:vAlign w:val="center"/>
          </w:tcPr>
          <w:p>
            <w:pPr>
              <w:pStyle w:val="TableContents"/>
              <w:bidi w:val="0"/>
              <w:spacing w:before="0" w:after="283"/>
              <w:jc w:val="left"/>
              <w:rPr/>
            </w:pPr>
            <w:r>
              <w:rPr/>
              <w:t> </w:t>
            </w:r>
            <w:bookmarkStart w:id="140" w:name="xdx_409_eus-gaap--NetIncomeLoss_zp7LG2Mq"/>
            <w:bookmarkEnd w:id="140"/>
          </w:p>
        </w:tc>
      </w:tr>
      <w:tr>
        <w:trPr/>
        <w:tc>
          <w:tcPr>
            <w:tcW w:w="355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(2,601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(2,601</w:t>
            </w:r>
          </w:p>
        </w:tc>
        <w:tc>
          <w:tcPr>
            <w:tcW w:w="111" w:type="dxa"/>
            <w:tcBorders/>
            <w:shd w:fill="FFFFFF" w:val="clear"/>
            <w:vAlign w:val="center"/>
          </w:tcPr>
          <w:p>
            <w:pPr>
              <w:pStyle w:val="TableContents"/>
              <w:bidi w:val="0"/>
              <w:spacing w:before="0" w:after="283"/>
              <w:jc w:val="left"/>
              <w:rPr/>
            </w:pPr>
            <w:r>
              <w:rPr/>
              <w:t>)</w:t>
            </w:r>
            <w:bookmarkStart w:id="141" w:name="xdx_436_c20250401__20250630_eus-gaap--St"/>
            <w:bookmarkEnd w:id="141"/>
          </w:p>
        </w:tc>
      </w:tr>
      <w:tr>
        <w:trPr/>
        <w:tc>
          <w:tcPr>
            <w:tcW w:w="3558" w:type="dxa"/>
            <w:tcBorders/>
            <w:shd w:fill="CCEEFF" w:val="clear"/>
            <w:vAlign w:val="center"/>
          </w:tcPr>
          <w:p>
            <w:pPr>
              <w:pStyle w:val="TableContents"/>
              <w:bidi w:val="0"/>
              <w:spacing w:before="0" w:after="283"/>
              <w:jc w:val="left"/>
              <w:rPr/>
            </w:pPr>
            <w:r>
              <w:rPr/>
              <w:t>Balances,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42" w:name="xdx_981_eus-gaap--SharesOutstanding_iS_p"/>
            <w:bookmarkEnd w:id="142"/>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34,744,476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122,148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(93,545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28,951</w:t>
            </w:r>
          </w:p>
        </w:tc>
        <w:tc>
          <w:tcPr>
            <w:tcW w:w="111" w:type="dxa"/>
            <w:tcBorders/>
            <w:shd w:fill="CCEEFF" w:val="clear"/>
            <w:vAlign w:val="center"/>
          </w:tcPr>
          <w:p>
            <w:pPr>
              <w:pStyle w:val="TableContents"/>
              <w:bidi w:val="0"/>
              <w:spacing w:before="0" w:after="283"/>
              <w:jc w:val="left"/>
              <w:rPr/>
            </w:pPr>
            <w:r>
              <w:rPr/>
              <w:t> </w:t>
            </w:r>
            <w:bookmarkStart w:id="143" w:name="xdx_40D_ecustom--StockIssuedDuringPeriod"/>
            <w:bookmarkEnd w:id="143"/>
          </w:p>
        </w:tc>
      </w:tr>
      <w:tr>
        <w:trPr/>
        <w:tc>
          <w:tcPr>
            <w:tcW w:w="3558" w:type="dxa"/>
            <w:tcBorders/>
            <w:shd w:fill="FFFFFF" w:val="clear"/>
            <w:vAlign w:val="center"/>
          </w:tcPr>
          <w:p>
            <w:pPr>
              <w:pStyle w:val="TableContents"/>
              <w:bidi w:val="0"/>
              <w:spacing w:before="0" w:after="283"/>
              <w:jc w:val="left"/>
              <w:rPr/>
            </w:pPr>
            <w:r>
              <w:rPr/>
              <w:t xml:space="preserve">Issuance of common stock upon exercise of warrants, net </w:t>
            </w:r>
            <w:bookmarkStart w:id="144" w:name="xdx_F42_z6j5EvQmA7d"/>
            <w:bookmarkEnd w:id="144"/>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 w:name="xdx_98F_ecustom--StockIssuedDuringPeriod"/>
            <w:bookmarkEnd w:id="145"/>
          </w:p>
        </w:tc>
        <w:tc>
          <w:tcPr>
            <w:tcW w:w="1100" w:type="dxa"/>
            <w:tcBorders/>
            <w:shd w:fill="FFFFFF" w:val="clear"/>
            <w:vAlign w:val="center"/>
          </w:tcPr>
          <w:p>
            <w:pPr>
              <w:pStyle w:val="TableContents"/>
              <w:bidi w:val="0"/>
              <w:spacing w:before="0" w:after="283"/>
              <w:jc w:val="right"/>
              <w:rPr/>
            </w:pPr>
            <w:r>
              <w:rPr/>
              <w:t>3,213,840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4,506</w:t>
            </w:r>
          </w:p>
        </w:tc>
        <w:tc>
          <w:tcPr>
            <w:tcW w:w="111" w:type="dxa"/>
            <w:tcBorders/>
            <w:shd w:fill="FFFFFF" w:val="clear"/>
            <w:vAlign w:val="center"/>
          </w:tcPr>
          <w:p>
            <w:pPr>
              <w:pStyle w:val="TableContents"/>
              <w:bidi w:val="0"/>
              <w:spacing w:before="0" w:after="283"/>
              <w:jc w:val="left"/>
              <w:rPr/>
            </w:pPr>
            <w:r>
              <w:rPr/>
              <w:t> </w:t>
            </w:r>
            <w:bookmarkStart w:id="146" w:name="xdx_40F_eus-gaap--AdjustmentsToAdditiona"/>
            <w:bookmarkEnd w:id="146"/>
          </w:p>
        </w:tc>
      </w:tr>
      <w:tr>
        <w:trPr/>
        <w:tc>
          <w:tcPr>
            <w:tcW w:w="3558" w:type="dxa"/>
            <w:tcBorders/>
            <w:shd w:fill="CCEEFF" w:val="clear"/>
            <w:vAlign w:val="center"/>
          </w:tcPr>
          <w:p>
            <w:pPr>
              <w:pStyle w:val="TableContents"/>
              <w:bidi w:val="0"/>
              <w:spacing w:before="0" w:after="283"/>
              <w:jc w:val="left"/>
              <w:rPr/>
            </w:pPr>
            <w:r>
              <w:rPr/>
              <w:t xml:space="preserve">Shares pending issuance on exercise of warrants </w:t>
            </w:r>
            <w:bookmarkStart w:id="147" w:name="xdx_F46_zPQwEeLtLova"/>
            <w:bookmarkEnd w:id="147"/>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163</w:t>
            </w:r>
          </w:p>
        </w:tc>
        <w:tc>
          <w:tcPr>
            <w:tcW w:w="111" w:type="dxa"/>
            <w:tcBorders/>
            <w:shd w:fill="CCEEFF" w:val="clear"/>
            <w:vAlign w:val="center"/>
          </w:tcPr>
          <w:p>
            <w:pPr>
              <w:pStyle w:val="TableContents"/>
              <w:bidi w:val="0"/>
              <w:spacing w:before="0" w:after="283"/>
              <w:jc w:val="left"/>
              <w:rPr/>
            </w:pPr>
            <w:r>
              <w:rPr/>
              <w:t> </w:t>
            </w:r>
            <w:bookmarkStart w:id="148" w:name="xdx_40B_eus-gaap--AdjustmentsToAdditiona"/>
            <w:bookmarkEnd w:id="148"/>
          </w:p>
        </w:tc>
      </w:tr>
      <w:tr>
        <w:trPr/>
        <w:tc>
          <w:tcPr>
            <w:tcW w:w="3558"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237</w:t>
            </w:r>
          </w:p>
        </w:tc>
        <w:tc>
          <w:tcPr>
            <w:tcW w:w="111" w:type="dxa"/>
            <w:tcBorders/>
            <w:shd w:fill="FFFFFF" w:val="clear"/>
            <w:vAlign w:val="center"/>
          </w:tcPr>
          <w:p>
            <w:pPr>
              <w:pStyle w:val="TableContents"/>
              <w:bidi w:val="0"/>
              <w:spacing w:before="0" w:after="283"/>
              <w:jc w:val="left"/>
              <w:rPr/>
            </w:pPr>
            <w:r>
              <w:rPr/>
              <w:t> </w:t>
            </w:r>
            <w:bookmarkStart w:id="149" w:name="xdx_409_eus-gaap--NetIncomeLoss_zpgbvmBp"/>
            <w:bookmarkEnd w:id="149"/>
          </w:p>
        </w:tc>
      </w:tr>
      <w:tr>
        <w:trPr/>
        <w:tc>
          <w:tcPr>
            <w:tcW w:w="3558"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CCEEFF" w:val="clear"/>
            <w:tcMar>
              <w:bottom w:w="28" w:type="dxa"/>
            </w:tcMar>
            <w:vAlign w:val="center"/>
          </w:tcPr>
          <w:p>
            <w:pPr>
              <w:pStyle w:val="TableContents"/>
              <w:bidi w:val="0"/>
              <w:spacing w:before="0" w:after="283"/>
              <w:jc w:val="right"/>
              <w:rPr/>
            </w:pPr>
            <w:r>
              <w:rPr/>
              <w:t>(3,500</w:t>
            </w:r>
          </w:p>
        </w:tc>
        <w:tc>
          <w:tcPr>
            <w:tcW w:w="111" w:type="dxa"/>
            <w:tcBorders/>
            <w:shd w:fill="CCEEFF" w:val="clear"/>
            <w:vAlign w:val="center"/>
          </w:tcPr>
          <w:p>
            <w:pPr>
              <w:pStyle w:val="TableContents"/>
              <w:bidi w:val="0"/>
              <w:spacing w:before="0" w:after="283"/>
              <w:jc w:val="left"/>
              <w:rPr/>
            </w:pPr>
            <w:r>
              <w:rPr/>
              <w:t>)</w:t>
            </w:r>
            <w:bookmarkStart w:id="150" w:name="xdx_436_c20250701__20250930_eus-gaap--St"/>
            <w:bookmarkEnd w:id="150"/>
          </w:p>
        </w:tc>
      </w:tr>
      <w:tr>
        <w:trPr/>
        <w:tc>
          <w:tcPr>
            <w:tcW w:w="3558" w:type="dxa"/>
            <w:tcBorders/>
            <w:shd w:fill="FFFFFF" w:val="clear"/>
            <w:vAlign w:val="center"/>
          </w:tcPr>
          <w:p>
            <w:pPr>
              <w:pStyle w:val="TableContents"/>
              <w:bidi w:val="0"/>
              <w:spacing w:before="0" w:after="283"/>
              <w:jc w:val="left"/>
              <w:rPr/>
            </w:pPr>
            <w:r>
              <w:rPr/>
              <w:t>Balances,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1" w:name="xdx_98A_eus-gaap--SharesOutstanding_iS_p"/>
            <w:bookmarkEnd w:id="15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37,958,316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127,022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(97,045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bottom w:w="28" w:type="dxa"/>
            </w:tcMar>
            <w:vAlign w:val="center"/>
          </w:tcPr>
          <w:p>
            <w:pPr>
              <w:pStyle w:val="TableContents"/>
              <w:bidi w:val="0"/>
              <w:spacing w:before="0" w:after="283"/>
              <w:jc w:val="right"/>
              <w:rPr/>
            </w:pPr>
            <w:r>
              <w:rPr/>
              <w:t>30,357</w:t>
            </w:r>
          </w:p>
        </w:tc>
        <w:tc>
          <w:tcPr>
            <w:tcW w:w="111" w:type="dxa"/>
            <w:tcBorders/>
            <w:shd w:fill="FFFFFF" w:val="clear"/>
            <w:vAlign w:val="center"/>
          </w:tcPr>
          <w:p>
            <w:pPr>
              <w:pStyle w:val="TableContents"/>
              <w:bidi w:val="0"/>
              <w:spacing w:before="0" w:after="283"/>
              <w:jc w:val="left"/>
              <w:rPr/>
            </w:pPr>
            <w:r>
              <w:rPr/>
              <w:t> </w:t>
            </w:r>
            <w:bookmarkStart w:id="152" w:name="xdx_433_c20250701__20250930_eus-gaap--St"/>
            <w:bookmarkEnd w:id="152"/>
          </w:p>
        </w:tc>
      </w:tr>
      <w:tr>
        <w:trPr/>
        <w:tc>
          <w:tcPr>
            <w:tcW w:w="3558"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 w:name="xdx_980_eus-gaap--SharesOutstanding_iS_p"/>
            <w:bookmarkEnd w:id="15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37,958,316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127,022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(97,045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bottom w:w="28" w:type="dxa"/>
            </w:tcMar>
            <w:vAlign w:val="center"/>
          </w:tcPr>
          <w:p>
            <w:pPr>
              <w:pStyle w:val="TableContents"/>
              <w:bidi w:val="0"/>
              <w:spacing w:before="0" w:after="283"/>
              <w:jc w:val="right"/>
              <w:rPr/>
            </w:pPr>
            <w:r>
              <w:rPr/>
              <w:t>30,357</w:t>
            </w:r>
          </w:p>
        </w:tc>
        <w:tc>
          <w:tcPr>
            <w:tcW w:w="111" w:type="dxa"/>
            <w:tcBorders/>
            <w:shd w:fill="FFFFFF" w:val="clear"/>
            <w:vAlign w:val="center"/>
          </w:tcPr>
          <w:p>
            <w:pPr>
              <w:pStyle w:val="TableContents"/>
              <w:bidi w:val="0"/>
              <w:spacing w:before="0" w:after="283"/>
              <w:jc w:val="left"/>
              <w:rPr/>
            </w:pPr>
            <w:r>
              <w:rPr/>
              <w:t> </w:t>
            </w:r>
            <w:bookmarkStart w:id="154" w:name="xdx_40D_ecustom--StockIssuedDuringPeriod"/>
            <w:bookmarkEnd w:id="154"/>
          </w:p>
        </w:tc>
      </w:tr>
      <w:tr>
        <w:trPr/>
        <w:tc>
          <w:tcPr>
            <w:tcW w:w="3558" w:type="dxa"/>
            <w:tcBorders/>
            <w:shd w:fill="CCEEFF" w:val="clear"/>
            <w:vAlign w:val="center"/>
          </w:tcPr>
          <w:p>
            <w:pPr>
              <w:pStyle w:val="TableContents"/>
              <w:bidi w:val="0"/>
              <w:spacing w:before="0" w:after="283"/>
              <w:jc w:val="left"/>
              <w:rPr/>
            </w:pPr>
            <w:r>
              <w:rPr/>
              <w:t xml:space="preserve">Issuance of common stock upon exercise of warrants, net </w:t>
            </w:r>
            <w:bookmarkStart w:id="155" w:name="xdx_F4E_znfpc2nyNuzf"/>
            <w:bookmarkEnd w:id="155"/>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2_ecustom--StockIssuedDuringPeriod"/>
            <w:bookmarkEnd w:id="156"/>
          </w:p>
        </w:tc>
        <w:tc>
          <w:tcPr>
            <w:tcW w:w="1100" w:type="dxa"/>
            <w:tcBorders/>
            <w:shd w:fill="CCEEFF" w:val="clear"/>
            <w:vAlign w:val="center"/>
          </w:tcPr>
          <w:p>
            <w:pPr>
              <w:pStyle w:val="TableContents"/>
              <w:bidi w:val="0"/>
              <w:spacing w:before="0" w:after="283"/>
              <w:jc w:val="right"/>
              <w:rPr/>
            </w:pPr>
            <w:r>
              <w:rPr/>
              <w:t>15,063,395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26,708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26,859</w:t>
            </w:r>
          </w:p>
        </w:tc>
        <w:tc>
          <w:tcPr>
            <w:tcW w:w="111" w:type="dxa"/>
            <w:tcBorders/>
            <w:shd w:fill="CCEEFF" w:val="clear"/>
            <w:vAlign w:val="center"/>
          </w:tcPr>
          <w:p>
            <w:pPr>
              <w:pStyle w:val="TableContents"/>
              <w:bidi w:val="0"/>
              <w:spacing w:before="0" w:after="283"/>
              <w:jc w:val="left"/>
              <w:rPr/>
            </w:pPr>
            <w:r>
              <w:rPr/>
              <w:t> </w:t>
            </w:r>
            <w:bookmarkStart w:id="157" w:name="xdx_40A_eus-gaap--StockIssuedDuringPerio"/>
            <w:bookmarkEnd w:id="157"/>
          </w:p>
        </w:tc>
      </w:tr>
      <w:tr>
        <w:trPr/>
        <w:tc>
          <w:tcPr>
            <w:tcW w:w="3558" w:type="dxa"/>
            <w:tcBorders/>
            <w:shd w:fill="FFFFFF" w:val="clear"/>
            <w:vAlign w:val="center"/>
          </w:tcPr>
          <w:p>
            <w:pPr>
              <w:pStyle w:val="TableContents"/>
              <w:bidi w:val="0"/>
              <w:spacing w:before="0" w:after="283"/>
              <w:jc w:val="left"/>
              <w:rPr/>
            </w:pPr>
            <w:r>
              <w:rPr/>
              <w:t xml:space="preserve">Issuance of common stock and warrants, net </w:t>
            </w:r>
            <w:bookmarkStart w:id="158" w:name="xdx_F49_zomLxadKDsni"/>
            <w:bookmarkEnd w:id="158"/>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9" w:name="xdx_981_eus-gaap--StockIssuedDuringPerio"/>
            <w:bookmarkEnd w:id="159"/>
          </w:p>
        </w:tc>
        <w:tc>
          <w:tcPr>
            <w:tcW w:w="1100" w:type="dxa"/>
            <w:tcBorders/>
            <w:shd w:fill="FFFFFF" w:val="clear"/>
            <w:vAlign w:val="center"/>
          </w:tcPr>
          <w:p>
            <w:pPr>
              <w:pStyle w:val="TableContents"/>
              <w:bidi w:val="0"/>
              <w:spacing w:before="0" w:after="283"/>
              <w:jc w:val="right"/>
              <w:rPr/>
            </w:pPr>
            <w:r>
              <w:rPr/>
              <w:t>12,664,627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24,129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24,256</w:t>
            </w:r>
          </w:p>
        </w:tc>
        <w:tc>
          <w:tcPr>
            <w:tcW w:w="111" w:type="dxa"/>
            <w:tcBorders/>
            <w:shd w:fill="FFFFFF" w:val="clear"/>
            <w:vAlign w:val="center"/>
          </w:tcPr>
          <w:p>
            <w:pPr>
              <w:pStyle w:val="TableContents"/>
              <w:bidi w:val="0"/>
              <w:spacing w:before="0" w:after="283"/>
              <w:jc w:val="left"/>
              <w:rPr/>
            </w:pPr>
            <w:r>
              <w:rPr/>
              <w:t> </w:t>
            </w:r>
            <w:bookmarkStart w:id="160" w:name="xdx_406_eus-gaap--StockIssuedDuringPerio"/>
            <w:bookmarkEnd w:id="160"/>
          </w:p>
        </w:tc>
      </w:tr>
      <w:tr>
        <w:trPr/>
        <w:tc>
          <w:tcPr>
            <w:tcW w:w="3558" w:type="dxa"/>
            <w:tcBorders/>
            <w:shd w:fill="CCEEFF" w:val="clear"/>
            <w:vAlign w:val="center"/>
          </w:tcPr>
          <w:p>
            <w:pPr>
              <w:pStyle w:val="TableContents"/>
              <w:bidi w:val="0"/>
              <w:spacing w:before="0" w:after="283"/>
              <w:jc w:val="left"/>
              <w:rPr/>
            </w:pPr>
            <w:r>
              <w:rPr/>
              <w:t>Issuance of shares that were pending issuance on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D_eus-gaap--StockIssuedDuringPerio"/>
            <w:bookmarkEnd w:id="161"/>
          </w:p>
        </w:tc>
        <w:tc>
          <w:tcPr>
            <w:tcW w:w="11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bookmarkStart w:id="162" w:name="xdx_F21_z3DgtaKOt9g4"/>
            <w:bookmarkEnd w:id="162"/>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bookmarkStart w:id="163" w:name="xdx_40A_eus-gaap--StockIssuedDuringPerio"/>
            <w:bookmarkEnd w:id="163"/>
          </w:p>
        </w:tc>
      </w:tr>
      <w:tr>
        <w:trPr/>
        <w:tc>
          <w:tcPr>
            <w:tcW w:w="3558" w:type="dxa"/>
            <w:tcBorders/>
            <w:shd w:fill="FFFFFF" w:val="clear"/>
            <w:vAlign w:val="center"/>
          </w:tcPr>
          <w:p>
            <w:pPr>
              <w:pStyle w:val="TableContents"/>
              <w:bidi w:val="0"/>
              <w:spacing w:before="0" w:after="283"/>
              <w:jc w:val="left"/>
              <w:rPr/>
            </w:pPr>
            <w:r>
              <w:rPr/>
              <w:t>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4" w:name="xdx_98F_eus-gaap--StockIssuedDuringPerio"/>
            <w:bookmarkEnd w:id="164"/>
          </w:p>
        </w:tc>
        <w:tc>
          <w:tcPr>
            <w:tcW w:w="1100" w:type="dxa"/>
            <w:tcBorders/>
            <w:shd w:fill="FFFFFF" w:val="clear"/>
            <w:vAlign w:val="center"/>
          </w:tcPr>
          <w:p>
            <w:pPr>
              <w:pStyle w:val="TableContents"/>
              <w:bidi w:val="0"/>
              <w:spacing w:before="0" w:after="283"/>
              <w:jc w:val="right"/>
              <w:rPr/>
            </w:pPr>
            <w:r>
              <w:rPr/>
              <w:t>47,218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rFonts w:ascii="Times New Roman;Times;Serif" w:hAnsi="Times New Roman;Times;Serif"/>
                <w:sz w:val="16"/>
              </w:rPr>
              <w:t>-</w:t>
            </w:r>
            <w:bookmarkStart w:id="165" w:name="xdx_F24_zUq2ANPjmAa1"/>
            <w:bookmarkEnd w:id="165"/>
            <w:r>
              <w:rPr>
                <w:rFonts w:ascii="Times New Roman;Times;Serif" w:hAnsi="Times New Roman;Times;Serif"/>
                <w:sz w:val="18"/>
              </w:rPr>
              <w:t>*</w:t>
            </w: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jc w:val="left"/>
              <w:rPr/>
            </w:pPr>
            <w:r>
              <w:rPr/>
              <w:t> </w:t>
            </w:r>
            <w:bookmarkStart w:id="166" w:name="xdx_408_eus-gaap--AdjustmentsToAdditiona"/>
            <w:bookmarkEnd w:id="166"/>
          </w:p>
        </w:tc>
      </w:tr>
      <w:tr>
        <w:trPr/>
        <w:tc>
          <w:tcPr>
            <w:tcW w:w="3558"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328</w:t>
            </w:r>
          </w:p>
        </w:tc>
        <w:tc>
          <w:tcPr>
            <w:tcW w:w="111" w:type="dxa"/>
            <w:tcBorders/>
            <w:shd w:fill="CCEEFF" w:val="clear"/>
            <w:vAlign w:val="center"/>
          </w:tcPr>
          <w:p>
            <w:pPr>
              <w:pStyle w:val="TableContents"/>
              <w:bidi w:val="0"/>
              <w:spacing w:before="0" w:after="283"/>
              <w:jc w:val="left"/>
              <w:rPr/>
            </w:pPr>
            <w:r>
              <w:rPr/>
              <w:t> </w:t>
            </w:r>
            <w:bookmarkStart w:id="167" w:name="xdx_409_eus-gaap--NetIncomeLoss_zxTrNOn7"/>
            <w:bookmarkEnd w:id="167"/>
          </w:p>
        </w:tc>
      </w:tr>
      <w:tr>
        <w:trPr/>
        <w:tc>
          <w:tcPr>
            <w:tcW w:w="355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(3,577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8" w:space="0" w:color="000000"/>
            </w:tcBorders>
            <w:shd w:fill="FFFFFF" w:val="clear"/>
            <w:tcMar>
              <w:bottom w:w="28" w:type="dxa"/>
            </w:tcMar>
            <w:vAlign w:val="center"/>
          </w:tcPr>
          <w:p>
            <w:pPr>
              <w:pStyle w:val="TableContents"/>
              <w:bidi w:val="0"/>
              <w:spacing w:before="0" w:after="283"/>
              <w:jc w:val="right"/>
              <w:rPr/>
            </w:pPr>
            <w:r>
              <w:rPr/>
              <w:t>(3,577</w:t>
            </w:r>
          </w:p>
        </w:tc>
        <w:tc>
          <w:tcPr>
            <w:tcW w:w="111" w:type="dxa"/>
            <w:tcBorders/>
            <w:shd w:fill="FFFFFF" w:val="clear"/>
            <w:vAlign w:val="center"/>
          </w:tcPr>
          <w:p>
            <w:pPr>
              <w:pStyle w:val="TableContents"/>
              <w:bidi w:val="0"/>
              <w:spacing w:before="0" w:after="283"/>
              <w:jc w:val="left"/>
              <w:rPr/>
            </w:pPr>
            <w:r>
              <w:rPr/>
              <w:t>)</w:t>
            </w:r>
            <w:bookmarkStart w:id="168" w:name="xdx_438_c20250701__20250930_eus-gaap--St"/>
            <w:bookmarkEnd w:id="168"/>
          </w:p>
        </w:tc>
      </w:tr>
      <w:tr>
        <w:trPr/>
        <w:tc>
          <w:tcPr>
            <w:tcW w:w="3558" w:type="dxa"/>
            <w:tcBorders/>
            <w:shd w:fill="CCEEFF" w:val="clear"/>
            <w:vAlign w:val="center"/>
          </w:tcPr>
          <w:p>
            <w:pPr>
              <w:pStyle w:val="TableContents"/>
              <w:bidi w:val="0"/>
              <w:spacing w:before="0" w:after="283"/>
              <w:jc w:val="left"/>
              <w:rPr/>
            </w:pPr>
            <w:r>
              <w:rPr/>
              <w:t>Balances,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9" w:name="xdx_98E_eus-gaap--SharesOutstanding_iE_p"/>
            <w:bookmarkEnd w:id="16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65,833,556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178,187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pPr>
            <w:r>
              <w:rPr/>
              <w:t>78,224</w:t>
            </w:r>
          </w:p>
        </w:tc>
        <w:tc>
          <w:tcPr>
            <w:tcW w:w="111" w:type="dxa"/>
            <w:tcBorders/>
            <w:shd w:fill="CCEEFF" w:val="clear"/>
            <w:vAlign w:val="center"/>
          </w:tcPr>
          <w:p>
            <w:pPr>
              <w:pStyle w:val="TableContents"/>
              <w:bidi w:val="0"/>
              <w:spacing w:before="0" w:after="283"/>
              <w:jc w:val="left"/>
              <w:rPr/>
            </w:pPr>
            <w:r>
              <w:rPr/>
              <w:t> </w:t>
            </w:r>
            <w:bookmarkStart w:id="170" w:name="xdx_434_c20250701__20250930_eus-gaap--St"/>
            <w:bookmarkEnd w:id="170"/>
          </w:p>
        </w:tc>
      </w:tr>
      <w:tr>
        <w:trPr/>
        <w:tc>
          <w:tcPr>
            <w:tcW w:w="3558"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71" w:name="xdx_98E_eus-gaap--SharesOutstanding_iE_p"/>
            <w:bookmarkEnd w:id="17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65,833,556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178,187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(100,622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pPr>
            <w:r>
              <w:rPr/>
              <w:t>78,224</w:t>
            </w:r>
          </w:p>
        </w:tc>
        <w:tc>
          <w:tcPr>
            <w:tcW w:w="11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260"/>
        <w:gridCol w:w="23"/>
        <w:gridCol w:w="1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72" w:name="xdx_F03_zgYxvsBBY2T"/>
            <w:bookmarkEnd w:id="172"/>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both"/>
              <w:rPr>
                <w:rFonts w:ascii="Times New Roman;Times;Serif" w:hAnsi="Times New Roman;Times;Serif"/>
                <w:sz w:val="20"/>
              </w:rPr>
            </w:pPr>
            <w:bookmarkStart w:id="173" w:name="xdx_F13_zR4Kme4JM0n"/>
            <w:bookmarkEnd w:id="173"/>
            <w:r>
              <w:rPr>
                <w:rFonts w:ascii="Times New Roman;Times;Serif" w:hAnsi="Times New Roman;Times;Serif"/>
                <w:sz w:val="20"/>
              </w:rPr>
              <w:t>Less than $1.</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9025" w:type="dxa"/>
        <w:jc w:val="left"/>
        <w:tblInd w:w="0" w:type="dxa"/>
        <w:tblLayout w:type="fixed"/>
        <w:tblCellMar>
          <w:top w:w="0" w:type="dxa"/>
          <w:left w:w="0" w:type="dxa"/>
          <w:bottom w:w="0" w:type="dxa"/>
          <w:right w:w="0" w:type="dxa"/>
        </w:tblCellMar>
      </w:tblPr>
      <w:tblGrid>
        <w:gridCol w:w="75"/>
        <w:gridCol w:w="350"/>
        <w:gridCol w:w="8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74" w:name="xdx_F02_zXiUgxteVSdc"/>
            <w:bookmarkEnd w:id="174"/>
            <w:r>
              <w:rPr>
                <w:rFonts w:ascii="Times New Roman;Times;Serif" w:hAnsi="Times New Roman;Times;Serif"/>
                <w:b w:val="false"/>
                <w:i w:val="false"/>
                <w:caps w:val="false"/>
                <w:smallCaps w:val="false"/>
                <w:sz w:val="20"/>
              </w:rPr>
              <w:t>(1)</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75" w:name="xdx_F11_z8H6bDQsEbif"/>
            <w:bookmarkEnd w:id="175"/>
            <w:r>
              <w:rPr>
                <w:rFonts w:ascii="Times New Roman;Times;Serif" w:hAnsi="Times New Roman;Times;Serif"/>
                <w:b w:val="false"/>
                <w:i w:val="false"/>
                <w:caps w:val="false"/>
                <w:smallCaps w:val="false"/>
                <w:sz w:val="20"/>
              </w:rPr>
              <w:t>Net of issuance costs in the amount of $</w:t>
            </w:r>
            <w:bookmarkStart w:id="176" w:name="xdx_901_eus-gaap--PaymentsOfStockIssuanc"/>
            <w:bookmarkEnd w:id="176"/>
            <w:r>
              <w:rPr>
                <w:rFonts w:ascii="Times New Roman;Times;Serif" w:hAnsi="Times New Roman;Times;Serif"/>
                <w:b w:val="false"/>
                <w:i w:val="false"/>
                <w:caps w:val="false"/>
                <w:smallCaps w:val="false"/>
                <w:sz w:val="20"/>
              </w:rPr>
              <w:t>333.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77" w:name="xdx_F0B_zomdxi28UCB8"/>
            <w:bookmarkEnd w:id="177"/>
            <w:r>
              <w:rPr>
                <w:rFonts w:ascii="Times New Roman;Times;Serif" w:hAnsi="Times New Roman;Times;Serif"/>
                <w:b w:val="false"/>
                <w:i w:val="false"/>
                <w:caps w:val="false"/>
                <w:smallCaps w:val="false"/>
                <w:sz w:val="20"/>
              </w:rPr>
              <w:t>(2)</w:t>
            </w:r>
          </w:p>
        </w:tc>
        <w:tc>
          <w:tcPr>
            <w:tcW w:w="8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78" w:name="xdx_F12_zsMYufFKeMsb"/>
            <w:bookmarkEnd w:id="178"/>
            <w:r>
              <w:rPr>
                <w:rFonts w:ascii="Times New Roman;Times;Serif" w:hAnsi="Times New Roman;Times;Serif"/>
                <w:b w:val="false"/>
                <w:i w:val="false"/>
                <w:caps w:val="false"/>
                <w:smallCaps w:val="false"/>
                <w:sz w:val="20"/>
              </w:rPr>
              <w:t>See Note 3F.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79" w:name="xdx_F0F_zUdgoLtUnVXb"/>
            <w:bookmarkEnd w:id="179"/>
            <w:r>
              <w:rPr>
                <w:rFonts w:ascii="Times New Roman;Times;Serif" w:hAnsi="Times New Roman;Times;Serif"/>
                <w:b w:val="false"/>
                <w:i w:val="false"/>
                <w:caps w:val="false"/>
                <w:smallCaps w:val="false"/>
                <w:sz w:val="20"/>
              </w:rPr>
              <w:t>(3)</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0" w:name="xdx_F1A_zFznwutWhlag"/>
            <w:bookmarkEnd w:id="180"/>
            <w:r>
              <w:rPr>
                <w:rFonts w:ascii="Times New Roman;Times;Serif" w:hAnsi="Times New Roman;Times;Serif"/>
                <w:b w:val="false"/>
                <w:i w:val="false"/>
                <w:caps w:val="false"/>
                <w:smallCaps w:val="false"/>
                <w:sz w:val="20"/>
              </w:rPr>
              <w:t>Net of issuance costs in the amount of $</w:t>
            </w:r>
            <w:bookmarkStart w:id="181" w:name="xdx_900_eus-gaap--PaymentsOfStockIssuanc"/>
            <w:bookmarkEnd w:id="181"/>
            <w:r>
              <w:rPr>
                <w:rFonts w:ascii="Times New Roman;Times;Serif" w:hAnsi="Times New Roman;Times;Serif"/>
                <w:b w:val="false"/>
                <w:i w:val="false"/>
                <w:caps w:val="false"/>
                <w:smallCaps w:val="false"/>
                <w:sz w:val="20"/>
              </w:rPr>
              <w:t>328.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2" w:name="xdx_F0F_zvpy1Ay0Zu2b"/>
            <w:bookmarkEnd w:id="182"/>
            <w:r>
              <w:rPr>
                <w:rFonts w:ascii="Times New Roman;Times;Serif" w:hAnsi="Times New Roman;Times;Serif"/>
                <w:b w:val="false"/>
                <w:i w:val="false"/>
                <w:caps w:val="false"/>
                <w:smallCaps w:val="false"/>
                <w:sz w:val="20"/>
              </w:rPr>
              <w:t>(4)</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3" w:name="xdx_F18_zcdFtxtJEQBh"/>
            <w:bookmarkEnd w:id="183"/>
            <w:r>
              <w:rPr>
                <w:rFonts w:ascii="Times New Roman;Times;Serif" w:hAnsi="Times New Roman;Times;Serif"/>
                <w:b w:val="false"/>
                <w:i w:val="false"/>
                <w:caps w:val="false"/>
                <w:smallCaps w:val="false"/>
                <w:sz w:val="20"/>
              </w:rPr>
              <w:t>Net of issuance costs in the amount of $</w:t>
            </w:r>
            <w:bookmarkStart w:id="184" w:name="xdx_900_eus-gaap--PaymentsOfStockIssuanc"/>
            <w:bookmarkEnd w:id="184"/>
            <w:r>
              <w:rPr>
                <w:rFonts w:ascii="Times New Roman;Times;Serif" w:hAnsi="Times New Roman;Times;Serif"/>
                <w:b w:val="false"/>
                <w:i w:val="false"/>
                <w:caps w:val="false"/>
                <w:smallCaps w:val="false"/>
                <w:sz w:val="20"/>
              </w:rPr>
              <w:t>49.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5" w:name="xdx_F08_zuRSiNzvCeH8"/>
            <w:bookmarkEnd w:id="185"/>
            <w:r>
              <w:rPr>
                <w:rFonts w:ascii="Times New Roman;Times;Serif" w:hAnsi="Times New Roman;Times;Serif"/>
                <w:b w:val="false"/>
                <w:i w:val="false"/>
                <w:caps w:val="false"/>
                <w:smallCaps w:val="false"/>
                <w:sz w:val="20"/>
              </w:rPr>
              <w:t>(5)</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6" w:name="xdx_F1A_zQTMQpYyOWck"/>
            <w:bookmarkEnd w:id="186"/>
            <w:r>
              <w:rPr>
                <w:rFonts w:ascii="Times New Roman;Times;Serif" w:hAnsi="Times New Roman;Times;Serif"/>
                <w:b w:val="false"/>
                <w:i w:val="false"/>
                <w:caps w:val="false"/>
                <w:smallCaps w:val="false"/>
                <w:sz w:val="20"/>
              </w:rPr>
              <w:t>Net of issuance costs in the amount of $</w:t>
            </w:r>
            <w:bookmarkStart w:id="187" w:name="xdx_90B_eus-gaap--PaymentsOfStockIssuanc"/>
            <w:bookmarkEnd w:id="187"/>
            <w:r>
              <w:rPr>
                <w:rFonts w:ascii="Times New Roman;Times;Serif" w:hAnsi="Times New Roman;Times;Serif"/>
                <w:b w:val="false"/>
                <w:i w:val="false"/>
                <w:caps w:val="false"/>
                <w:smallCaps w:val="false"/>
                <w:sz w:val="20"/>
              </w:rPr>
              <w:t>2,683.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8" w:name="xdx_F02_zo4xC7RUif5g"/>
            <w:bookmarkEnd w:id="188"/>
            <w:r>
              <w:rPr>
                <w:rFonts w:ascii="Times New Roman;Times;Serif" w:hAnsi="Times New Roman;Times;Serif"/>
                <w:b w:val="false"/>
                <w:i w:val="false"/>
                <w:caps w:val="false"/>
                <w:smallCaps w:val="false"/>
                <w:sz w:val="20"/>
              </w:rPr>
              <w:t>(6)</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89" w:name="xdx_F1A_zPX5FpkR4hEj"/>
            <w:bookmarkEnd w:id="189"/>
            <w:r>
              <w:rPr>
                <w:rFonts w:ascii="Times New Roman;Times;Serif" w:hAnsi="Times New Roman;Times;Serif"/>
                <w:b w:val="false"/>
                <w:i w:val="false"/>
                <w:caps w:val="false"/>
                <w:smallCaps w:val="false"/>
                <w:sz w:val="20"/>
              </w:rPr>
              <w:t>Net of issuance costs in the amount of $</w:t>
            </w:r>
            <w:bookmarkStart w:id="190" w:name="xdx_908_eus-gaap--PaymentsOfStockIssuanc"/>
            <w:bookmarkEnd w:id="190"/>
            <w:r>
              <w:rPr>
                <w:rFonts w:ascii="Times New Roman;Times;Serif" w:hAnsi="Times New Roman;Times;Serif"/>
                <w:b w:val="false"/>
                <w:i w:val="false"/>
                <w:caps w:val="false"/>
                <w:smallCaps w:val="false"/>
                <w:sz w:val="20"/>
              </w:rPr>
              <w:t>65.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1" w:name="xdx_F04_z4NcjILvgZv6"/>
            <w:bookmarkEnd w:id="191"/>
            <w:r>
              <w:rPr>
                <w:rFonts w:ascii="Times New Roman;Times;Serif" w:hAnsi="Times New Roman;Times;Serif"/>
                <w:b w:val="false"/>
                <w:i w:val="false"/>
                <w:caps w:val="false"/>
                <w:smallCaps w:val="false"/>
                <w:sz w:val="20"/>
              </w:rPr>
              <w:t>(7)</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2" w:name="xdx_F17_zLTjS0jhtU8c"/>
            <w:bookmarkEnd w:id="192"/>
            <w:r>
              <w:rPr>
                <w:rFonts w:ascii="Times New Roman;Times;Serif" w:hAnsi="Times New Roman;Times;Serif"/>
                <w:b w:val="false"/>
                <w:i w:val="false"/>
                <w:caps w:val="false"/>
                <w:smallCaps w:val="false"/>
                <w:sz w:val="20"/>
              </w:rPr>
              <w:t>Net of issuance costs in the amount of $</w:t>
            </w:r>
            <w:bookmarkStart w:id="193" w:name="xdx_903_eus-gaap--PaymentsOfStockIssuanc"/>
            <w:bookmarkEnd w:id="193"/>
            <w:r>
              <w:rPr>
                <w:rFonts w:ascii="Times New Roman;Times;Serif" w:hAnsi="Times New Roman;Times;Serif"/>
                <w:b w:val="false"/>
                <w:i w:val="false"/>
                <w:caps w:val="false"/>
                <w:smallCaps w:val="false"/>
                <w:sz w:val="20"/>
              </w:rPr>
              <w:t>64.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4" w:name="xdx_F00_zEDWhcK12G86"/>
            <w:bookmarkEnd w:id="194"/>
            <w:r>
              <w:rPr>
                <w:rFonts w:ascii="Times New Roman;Times;Serif" w:hAnsi="Times New Roman;Times;Serif"/>
                <w:b w:val="false"/>
                <w:i w:val="false"/>
                <w:caps w:val="false"/>
                <w:smallCaps w:val="false"/>
                <w:sz w:val="20"/>
              </w:rPr>
              <w:t>(8)</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5" w:name="xdx_F14_zoawS2vQcwXc"/>
            <w:bookmarkEnd w:id="195"/>
            <w:r>
              <w:rPr>
                <w:rFonts w:ascii="Times New Roman;Times;Serif" w:hAnsi="Times New Roman;Times;Serif"/>
                <w:b w:val="false"/>
                <w:i w:val="false"/>
                <w:caps w:val="false"/>
                <w:smallCaps w:val="false"/>
                <w:sz w:val="20"/>
              </w:rPr>
              <w:t>Net of issuance costs in the amount of $</w:t>
            </w:r>
            <w:bookmarkStart w:id="196" w:name="xdx_901_eus-gaap--PaymentsOfStockIssuanc"/>
            <w:bookmarkEnd w:id="196"/>
            <w:r>
              <w:rPr>
                <w:rFonts w:ascii="Times New Roman;Times;Serif" w:hAnsi="Times New Roman;Times;Serif"/>
                <w:b w:val="false"/>
                <w:i w:val="false"/>
                <w:caps w:val="false"/>
                <w:smallCaps w:val="false"/>
                <w:sz w:val="20"/>
              </w:rPr>
              <w:t>340.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7" w:name="xdx_F0D_zvxgbRnI6q8c"/>
            <w:bookmarkEnd w:id="197"/>
            <w:r>
              <w:rPr>
                <w:rFonts w:ascii="Times New Roman;Times;Serif" w:hAnsi="Times New Roman;Times;Serif"/>
                <w:b w:val="false"/>
                <w:i w:val="false"/>
                <w:caps w:val="false"/>
                <w:smallCaps w:val="false"/>
                <w:sz w:val="20"/>
              </w:rPr>
              <w:t>(9)</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8" w:name="xdx_F1B_zbR78J7Yca8i"/>
            <w:bookmarkEnd w:id="198"/>
            <w:r>
              <w:rPr>
                <w:rFonts w:ascii="Times New Roman;Times;Serif" w:hAnsi="Times New Roman;Times;Serif"/>
                <w:b w:val="false"/>
                <w:i w:val="false"/>
                <w:caps w:val="false"/>
                <w:smallCaps w:val="false"/>
                <w:sz w:val="20"/>
              </w:rPr>
              <w:t>Net of issuance costs in the amount of $</w:t>
            </w:r>
            <w:bookmarkStart w:id="199" w:name="xdx_90A_eus-gaap--PaymentsOfStockIssuanc"/>
            <w:bookmarkEnd w:id="199"/>
            <w:r>
              <w:rPr>
                <w:rFonts w:ascii="Times New Roman;Times;Serif" w:hAnsi="Times New Roman;Times;Serif"/>
                <w:b w:val="false"/>
                <w:i w:val="false"/>
                <w:caps w:val="false"/>
                <w:smallCaps w:val="false"/>
                <w:sz w:val="20"/>
              </w:rPr>
              <w:t>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0" w:name="xdx_F0C_zkEuGEUcscne"/>
            <w:bookmarkEnd w:id="200"/>
            <w:r>
              <w:rPr>
                <w:rFonts w:ascii="Times New Roman;Times;Serif" w:hAnsi="Times New Roman;Times;Serif"/>
                <w:b w:val="false"/>
                <w:i w:val="false"/>
                <w:caps w:val="false"/>
                <w:smallCaps w:val="false"/>
                <w:sz w:val="20"/>
              </w:rPr>
              <w:t>(10)</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1" w:name="xdx_F15_zB5AEo71BAjg"/>
            <w:bookmarkEnd w:id="201"/>
            <w:r>
              <w:rPr>
                <w:rFonts w:ascii="Times New Roman;Times;Serif" w:hAnsi="Times New Roman;Times;Serif"/>
                <w:b w:val="false"/>
                <w:i w:val="false"/>
                <w:caps w:val="false"/>
                <w:smallCaps w:val="false"/>
                <w:sz w:val="20"/>
              </w:rPr>
              <w:t>Net of issuance costs in the amount of $</w:t>
            </w:r>
            <w:bookmarkStart w:id="202" w:name="xdx_906_eus-gaap--PaymentsOfStockIssuanc"/>
            <w:bookmarkEnd w:id="202"/>
            <w:r>
              <w:rPr>
                <w:rFonts w:ascii="Times New Roman;Times;Serif" w:hAnsi="Times New Roman;Times;Serif"/>
                <w:b w:val="false"/>
                <w:i w:val="false"/>
                <w:caps w:val="false"/>
                <w:smallCaps w:val="false"/>
                <w:sz w:val="20"/>
              </w:rPr>
              <w:t>1,954.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3" w:name="xdx_F09_z9QthhlMTfBe"/>
            <w:bookmarkEnd w:id="203"/>
            <w:r>
              <w:rPr>
                <w:rFonts w:ascii="Times New Roman;Times;Serif" w:hAnsi="Times New Roman;Times;Serif"/>
                <w:b w:val="false"/>
                <w:i w:val="false"/>
                <w:caps w:val="false"/>
                <w:smallCaps w:val="false"/>
                <w:sz w:val="20"/>
              </w:rPr>
              <w:t>(11)</w:t>
            </w:r>
          </w:p>
        </w:tc>
        <w:tc>
          <w:tcPr>
            <w:tcW w:w="8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4" w:name="xdx_F18_z44iGv5V3YEh"/>
            <w:bookmarkEnd w:id="204"/>
            <w:r>
              <w:rPr>
                <w:rFonts w:ascii="Times New Roman;Times;Serif" w:hAnsi="Times New Roman;Times;Serif"/>
                <w:b w:val="false"/>
                <w:i w:val="false"/>
                <w:caps w:val="false"/>
                <w:smallCaps w:val="false"/>
                <w:sz w:val="20"/>
              </w:rPr>
              <w:t>Net of issuance costs in the amount of $</w:t>
            </w:r>
            <w:bookmarkStart w:id="205" w:name="xdx_90B_eus-gaap--PaymentsOfStockIssuanc"/>
            <w:bookmarkEnd w:id="205"/>
            <w:r>
              <w:rPr>
                <w:rFonts w:ascii="Times New Roman;Times;Serif" w:hAnsi="Times New Roman;Times;Serif"/>
                <w:b w:val="false"/>
                <w:i w:val="false"/>
                <w:caps w:val="false"/>
                <w:smallCaps w:val="false"/>
                <w:sz w:val="20"/>
              </w:rPr>
              <w:t>2,249, of which $</w:t>
            </w:r>
            <w:bookmarkStart w:id="206" w:name="xdx_90D_ecustom--StockIssuanceCostsPayab"/>
            <w:bookmarkEnd w:id="206"/>
            <w:r>
              <w:rPr>
                <w:rFonts w:ascii="Times New Roman;Times;Serif" w:hAnsi="Times New Roman;Times;Serif"/>
                <w:b w:val="false"/>
                <w:i w:val="false"/>
                <w:caps w:val="false"/>
                <w:smallCaps w:val="false"/>
                <w:sz w:val="20"/>
              </w:rPr>
              <w:t>153 had not been paid as of September 30, 2025.</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207" w:name="sk_004"/>
      <w:bookmarkEnd w:id="207"/>
      <w:r>
        <w:rPr>
          <w:rFonts w:ascii="Times New Roman;Times;Serif" w:hAnsi="Times New Roman;Times;Serif"/>
          <w:b/>
          <w:i w:val="false"/>
          <w:caps w:val="false"/>
          <w:smallCaps w:val="false"/>
          <w:sz w:val="20"/>
          <w:u w:val="single"/>
        </w:rPr>
        <w:t>Interim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8" w:name="xdx_30D_112_pn3n3_zttILFCG0sCc"/>
      <w:bookmarkStart w:id="209" w:name="xdx_30D_112_pn3n3_zttILFCG0sCc"/>
      <w:bookmarkEnd w:id="209"/>
    </w:p>
    <w:tbl>
      <w:tblPr>
        <w:tblW w:w="10205" w:type="dxa"/>
        <w:jc w:val="left"/>
        <w:tblInd w:w="0" w:type="dxa"/>
        <w:tblLayout w:type="fixed"/>
        <w:tblCellMar>
          <w:top w:w="0" w:type="dxa"/>
          <w:left w:w="0" w:type="dxa"/>
          <w:bottom w:w="0" w:type="dxa"/>
          <w:right w:w="0" w:type="dxa"/>
        </w:tblCellMar>
      </w:tblPr>
      <w:tblGrid>
        <w:gridCol w:w="6168"/>
        <w:gridCol w:w="60"/>
        <w:gridCol w:w="317"/>
        <w:gridCol w:w="1565"/>
        <w:gridCol w:w="196"/>
        <w:gridCol w:w="123"/>
        <w:gridCol w:w="337"/>
        <w:gridCol w:w="1325"/>
        <w:gridCol w:w="114"/>
      </w:tblGrid>
      <w:tr>
        <w:trPr/>
        <w:tc>
          <w:tcPr>
            <w:tcW w:w="6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 w:name="xdx_49E_20250101__20250930_zhVkt6flLhW"/>
            <w:bookmarkEnd w:id="210"/>
          </w:p>
        </w:tc>
        <w:tc>
          <w:tcPr>
            <w:tcW w:w="18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6"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bookmarkStart w:id="211" w:name="xdx_494_20240101__20240930_zqsOhTYPFvf9"/>
            <w:bookmarkEnd w:id="211"/>
          </w:p>
        </w:tc>
        <w:tc>
          <w:tcPr>
            <w:tcW w:w="16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6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Nine Months Ended September 30,</w:t>
            </w:r>
          </w:p>
        </w:tc>
        <w:tc>
          <w:tcPr>
            <w:tcW w:w="114" w:type="dxa"/>
            <w:tcBorders/>
            <w:vAlign w:val="center"/>
          </w:tcPr>
          <w:p>
            <w:pPr>
              <w:pStyle w:val="TableContents"/>
              <w:bidi w:val="0"/>
              <w:spacing w:before="0" w:after="283"/>
              <w:jc w:val="left"/>
              <w:rPr/>
            </w:pPr>
            <w:r>
              <w:rPr/>
              <w:t> </w:t>
            </w:r>
          </w:p>
        </w:tc>
      </w:tr>
      <w:tr>
        <w:trPr/>
        <w:tc>
          <w:tcPr>
            <w:tcW w:w="6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96"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6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2" w:type="dxa"/>
            <w:gridSpan w:val="2"/>
            <w:tcBorders/>
            <w:vAlign w:val="center"/>
          </w:tcPr>
          <w:p>
            <w:pPr>
              <w:pStyle w:val="TableContents"/>
              <w:bidi w:val="0"/>
              <w:spacing w:before="0" w:after="283"/>
              <w:jc w:val="center"/>
              <w:rPr/>
            </w:pPr>
            <w:r>
              <w:rPr/>
              <w:t>Unaudited</w:t>
            </w:r>
          </w:p>
        </w:tc>
        <w:tc>
          <w:tcPr>
            <w:tcW w:w="196"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62" w:type="dxa"/>
            <w:gridSpan w:val="2"/>
            <w:tcBorders/>
            <w:vAlign w:val="center"/>
          </w:tcPr>
          <w:p>
            <w:pPr>
              <w:pStyle w:val="TableContents"/>
              <w:bidi w:val="0"/>
              <w:spacing w:before="0" w:after="283"/>
              <w:jc w:val="center"/>
              <w:rPr/>
            </w:pPr>
            <w:r>
              <w:rPr/>
              <w:t>Unaudited</w:t>
            </w:r>
          </w:p>
        </w:tc>
        <w:tc>
          <w:tcPr>
            <w:tcW w:w="114" w:type="dxa"/>
            <w:tcBorders/>
            <w:vAlign w:val="center"/>
          </w:tcPr>
          <w:p>
            <w:pPr>
              <w:pStyle w:val="TableContents"/>
              <w:bidi w:val="0"/>
              <w:spacing w:before="0" w:after="283"/>
              <w:jc w:val="left"/>
              <w:rPr/>
            </w:pPr>
            <w:r>
              <w:rPr/>
              <w:t> </w:t>
            </w:r>
            <w:bookmarkStart w:id="212" w:name="xdx_40C_eus-gaap--NetCashProvidedByUsedI"/>
            <w:bookmarkEnd w:id="212"/>
          </w:p>
        </w:tc>
      </w:tr>
      <w:tr>
        <w:trPr/>
        <w:tc>
          <w:tcPr>
            <w:tcW w:w="6168"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3" w:name="xdx_404_eus-gaap--NetIncomeLoss_i01_maCz"/>
            <w:bookmarkEnd w:id="213"/>
          </w:p>
        </w:tc>
      </w:tr>
      <w:tr>
        <w:trPr/>
        <w:tc>
          <w:tcPr>
            <w:tcW w:w="6168"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w:t>
            </w:r>
          </w:p>
        </w:tc>
        <w:tc>
          <w:tcPr>
            <w:tcW w:w="1565" w:type="dxa"/>
            <w:tcBorders/>
            <w:shd w:fill="FFFFFF" w:val="clear"/>
            <w:vAlign w:val="center"/>
          </w:tcPr>
          <w:p>
            <w:pPr>
              <w:pStyle w:val="TableContents"/>
              <w:bidi w:val="0"/>
              <w:spacing w:before="0" w:after="283"/>
              <w:jc w:val="right"/>
              <w:rPr/>
            </w:pPr>
            <w:r>
              <w:rPr/>
              <w:t>(9,678</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1325" w:type="dxa"/>
            <w:tcBorders/>
            <w:shd w:fill="FFFFFF" w:val="clear"/>
            <w:vAlign w:val="center"/>
          </w:tcPr>
          <w:p>
            <w:pPr>
              <w:pStyle w:val="TableContents"/>
              <w:bidi w:val="0"/>
              <w:spacing w:before="0" w:after="283"/>
              <w:jc w:val="right"/>
              <w:rPr/>
            </w:pPr>
            <w:r>
              <w:rPr/>
              <w:t>(8,051</w:t>
            </w:r>
          </w:p>
        </w:tc>
        <w:tc>
          <w:tcPr>
            <w:tcW w:w="114" w:type="dxa"/>
            <w:tcBorders/>
            <w:shd w:fill="FFFFFF" w:val="clear"/>
            <w:vAlign w:val="center"/>
          </w:tcPr>
          <w:p>
            <w:pPr>
              <w:pStyle w:val="TableContents"/>
              <w:bidi w:val="0"/>
              <w:spacing w:before="0" w:after="283"/>
              <w:jc w:val="left"/>
              <w:rPr/>
            </w:pPr>
            <w:r>
              <w:rPr/>
              <w:t>)</w:t>
            </w:r>
            <w:bookmarkStart w:id="214" w:name="xdx_400_eus-gaap--AdjustmentsToReconcile"/>
            <w:bookmarkEnd w:id="214"/>
          </w:p>
        </w:tc>
      </w:tr>
      <w:tr>
        <w:trPr/>
        <w:tc>
          <w:tcPr>
            <w:tcW w:w="6168" w:type="dxa"/>
            <w:tcBorders/>
            <w:shd w:fill="CCEEFF" w:val="clear"/>
            <w:vAlign w:val="center"/>
          </w:tcPr>
          <w:p>
            <w:pPr>
              <w:pStyle w:val="TableContents"/>
              <w:bidi w:val="0"/>
              <w:spacing w:before="0" w:after="283"/>
              <w:jc w:val="left"/>
              <w:rPr>
                <w:i/>
              </w:rPr>
            </w:pPr>
            <w:r>
              <w:rPr>
                <w:i/>
              </w:rPr>
              <w:t>Adjustments to reconcile net loss to 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5" w:name="xdx_406_eus-gaap--DepreciationDepletionA"/>
            <w:bookmarkEnd w:id="215"/>
          </w:p>
        </w:tc>
      </w:tr>
      <w:tr>
        <w:trPr/>
        <w:tc>
          <w:tcPr>
            <w:tcW w:w="6168"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37</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65</w:t>
            </w:r>
          </w:p>
        </w:tc>
        <w:tc>
          <w:tcPr>
            <w:tcW w:w="114" w:type="dxa"/>
            <w:tcBorders/>
            <w:shd w:fill="FFFFFF" w:val="clear"/>
            <w:vAlign w:val="center"/>
          </w:tcPr>
          <w:p>
            <w:pPr>
              <w:pStyle w:val="TableContents"/>
              <w:bidi w:val="0"/>
              <w:spacing w:before="0" w:after="283"/>
              <w:jc w:val="left"/>
              <w:rPr/>
            </w:pPr>
            <w:r>
              <w:rPr/>
              <w:t> </w:t>
            </w:r>
            <w:bookmarkStart w:id="216" w:name="xdx_404_eus-gaap--MarketableSecuritiesUn"/>
            <w:bookmarkEnd w:id="216"/>
          </w:p>
        </w:tc>
      </w:tr>
      <w:tr>
        <w:trPr/>
        <w:tc>
          <w:tcPr>
            <w:tcW w:w="6168" w:type="dxa"/>
            <w:tcBorders/>
            <w:shd w:fill="CCEEFF" w:val="clear"/>
            <w:vAlign w:val="center"/>
          </w:tcPr>
          <w:p>
            <w:pPr>
              <w:pStyle w:val="TableContents"/>
              <w:bidi w:val="0"/>
              <w:spacing w:before="0" w:after="283"/>
              <w:jc w:val="left"/>
              <w:rPr/>
            </w:pPr>
            <w:r>
              <w:rPr/>
              <w:t>Interest income and unrealized gains from marketable securities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(282</w:t>
            </w:r>
          </w:p>
        </w:tc>
        <w:tc>
          <w:tcPr>
            <w:tcW w:w="196"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w:t>
            </w:r>
          </w:p>
        </w:tc>
        <w:tc>
          <w:tcPr>
            <w:tcW w:w="114" w:type="dxa"/>
            <w:tcBorders/>
            <w:shd w:fill="CCEEFF" w:val="clear"/>
            <w:vAlign w:val="center"/>
          </w:tcPr>
          <w:p>
            <w:pPr>
              <w:pStyle w:val="TableContents"/>
              <w:bidi w:val="0"/>
              <w:spacing w:before="0" w:after="283"/>
              <w:jc w:val="left"/>
              <w:rPr/>
            </w:pPr>
            <w:r>
              <w:rPr/>
              <w:t>)</w:t>
            </w:r>
            <w:bookmarkStart w:id="217" w:name="xdx_406_eus-gaap--ShareBasedCompensation"/>
            <w:bookmarkEnd w:id="217"/>
          </w:p>
        </w:tc>
      </w:tr>
      <w:tr>
        <w:trPr/>
        <w:tc>
          <w:tcPr>
            <w:tcW w:w="6168"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821</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1,067</w:t>
            </w:r>
          </w:p>
        </w:tc>
        <w:tc>
          <w:tcPr>
            <w:tcW w:w="114" w:type="dxa"/>
            <w:tcBorders/>
            <w:shd w:fill="FFFFFF" w:val="clear"/>
            <w:vAlign w:val="center"/>
          </w:tcPr>
          <w:p>
            <w:pPr>
              <w:pStyle w:val="TableContents"/>
              <w:bidi w:val="0"/>
              <w:spacing w:before="0" w:after="283"/>
              <w:jc w:val="left"/>
              <w:rPr/>
            </w:pPr>
            <w:r>
              <w:rPr/>
              <w:t> </w:t>
            </w:r>
            <w:bookmarkStart w:id="218" w:name="xdx_408_eus-gaap--IncreaseDecreaseInOper"/>
            <w:bookmarkEnd w:id="218"/>
          </w:p>
        </w:tc>
      </w:tr>
      <w:tr>
        <w:trPr/>
        <w:tc>
          <w:tcPr>
            <w:tcW w:w="6168" w:type="dxa"/>
            <w:tcBorders/>
            <w:shd w:fill="CCEEFF" w:val="clear"/>
            <w:vAlign w:val="center"/>
          </w:tcPr>
          <w:p>
            <w:pPr>
              <w:pStyle w:val="TableContents"/>
              <w:bidi w:val="0"/>
              <w:spacing w:before="0" w:after="283"/>
              <w:jc w:val="left"/>
              <w:rPr>
                <w:i/>
              </w:rPr>
            </w:pPr>
            <w:r>
              <w:rPr>
                <w:i/>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19" w:name="xdx_403_eus-gaap--IncreaseDecreaseInPrep"/>
            <w:bookmarkEnd w:id="219"/>
          </w:p>
        </w:tc>
      </w:tr>
      <w:tr>
        <w:trPr/>
        <w:tc>
          <w:tcPr>
            <w:tcW w:w="6168"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(175</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(274</w:t>
            </w:r>
          </w:p>
        </w:tc>
        <w:tc>
          <w:tcPr>
            <w:tcW w:w="114" w:type="dxa"/>
            <w:tcBorders/>
            <w:shd w:fill="FFFFFF" w:val="clear"/>
            <w:vAlign w:val="center"/>
          </w:tcPr>
          <w:p>
            <w:pPr>
              <w:pStyle w:val="TableContents"/>
              <w:bidi w:val="0"/>
              <w:spacing w:before="0" w:after="283"/>
              <w:jc w:val="left"/>
              <w:rPr/>
            </w:pPr>
            <w:r>
              <w:rPr/>
              <w:t>)</w:t>
            </w:r>
            <w:bookmarkStart w:id="220" w:name="xdx_403_eus-gaap--IncreaseDecreaseInOthe"/>
            <w:bookmarkEnd w:id="220"/>
          </w:p>
        </w:tc>
      </w:tr>
      <w:tr>
        <w:trPr/>
        <w:tc>
          <w:tcPr>
            <w:tcW w:w="6168" w:type="dxa"/>
            <w:tcBorders/>
            <w:shd w:fill="CCEEFF" w:val="clear"/>
            <w:vAlign w:val="center"/>
          </w:tcPr>
          <w:p>
            <w:pPr>
              <w:pStyle w:val="TableContents"/>
              <w:bidi w:val="0"/>
              <w:spacing w:before="0" w:after="283"/>
              <w:jc w:val="left"/>
              <w:rPr/>
            </w:pPr>
            <w:r>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(11</w:t>
            </w:r>
          </w:p>
        </w:tc>
        <w:tc>
          <w:tcPr>
            <w:tcW w:w="196"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(176</w:t>
            </w:r>
          </w:p>
        </w:tc>
        <w:tc>
          <w:tcPr>
            <w:tcW w:w="114" w:type="dxa"/>
            <w:tcBorders/>
            <w:shd w:fill="CCEEFF" w:val="clear"/>
            <w:vAlign w:val="center"/>
          </w:tcPr>
          <w:p>
            <w:pPr>
              <w:pStyle w:val="TableContents"/>
              <w:bidi w:val="0"/>
              <w:spacing w:before="0" w:after="283"/>
              <w:jc w:val="left"/>
              <w:rPr/>
            </w:pPr>
            <w:r>
              <w:rPr/>
              <w:t>)</w:t>
            </w:r>
            <w:bookmarkStart w:id="221" w:name="xdx_406_ecustom--IncreaseDecreaseInLegal"/>
            <w:bookmarkEnd w:id="221"/>
          </w:p>
        </w:tc>
      </w:tr>
      <w:tr>
        <w:trPr/>
        <w:tc>
          <w:tcPr>
            <w:tcW w:w="6168" w:type="dxa"/>
            <w:tcBorders/>
            <w:shd w:fill="FFFFFF" w:val="clear"/>
            <w:vAlign w:val="center"/>
          </w:tcPr>
          <w:p>
            <w:pPr>
              <w:pStyle w:val="TableContents"/>
              <w:bidi w:val="0"/>
              <w:spacing w:before="0" w:after="283"/>
              <w:jc w:val="left"/>
              <w:rPr/>
            </w:pPr>
            <w:r>
              <w:rPr/>
              <w:t>Insurance recovery related to legal settlement and legal expenses received in cash</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1,335</w:t>
            </w:r>
          </w:p>
        </w:tc>
        <w:tc>
          <w:tcPr>
            <w:tcW w:w="114" w:type="dxa"/>
            <w:tcBorders/>
            <w:shd w:fill="FFFFFF" w:val="clear"/>
            <w:vAlign w:val="center"/>
          </w:tcPr>
          <w:p>
            <w:pPr>
              <w:pStyle w:val="TableContents"/>
              <w:bidi w:val="0"/>
              <w:spacing w:before="0" w:after="283"/>
              <w:jc w:val="left"/>
              <w:rPr/>
            </w:pPr>
            <w:r>
              <w:rPr/>
              <w:t> </w:t>
            </w:r>
            <w:bookmarkStart w:id="222" w:name="xdx_404_ecustom--IncreaseDecreaseInLegal"/>
            <w:bookmarkEnd w:id="222"/>
          </w:p>
        </w:tc>
      </w:tr>
      <w:tr>
        <w:trPr/>
        <w:tc>
          <w:tcPr>
            <w:tcW w:w="6168" w:type="dxa"/>
            <w:tcBorders/>
            <w:shd w:fill="CCEEFF" w:val="clear"/>
            <w:vAlign w:val="center"/>
          </w:tcPr>
          <w:p>
            <w:pPr>
              <w:pStyle w:val="TableContents"/>
              <w:bidi w:val="0"/>
              <w:spacing w:before="0" w:after="283"/>
              <w:jc w:val="left"/>
              <w:rPr/>
            </w:pPr>
            <w:r>
              <w:rPr/>
              <w:t>Legal settlement paid in cash</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(1,100</w:t>
            </w:r>
          </w:p>
        </w:tc>
        <w:tc>
          <w:tcPr>
            <w:tcW w:w="114" w:type="dxa"/>
            <w:tcBorders/>
            <w:shd w:fill="CCEEFF" w:val="clear"/>
            <w:vAlign w:val="center"/>
          </w:tcPr>
          <w:p>
            <w:pPr>
              <w:pStyle w:val="TableContents"/>
              <w:bidi w:val="0"/>
              <w:spacing w:before="0" w:after="283"/>
              <w:jc w:val="left"/>
              <w:rPr/>
            </w:pPr>
            <w:r>
              <w:rPr/>
              <w:t>)</w:t>
            </w:r>
            <w:bookmarkStart w:id="223" w:name="xdx_40C_eus-gaap--NetCashProvidedByUsedI"/>
            <w:bookmarkEnd w:id="223"/>
          </w:p>
        </w:tc>
      </w:tr>
      <w:tr>
        <w:trPr/>
        <w:tc>
          <w:tcPr>
            <w:tcW w:w="6168" w:type="dxa"/>
            <w:tcBorders/>
            <w:shd w:fill="FFFFFF" w:val="clear"/>
            <w:vAlign w:val="center"/>
          </w:tcPr>
          <w:p>
            <w:pPr>
              <w:pStyle w:val="TableContents"/>
              <w:bidi w:val="0"/>
              <w:spacing w:before="0" w:after="283"/>
              <w:jc w:val="left"/>
              <w:rPr/>
            </w:pPr>
            <w:r>
              <w:rPr/>
              <w:t>Net cash flows used in operating activities</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pPr>
            <w:r>
              <w:rPr/>
              <w:t>(9,288</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(7,136</w:t>
            </w:r>
          </w:p>
        </w:tc>
        <w:tc>
          <w:tcPr>
            <w:tcW w:w="114" w:type="dxa"/>
            <w:tcBorders/>
            <w:shd w:fill="FFFFFF" w:val="clear"/>
            <w:vAlign w:val="center"/>
          </w:tcPr>
          <w:p>
            <w:pPr>
              <w:pStyle w:val="TableContents"/>
              <w:bidi w:val="0"/>
              <w:spacing w:before="0" w:after="283"/>
              <w:jc w:val="left"/>
              <w:rPr/>
            </w:pPr>
            <w:r>
              <w:rPr/>
              <w:t>)</w:t>
            </w:r>
          </w:p>
        </w:tc>
      </w:tr>
      <w:tr>
        <w:trPr/>
        <w:tc>
          <w:tcPr>
            <w:tcW w:w="6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24" w:name="xdx_40B_eus-gaap--NetCashProvidedByUsedI"/>
            <w:bookmarkEnd w:id="224"/>
          </w:p>
        </w:tc>
      </w:tr>
      <w:tr>
        <w:trPr/>
        <w:tc>
          <w:tcPr>
            <w:tcW w:w="6168" w:type="dxa"/>
            <w:tcBorders/>
            <w:shd w:fill="FFFFFF" w:val="clear"/>
            <w:vAlign w:val="center"/>
          </w:tcPr>
          <w:p>
            <w:pPr>
              <w:pStyle w:val="TableContents"/>
              <w:bidi w:val="0"/>
              <w:spacing w:before="0" w:after="283"/>
              <w:jc w:val="left"/>
              <w:rPr/>
            </w:pPr>
            <w:r>
              <w:rPr/>
              <w:t>Investing activities: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25" w:name="xdx_407_eus-gaap--PaymentsToAcquirePrope"/>
            <w:bookmarkEnd w:id="225"/>
          </w:p>
        </w:tc>
      </w:tr>
      <w:tr>
        <w:trPr/>
        <w:tc>
          <w:tcPr>
            <w:tcW w:w="6168"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(35</w:t>
            </w:r>
          </w:p>
        </w:tc>
        <w:tc>
          <w:tcPr>
            <w:tcW w:w="196"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w:t>
            </w:r>
          </w:p>
        </w:tc>
        <w:tc>
          <w:tcPr>
            <w:tcW w:w="114" w:type="dxa"/>
            <w:tcBorders/>
            <w:shd w:fill="CCEEFF" w:val="clear"/>
            <w:vAlign w:val="center"/>
          </w:tcPr>
          <w:p>
            <w:pPr>
              <w:pStyle w:val="TableContents"/>
              <w:bidi w:val="0"/>
              <w:spacing w:before="0" w:after="283"/>
              <w:jc w:val="left"/>
              <w:rPr/>
            </w:pPr>
            <w:r>
              <w:rPr/>
              <w:t>)</w:t>
            </w:r>
            <w:bookmarkStart w:id="226" w:name="xdx_40E_eus-gaap--PaymentsToAcquireHeldT"/>
            <w:bookmarkEnd w:id="226"/>
          </w:p>
        </w:tc>
      </w:tr>
      <w:tr>
        <w:trPr/>
        <w:tc>
          <w:tcPr>
            <w:tcW w:w="6168" w:type="dxa"/>
            <w:tcBorders/>
            <w:shd w:fill="FFFFFF" w:val="clear"/>
            <w:vAlign w:val="center"/>
          </w:tcPr>
          <w:p>
            <w:pPr>
              <w:pStyle w:val="TableContents"/>
              <w:bidi w:val="0"/>
              <w:spacing w:before="0" w:after="283"/>
              <w:jc w:val="left"/>
              <w:rPr/>
            </w:pPr>
            <w:r>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(79,918</w:t>
            </w:r>
          </w:p>
        </w:tc>
        <w:tc>
          <w:tcPr>
            <w:tcW w:w="196"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(5,120</w:t>
            </w:r>
          </w:p>
        </w:tc>
        <w:tc>
          <w:tcPr>
            <w:tcW w:w="114" w:type="dxa"/>
            <w:tcBorders/>
            <w:shd w:fill="FFFFFF" w:val="clear"/>
            <w:vAlign w:val="center"/>
          </w:tcPr>
          <w:p>
            <w:pPr>
              <w:pStyle w:val="TableContents"/>
              <w:bidi w:val="0"/>
              <w:spacing w:before="0" w:after="283"/>
              <w:jc w:val="left"/>
              <w:rPr/>
            </w:pPr>
            <w:r>
              <w:rPr/>
              <w:t>)</w:t>
            </w:r>
            <w:bookmarkStart w:id="227" w:name="xdx_40B_eus-gaap--ProceedsFromSaleAndMat"/>
            <w:bookmarkEnd w:id="227"/>
          </w:p>
        </w:tc>
      </w:tr>
      <w:tr>
        <w:trPr/>
        <w:tc>
          <w:tcPr>
            <w:tcW w:w="6168" w:type="dxa"/>
            <w:tcBorders/>
            <w:shd w:fill="CCEEFF" w:val="clear"/>
            <w:vAlign w:val="center"/>
          </w:tcPr>
          <w:p>
            <w:pPr>
              <w:pStyle w:val="TableContents"/>
              <w:bidi w:val="0"/>
              <w:spacing w:before="0" w:after="283"/>
              <w:jc w:val="left"/>
              <w:rPr/>
            </w:pPr>
            <w:r>
              <w:rPr/>
              <w:t>Proceeds from sales of marketable securities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9,102</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2,680</w:t>
            </w:r>
          </w:p>
        </w:tc>
        <w:tc>
          <w:tcPr>
            <w:tcW w:w="114" w:type="dxa"/>
            <w:tcBorders/>
            <w:shd w:fill="CCEEFF" w:val="clear"/>
            <w:vAlign w:val="center"/>
          </w:tcPr>
          <w:p>
            <w:pPr>
              <w:pStyle w:val="TableContents"/>
              <w:bidi w:val="0"/>
              <w:spacing w:before="0" w:after="283"/>
              <w:jc w:val="left"/>
              <w:rPr/>
            </w:pPr>
            <w:r>
              <w:rPr/>
              <w:t> </w:t>
            </w:r>
            <w:bookmarkStart w:id="228" w:name="xdx_40B_eus-gaap--ProceedsFromSaleAndMat"/>
            <w:bookmarkEnd w:id="228"/>
          </w:p>
        </w:tc>
      </w:tr>
      <w:tr>
        <w:trPr/>
        <w:tc>
          <w:tcPr>
            <w:tcW w:w="6168" w:type="dxa"/>
            <w:tcBorders/>
            <w:shd w:fill="FFFFFF" w:val="clear"/>
            <w:vAlign w:val="center"/>
          </w:tcPr>
          <w:p>
            <w:pPr>
              <w:pStyle w:val="TableContents"/>
              <w:bidi w:val="0"/>
              <w:spacing w:before="0" w:after="283"/>
              <w:jc w:val="left"/>
              <w:rPr/>
            </w:pPr>
            <w:r>
              <w:rPr/>
              <w:t>Proceeds from maturities of marketable securities</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2,500</w:t>
            </w:r>
          </w:p>
        </w:tc>
        <w:tc>
          <w:tcPr>
            <w:tcW w:w="114" w:type="dxa"/>
            <w:tcBorders/>
            <w:shd w:fill="FFFFFF" w:val="clear"/>
            <w:vAlign w:val="center"/>
          </w:tcPr>
          <w:p>
            <w:pPr>
              <w:pStyle w:val="TableContents"/>
              <w:bidi w:val="0"/>
              <w:spacing w:before="0" w:after="283"/>
              <w:jc w:val="left"/>
              <w:rPr/>
            </w:pPr>
            <w:r>
              <w:rPr/>
              <w:t> </w:t>
            </w:r>
            <w:bookmarkStart w:id="229" w:name="xdx_402_eus-gaap--NetCashProvidedByUsedI"/>
            <w:bookmarkEnd w:id="229"/>
          </w:p>
        </w:tc>
      </w:tr>
      <w:tr>
        <w:trPr/>
        <w:tc>
          <w:tcPr>
            <w:tcW w:w="6168" w:type="dxa"/>
            <w:tcBorders/>
            <w:shd w:fill="CCEEFF" w:val="clear"/>
            <w:vAlign w:val="center"/>
          </w:tcPr>
          <w:p>
            <w:pPr>
              <w:pStyle w:val="TableContents"/>
              <w:bidi w:val="0"/>
              <w:spacing w:before="0" w:after="283"/>
              <w:jc w:val="left"/>
              <w:rPr/>
            </w:pPr>
            <w:r>
              <w:rPr/>
              <w:t>Net cash flows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(70,851</w:t>
            </w:r>
          </w:p>
        </w:tc>
        <w:tc>
          <w:tcPr>
            <w:tcW w:w="196" w:type="dxa"/>
            <w:tcBorders/>
            <w:shd w:fill="CCEEFF" w:val="clear"/>
            <w:vAlign w:val="center"/>
          </w:tcPr>
          <w:p>
            <w:pPr>
              <w:pStyle w:val="TableContents"/>
              <w:bidi w:val="0"/>
              <w:spacing w:before="0" w:after="283"/>
              <w:jc w:val="left"/>
              <w:rPr/>
            </w:pPr>
            <w:r>
              <w:rPr/>
              <w:t>)</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42</w:t>
            </w:r>
          </w:p>
        </w:tc>
        <w:tc>
          <w:tcPr>
            <w:tcW w:w="114" w:type="dxa"/>
            <w:tcBorders/>
            <w:shd w:fill="CCEEFF" w:val="clear"/>
            <w:vAlign w:val="center"/>
          </w:tcPr>
          <w:p>
            <w:pPr>
              <w:pStyle w:val="TableContents"/>
              <w:bidi w:val="0"/>
              <w:spacing w:before="0" w:after="283"/>
              <w:jc w:val="left"/>
              <w:rPr/>
            </w:pPr>
            <w:r>
              <w:rPr/>
              <w:t> </w:t>
            </w:r>
          </w:p>
        </w:tc>
      </w:tr>
      <w:tr>
        <w:trPr/>
        <w:tc>
          <w:tcPr>
            <w:tcW w:w="6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0" w:name="xdx_409_eus-gaap--NetCashProvidedByUsedI"/>
            <w:bookmarkEnd w:id="230"/>
          </w:p>
        </w:tc>
      </w:tr>
      <w:tr>
        <w:trPr/>
        <w:tc>
          <w:tcPr>
            <w:tcW w:w="6168"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31" w:name="xdx_405_ecustom--ProceedsFromIssuanceOfC"/>
            <w:bookmarkEnd w:id="231"/>
          </w:p>
        </w:tc>
      </w:tr>
      <w:tr>
        <w:trPr/>
        <w:tc>
          <w:tcPr>
            <w:tcW w:w="6168" w:type="dxa"/>
            <w:tcBorders/>
            <w:shd w:fill="FFFFFF" w:val="clear"/>
            <w:vAlign w:val="center"/>
          </w:tcPr>
          <w:p>
            <w:pPr>
              <w:pStyle w:val="TableContents"/>
              <w:bidi w:val="0"/>
              <w:spacing w:before="0" w:after="283"/>
              <w:jc w:val="left"/>
              <w:rPr/>
            </w:pPr>
            <w:r>
              <w:rPr/>
              <w:t>Issuance of common stock and warrants, net</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83,733</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5,104</w:t>
            </w:r>
          </w:p>
        </w:tc>
        <w:tc>
          <w:tcPr>
            <w:tcW w:w="114" w:type="dxa"/>
            <w:tcBorders/>
            <w:shd w:fill="FFFFFF" w:val="clear"/>
            <w:vAlign w:val="center"/>
          </w:tcPr>
          <w:p>
            <w:pPr>
              <w:pStyle w:val="TableContents"/>
              <w:bidi w:val="0"/>
              <w:spacing w:before="0" w:after="283"/>
              <w:jc w:val="left"/>
              <w:rPr/>
            </w:pPr>
            <w:r>
              <w:rPr/>
              <w:t> </w:t>
            </w:r>
            <w:bookmarkStart w:id="232" w:name="xdx_40D_eus-gaap--ProceedsFromStockOptio"/>
            <w:bookmarkEnd w:id="232"/>
          </w:p>
        </w:tc>
      </w:tr>
      <w:tr>
        <w:trPr/>
        <w:tc>
          <w:tcPr>
            <w:tcW w:w="6168" w:type="dxa"/>
            <w:tcBorders/>
            <w:shd w:fill="CCEEFF" w:val="clear"/>
            <w:vAlign w:val="center"/>
          </w:tcPr>
          <w:p>
            <w:pPr>
              <w:pStyle w:val="TableContents"/>
              <w:bidi w:val="0"/>
              <w:spacing w:before="0" w:after="283"/>
              <w:jc w:val="left"/>
              <w:rPr/>
            </w:pPr>
            <w:r>
              <w:rPr/>
              <w:t>Exercise of options</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233" w:name="xdx_402_eus-gaap--NetCashProvidedByUsedI"/>
            <w:bookmarkEnd w:id="233"/>
          </w:p>
        </w:tc>
      </w:tr>
      <w:tr>
        <w:trPr/>
        <w:tc>
          <w:tcPr>
            <w:tcW w:w="6168" w:type="dxa"/>
            <w:tcBorders/>
            <w:shd w:fill="FFFFFF" w:val="clear"/>
            <w:vAlign w:val="center"/>
          </w:tcPr>
          <w:p>
            <w:pPr>
              <w:pStyle w:val="TableContents"/>
              <w:bidi w:val="0"/>
              <w:spacing w:before="0" w:after="283"/>
              <w:jc w:val="left"/>
              <w:rPr/>
            </w:pPr>
            <w:r>
              <w:rPr/>
              <w:t>Net cash flows provided by financing activities</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FFFFFF" w:val="clear"/>
            <w:tcMar>
              <w:bottom w:w="28" w:type="dxa"/>
            </w:tcMar>
            <w:vAlign w:val="center"/>
          </w:tcPr>
          <w:p>
            <w:pPr>
              <w:pStyle w:val="TableContents"/>
              <w:bidi w:val="0"/>
              <w:spacing w:before="0" w:after="283"/>
              <w:jc w:val="right"/>
              <w:rPr/>
            </w:pPr>
            <w:r>
              <w:rPr/>
              <w:t>83,734</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5,104</w:t>
            </w:r>
          </w:p>
        </w:tc>
        <w:tc>
          <w:tcPr>
            <w:tcW w:w="114" w:type="dxa"/>
            <w:tcBorders/>
            <w:shd w:fill="FFFFFF" w:val="clear"/>
            <w:vAlign w:val="center"/>
          </w:tcPr>
          <w:p>
            <w:pPr>
              <w:pStyle w:val="TableContents"/>
              <w:bidi w:val="0"/>
              <w:spacing w:before="0" w:after="283"/>
              <w:jc w:val="left"/>
              <w:rPr/>
            </w:pPr>
            <w:r>
              <w:rPr/>
              <w:t> </w:t>
            </w:r>
          </w:p>
        </w:tc>
      </w:tr>
      <w:tr>
        <w:trPr/>
        <w:tc>
          <w:tcPr>
            <w:tcW w:w="6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34" w:name="xdx_409_eus-gaap--CashCashEquivalentsRes"/>
            <w:bookmarkEnd w:id="234"/>
          </w:p>
        </w:tc>
      </w:tr>
      <w:tr>
        <w:trPr/>
        <w:tc>
          <w:tcPr>
            <w:tcW w:w="6168" w:type="dxa"/>
            <w:tcBorders/>
            <w:shd w:fill="FFFFFF" w:val="clear"/>
            <w:vAlign w:val="center"/>
          </w:tcPr>
          <w:p>
            <w:pPr>
              <w:pStyle w:val="TableContents"/>
              <w:bidi w:val="0"/>
              <w:spacing w:before="0" w:after="283"/>
              <w:jc w:val="left"/>
              <w:rPr/>
            </w:pPr>
            <w:r>
              <w:rPr/>
              <w:t>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3,595</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(1,990</w:t>
            </w:r>
          </w:p>
        </w:tc>
        <w:tc>
          <w:tcPr>
            <w:tcW w:w="114" w:type="dxa"/>
            <w:tcBorders/>
            <w:shd w:fill="FFFFFF" w:val="clear"/>
            <w:vAlign w:val="center"/>
          </w:tcPr>
          <w:p>
            <w:pPr>
              <w:pStyle w:val="TableContents"/>
              <w:bidi w:val="0"/>
              <w:spacing w:before="0" w:after="283"/>
              <w:jc w:val="left"/>
              <w:rPr/>
            </w:pPr>
            <w:r>
              <w:rPr/>
              <w:t>)</w:t>
            </w:r>
            <w:bookmarkStart w:id="235" w:name="xdx_409_eus-gaap--CashCashEquivalentsRes"/>
            <w:bookmarkEnd w:id="235"/>
          </w:p>
        </w:tc>
      </w:tr>
      <w:tr>
        <w:trPr/>
        <w:tc>
          <w:tcPr>
            <w:tcW w:w="6168"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3,163</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2,517</w:t>
            </w:r>
          </w:p>
        </w:tc>
        <w:tc>
          <w:tcPr>
            <w:tcW w:w="114" w:type="dxa"/>
            <w:tcBorders/>
            <w:shd w:fill="CCEEFF" w:val="clear"/>
            <w:vAlign w:val="center"/>
          </w:tcPr>
          <w:p>
            <w:pPr>
              <w:pStyle w:val="TableContents"/>
              <w:bidi w:val="0"/>
              <w:spacing w:before="0" w:after="283"/>
              <w:jc w:val="left"/>
              <w:rPr/>
            </w:pPr>
            <w:r>
              <w:rPr/>
              <w:t> </w:t>
            </w:r>
            <w:bookmarkStart w:id="236" w:name="xdx_409_eus-gaap--CashCashEquivalentsRes"/>
            <w:bookmarkEnd w:id="236"/>
          </w:p>
        </w:tc>
      </w:tr>
      <w:tr>
        <w:trPr/>
        <w:tc>
          <w:tcPr>
            <w:tcW w:w="6168"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6,758</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527</w:t>
            </w:r>
          </w:p>
        </w:tc>
        <w:tc>
          <w:tcPr>
            <w:tcW w:w="114" w:type="dxa"/>
            <w:tcBorders/>
            <w:shd w:fill="FFFFFF" w:val="clear"/>
            <w:vAlign w:val="center"/>
          </w:tcPr>
          <w:p>
            <w:pPr>
              <w:pStyle w:val="TableContents"/>
              <w:bidi w:val="0"/>
              <w:spacing w:before="0" w:after="283"/>
              <w:jc w:val="left"/>
              <w:rPr/>
            </w:pPr>
            <w:r>
              <w:rPr/>
              <w:t> </w:t>
            </w:r>
          </w:p>
        </w:tc>
      </w:tr>
      <w:tr>
        <w:trPr/>
        <w:tc>
          <w:tcPr>
            <w:tcW w:w="61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37" w:name="xdx_404_eus-gaap--CashFlowNoncashInvesti"/>
            <w:bookmarkEnd w:id="237"/>
          </w:p>
        </w:tc>
      </w:tr>
      <w:tr>
        <w:trPr/>
        <w:tc>
          <w:tcPr>
            <w:tcW w:w="6168" w:type="dxa"/>
            <w:tcBorders/>
            <w:shd w:fill="FFFFFF" w:val="clear"/>
            <w:vAlign w:val="center"/>
          </w:tcPr>
          <w:p>
            <w:pPr>
              <w:pStyle w:val="TableContents"/>
              <w:bidi w:val="0"/>
              <w:spacing w:before="0" w:after="283"/>
              <w:jc w:val="left"/>
              <w:rPr>
                <w:u w:val="single"/>
              </w:rPr>
            </w:pPr>
            <w:r>
              <w:rPr>
                <w:u w:val="single"/>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38" w:name="xdx_40B_eus-gaap--RightOfUseAssetObtaine"/>
            <w:bookmarkEnd w:id="238"/>
          </w:p>
        </w:tc>
      </w:tr>
      <w:tr>
        <w:trPr/>
        <w:tc>
          <w:tcPr>
            <w:tcW w:w="6168" w:type="dxa"/>
            <w:tcBorders/>
            <w:shd w:fill="CCEEFF" w:val="clear"/>
            <w:vAlign w:val="center"/>
          </w:tcPr>
          <w:p>
            <w:pPr>
              <w:pStyle w:val="TableContents"/>
              <w:bidi w:val="0"/>
              <w:spacing w:before="0" w:after="283"/>
              <w:jc w:val="left"/>
              <w:rPr/>
            </w:pPr>
            <w:r>
              <w:rPr/>
              <w:t>Right-of-use assets obtained in exchange for lease liabilities</w:t>
            </w:r>
          </w:p>
        </w:tc>
        <w:tc>
          <w:tcPr>
            <w:tcW w:w="60"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CCEEFF" w:val="clear"/>
            <w:tcMar>
              <w:bottom w:w="28" w:type="dxa"/>
            </w:tcMar>
            <w:vAlign w:val="center"/>
          </w:tcPr>
          <w:p>
            <w:pPr>
              <w:pStyle w:val="TableContents"/>
              <w:bidi w:val="0"/>
              <w:spacing w:before="0" w:after="283"/>
              <w:jc w:val="right"/>
              <w:rPr/>
            </w:pPr>
            <w:r>
              <w:rPr/>
              <w:t>893</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pPr>
            <w:r>
              <w:rPr/>
              <w:t>37</w:t>
            </w:r>
          </w:p>
        </w:tc>
        <w:tc>
          <w:tcPr>
            <w:tcW w:w="114" w:type="dxa"/>
            <w:tcBorders/>
            <w:shd w:fill="CCEEFF" w:val="clear"/>
            <w:vAlign w:val="center"/>
          </w:tcPr>
          <w:p>
            <w:pPr>
              <w:pStyle w:val="TableContents"/>
              <w:bidi w:val="0"/>
              <w:spacing w:before="0" w:after="283"/>
              <w:jc w:val="left"/>
              <w:rPr/>
            </w:pPr>
            <w:r>
              <w:rPr/>
              <w:t> </w:t>
            </w:r>
            <w:bookmarkStart w:id="239" w:name="xdx_407_ecustom--IssuanceExpensesNotPaid"/>
            <w:bookmarkEnd w:id="239"/>
          </w:p>
        </w:tc>
      </w:tr>
      <w:tr>
        <w:trPr/>
        <w:tc>
          <w:tcPr>
            <w:tcW w:w="6168" w:type="dxa"/>
            <w:tcBorders/>
            <w:shd w:fill="FFFFFF" w:val="clear"/>
            <w:vAlign w:val="center"/>
          </w:tcPr>
          <w:p>
            <w:pPr>
              <w:pStyle w:val="TableContents"/>
              <w:bidi w:val="0"/>
              <w:spacing w:before="0" w:after="283"/>
              <w:jc w:val="left"/>
              <w:rPr/>
            </w:pPr>
            <w:r>
              <w:rPr/>
              <w:t>Issuance expenses not paid</w:t>
            </w:r>
          </w:p>
        </w:tc>
        <w:tc>
          <w:tcPr>
            <w:tcW w:w="60"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153</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240" w:name="xdx_402_eus-gaap--StockIssued1_i01_zj782"/>
            <w:bookmarkEnd w:id="240"/>
          </w:p>
        </w:tc>
      </w:tr>
      <w:tr>
        <w:trPr/>
        <w:tc>
          <w:tcPr>
            <w:tcW w:w="6168" w:type="dxa"/>
            <w:tcBorders/>
            <w:shd w:fill="CCEEFF" w:val="clear"/>
            <w:vAlign w:val="center"/>
          </w:tcPr>
          <w:p>
            <w:pPr>
              <w:pStyle w:val="TableContents"/>
              <w:bidi w:val="0"/>
              <w:spacing w:before="0" w:after="283"/>
              <w:jc w:val="left"/>
              <w:rPr/>
            </w:pPr>
            <w:r>
              <w:rPr/>
              <w:t>Legal settlement settled through issuance of common stock</w:t>
            </w:r>
          </w:p>
        </w:tc>
        <w:tc>
          <w:tcPr>
            <w:tcW w:w="60"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pPr>
            <w:r>
              <w:rPr/>
              <w:t>1,111</w:t>
            </w:r>
          </w:p>
        </w:tc>
        <w:tc>
          <w:tcPr>
            <w:tcW w:w="114" w:type="dxa"/>
            <w:tcBorders/>
            <w:shd w:fill="CCEEFF" w:val="clear"/>
            <w:vAlign w:val="center"/>
          </w:tcPr>
          <w:p>
            <w:pPr>
              <w:pStyle w:val="TableContents"/>
              <w:bidi w:val="0"/>
              <w:spacing w:before="0" w:after="283"/>
              <w:jc w:val="left"/>
              <w:rPr/>
            </w:pPr>
            <w:r>
              <w:rPr/>
              <w:t> </w:t>
            </w:r>
            <w:bookmarkStart w:id="241" w:name="xdx_403_ecustom--AccruedBonusSettledThro"/>
            <w:bookmarkEnd w:id="241"/>
          </w:p>
        </w:tc>
      </w:tr>
      <w:tr>
        <w:trPr/>
        <w:tc>
          <w:tcPr>
            <w:tcW w:w="6168" w:type="dxa"/>
            <w:tcBorders/>
            <w:shd w:fill="FFFFFF" w:val="clear"/>
            <w:vAlign w:val="center"/>
          </w:tcPr>
          <w:p>
            <w:pPr>
              <w:pStyle w:val="TableContents"/>
              <w:bidi w:val="0"/>
              <w:spacing w:before="0" w:after="283"/>
              <w:jc w:val="left"/>
              <w:rPr/>
            </w:pPr>
            <w:r>
              <w:rPr/>
              <w:t>Accrued bonus settled through grant of stock-option awards</w:t>
            </w:r>
          </w:p>
        </w:tc>
        <w:tc>
          <w:tcPr>
            <w:tcW w:w="60"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76</w:t>
            </w:r>
          </w:p>
        </w:tc>
        <w:tc>
          <w:tcPr>
            <w:tcW w:w="114" w:type="dxa"/>
            <w:tcBorders/>
            <w:shd w:fill="FFFFFF" w:val="clear"/>
            <w:vAlign w:val="center"/>
          </w:tcPr>
          <w:p>
            <w:pPr>
              <w:pStyle w:val="TableContents"/>
              <w:bidi w:val="0"/>
              <w:spacing w:before="0" w:after="283"/>
              <w:jc w:val="left"/>
              <w:rPr/>
            </w:pPr>
            <w:r>
              <w:rPr/>
              <w:t> </w:t>
            </w:r>
            <w:bookmarkStart w:id="242" w:name="xdx_401_ecustom--DeferredIssuanceExpense"/>
            <w:bookmarkEnd w:id="242"/>
          </w:p>
        </w:tc>
      </w:tr>
      <w:tr>
        <w:trPr/>
        <w:tc>
          <w:tcPr>
            <w:tcW w:w="6168" w:type="dxa"/>
            <w:tcBorders/>
            <w:shd w:fill="CCEEFF" w:val="clear"/>
            <w:vAlign w:val="center"/>
          </w:tcPr>
          <w:p>
            <w:pPr>
              <w:pStyle w:val="TableContents"/>
              <w:bidi w:val="0"/>
              <w:spacing w:before="0" w:after="283"/>
              <w:jc w:val="left"/>
              <w:rPr/>
            </w:pPr>
            <w:r>
              <w:rPr/>
              <w:t>Deferred issuance expenses</w:t>
            </w:r>
          </w:p>
        </w:tc>
        <w:tc>
          <w:tcPr>
            <w:tcW w:w="60" w:type="dxa"/>
            <w:tcBorders/>
            <w:shd w:fill="CCEEFF" w:val="clear"/>
            <w:vAlign w:val="center"/>
          </w:tcPr>
          <w:p>
            <w:pPr>
              <w:pStyle w:val="TableContents"/>
              <w:bidi w:val="0"/>
              <w:spacing w:before="0" w:after="283"/>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CCEEFF" w:val="clear"/>
            <w:tcMar>
              <w:bottom w:w="28" w:type="dxa"/>
            </w:tcMar>
            <w:vAlign w:val="center"/>
          </w:tcPr>
          <w:p>
            <w:pPr>
              <w:pStyle w:val="TableContents"/>
              <w:bidi w:val="0"/>
              <w:spacing w:before="0" w:after="283"/>
              <w:jc w:val="right"/>
              <w:rPr/>
            </w:pPr>
            <w:r>
              <w:rPr/>
              <w:t>30</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6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243" w:name="xdx_408_eus-gaap--SupplementalCashFlowIn"/>
            <w:bookmarkEnd w:id="243"/>
          </w:p>
        </w:tc>
      </w:tr>
      <w:tr>
        <w:trPr/>
        <w:tc>
          <w:tcPr>
            <w:tcW w:w="6168" w:type="dxa"/>
            <w:tcBorders/>
            <w:shd w:fill="CCEEFF" w:val="clear"/>
            <w:vAlign w:val="center"/>
          </w:tcPr>
          <w:p>
            <w:pPr>
              <w:pStyle w:val="TableContents"/>
              <w:bidi w:val="0"/>
              <w:spacing w:before="0" w:after="283"/>
              <w:jc w:val="left"/>
              <w:rPr>
                <w:u w:val="single"/>
              </w:rPr>
            </w:pPr>
            <w:r>
              <w:rPr>
                <w:u w:val="single"/>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244" w:name="xdx_401_eus-gaap--CashAndCashEquivalents"/>
            <w:bookmarkEnd w:id="244"/>
          </w:p>
        </w:tc>
      </w:tr>
      <w:tr>
        <w:trPr/>
        <w:tc>
          <w:tcPr>
            <w:tcW w:w="6168"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w:t>
            </w:r>
          </w:p>
        </w:tc>
        <w:tc>
          <w:tcPr>
            <w:tcW w:w="1565" w:type="dxa"/>
            <w:tcBorders/>
            <w:shd w:fill="FFFFFF" w:val="clear"/>
            <w:vAlign w:val="center"/>
          </w:tcPr>
          <w:p>
            <w:pPr>
              <w:pStyle w:val="TableContents"/>
              <w:bidi w:val="0"/>
              <w:spacing w:before="0" w:after="283"/>
              <w:jc w:val="right"/>
              <w:rPr/>
            </w:pPr>
            <w:r>
              <w:rPr/>
              <w:t>6,704</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w:t>
            </w:r>
          </w:p>
        </w:tc>
        <w:tc>
          <w:tcPr>
            <w:tcW w:w="1325" w:type="dxa"/>
            <w:tcBorders/>
            <w:shd w:fill="FFFFFF" w:val="clear"/>
            <w:vAlign w:val="center"/>
          </w:tcPr>
          <w:p>
            <w:pPr>
              <w:pStyle w:val="TableContents"/>
              <w:bidi w:val="0"/>
              <w:spacing w:before="0" w:after="283"/>
              <w:jc w:val="right"/>
              <w:rPr/>
            </w:pPr>
            <w:r>
              <w:rPr/>
              <w:t>479</w:t>
            </w:r>
          </w:p>
        </w:tc>
        <w:tc>
          <w:tcPr>
            <w:tcW w:w="114" w:type="dxa"/>
            <w:tcBorders/>
            <w:shd w:fill="FFFFFF" w:val="clear"/>
            <w:vAlign w:val="center"/>
          </w:tcPr>
          <w:p>
            <w:pPr>
              <w:pStyle w:val="TableContents"/>
              <w:bidi w:val="0"/>
              <w:spacing w:before="0" w:after="283"/>
              <w:jc w:val="left"/>
              <w:rPr/>
            </w:pPr>
            <w:r>
              <w:rPr/>
              <w:t> </w:t>
            </w:r>
            <w:bookmarkStart w:id="245" w:name="xdx_405_eus-gaap--RestrictedCashAndCashE"/>
            <w:bookmarkEnd w:id="245"/>
          </w:p>
        </w:tc>
      </w:tr>
      <w:tr>
        <w:trPr/>
        <w:tc>
          <w:tcPr>
            <w:tcW w:w="6168"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5" w:type="dxa"/>
            <w:tcBorders>
              <w:bottom w:val="single" w:sz="8" w:space="0" w:color="000000"/>
            </w:tcBorders>
            <w:shd w:fill="CCEEFF" w:val="clear"/>
            <w:tcMar>
              <w:bottom w:w="28" w:type="dxa"/>
            </w:tcMar>
            <w:vAlign w:val="center"/>
          </w:tcPr>
          <w:p>
            <w:pPr>
              <w:pStyle w:val="TableContents"/>
              <w:bidi w:val="0"/>
              <w:spacing w:before="0" w:after="283"/>
              <w:jc w:val="right"/>
              <w:rPr/>
            </w:pPr>
            <w:r>
              <w:rPr/>
              <w:t>54</w:t>
            </w:r>
          </w:p>
        </w:tc>
        <w:tc>
          <w:tcPr>
            <w:tcW w:w="196"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48</w:t>
            </w:r>
          </w:p>
        </w:tc>
        <w:tc>
          <w:tcPr>
            <w:tcW w:w="114" w:type="dxa"/>
            <w:tcBorders/>
            <w:shd w:fill="CCEEFF" w:val="clear"/>
            <w:vAlign w:val="center"/>
          </w:tcPr>
          <w:p>
            <w:pPr>
              <w:pStyle w:val="TableContents"/>
              <w:bidi w:val="0"/>
              <w:spacing w:before="0" w:after="283"/>
              <w:jc w:val="left"/>
              <w:rPr/>
            </w:pPr>
            <w:r>
              <w:rPr/>
              <w:t> </w:t>
            </w:r>
            <w:bookmarkStart w:id="246" w:name="xdx_400_eus-gaap--CashCashEquivalentsRes"/>
            <w:bookmarkEnd w:id="246"/>
          </w:p>
        </w:tc>
      </w:tr>
      <w:tr>
        <w:trPr/>
        <w:tc>
          <w:tcPr>
            <w:tcW w:w="6168" w:type="dxa"/>
            <w:tcBorders/>
            <w:shd w:fill="FFFFFF" w:val="clear"/>
            <w:vAlign w:val="center"/>
          </w:tcPr>
          <w:p>
            <w:pPr>
              <w:pStyle w:val="TableContents"/>
              <w:bidi w:val="0"/>
              <w:spacing w:before="0" w:after="283"/>
              <w:jc w:val="left"/>
              <w:rPr/>
            </w:pPr>
            <w:r>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shd w:fill="FFFFFF" w:val="clear"/>
            <w:tcMar>
              <w:bottom w:w="28" w:type="dxa"/>
            </w:tcMar>
            <w:vAlign w:val="center"/>
          </w:tcPr>
          <w:p>
            <w:pPr>
              <w:pStyle w:val="TableContents"/>
              <w:bidi w:val="0"/>
              <w:spacing w:before="0" w:after="283"/>
              <w:jc w:val="right"/>
              <w:rPr/>
            </w:pPr>
            <w:r>
              <w:rPr/>
              <w:t>6,758</w:t>
            </w:r>
          </w:p>
        </w:tc>
        <w:tc>
          <w:tcPr>
            <w:tcW w:w="196"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527</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7" w:name="sk_005"/>
      <w:bookmarkEnd w:id="247"/>
      <w:r>
        <w:rPr>
          <w:rFonts w:ascii="Times New Roman;Times;Serif" w:hAnsi="Times New Roman;Times;Serif"/>
          <w:b/>
          <w:i w:val="false"/>
          <w:caps w:val="false"/>
          <w:smallCaps w:val="false"/>
          <w:sz w:val="20"/>
        </w:rPr>
        <w:t>Notes to Interim Unaudited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48" w:name="xdx_802_eus-gaap--NatureOfOperations_zrp"/>
      <w:bookmarkEnd w:id="248"/>
      <w:r>
        <w:rPr>
          <w:rFonts w:ascii="Times New Roman;Times;Serif" w:hAnsi="Times New Roman;Times;Serif"/>
          <w:b/>
          <w:i w:val="false"/>
          <w:caps w:val="false"/>
          <w:smallCaps w:val="false"/>
          <w:sz w:val="20"/>
        </w:rPr>
        <w:t xml:space="preserve">NOTE 1 – </w:t>
      </w:r>
      <w:bookmarkStart w:id="249" w:name="xdx_82F_zQyEWKdrlkV5"/>
      <w:bookmarkEnd w:id="249"/>
      <w:r>
        <w:rPr>
          <w:rFonts w:ascii="Times New Roman;Times;Serif" w:hAnsi="Times New Roman;Times;Serif"/>
          <w:b/>
          <w:i w:val="false"/>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Description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incorporated on </w:t>
      </w:r>
      <w:bookmarkStart w:id="250" w:name="xdx_908_edei--EntityIncorporationDateOfI"/>
      <w:bookmarkEnd w:id="250"/>
      <w:r>
        <w:rPr>
          <w:rFonts w:ascii="Times New Roman;Times;Serif" w:hAnsi="Times New Roman;Times;Serif"/>
          <w:b w:val="false"/>
          <w:i w:val="false"/>
          <w:caps w:val="false"/>
          <w:smallCaps w:val="false"/>
          <w:sz w:val="20"/>
        </w:rPr>
        <w:t>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or “Subsidiary”). On the same day and in connection with the Merger, the Company changed its name from StemCells, Inc. to Microbot Medical Inc. On November 29, 2016, the Company’s common stock began trading on the Nasdaq Capital Market under the symbol “MBOT”.</w:t>
      </w:r>
    </w:p>
    <w:p>
      <w:pPr>
        <w:pStyle w:val="TextBody"/>
        <w:bidi w:val="0"/>
        <w:spacing w:before="0" w:after="0"/>
        <w:ind w:left="15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Subsidiary are sometimes collectively referred to as the “Company” as the context may require.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Risk Factors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September 30, 2025, the Company had cash equivalents and marketable securities balance of approximately $</w:t>
      </w:r>
      <w:bookmarkStart w:id="251" w:name="xdx_902_eus-gaap--CashCashEquivalentsAnd"/>
      <w:bookmarkEnd w:id="251"/>
      <w:r>
        <w:rPr>
          <w:rFonts w:ascii="Times New Roman;Times;Serif" w:hAnsi="Times New Roman;Times;Serif"/>
          <w:b w:val="false"/>
          <w:i w:val="false"/>
          <w:caps w:val="false"/>
          <w:smallCaps w:val="false"/>
          <w:sz w:val="20"/>
        </w:rPr>
        <w:t>80,158, excluding restricted cash. Due to continuing research and development and pre-commercialization activities, the Company expects to continue to incur additional losses for the foreseeable future. Notwithstanding these conditions, the Company’s management has concluded that the available funds as of the balance sheet date, are sufficient to fund the Company’s operations for more than twelve months from the issuance date of these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raise additional funds through future issuances of either debt and/or equity securities, including pursuant to a possible At-the-Market offering, upon cash exercise of outstanding investment options, and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Israel-Hamas War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escalation of military operations by and against the Houthis in Yemen and the Iranian regime, are on-going as of the issuance date of these financial statements, although there have been cease fires and lulls in military operations from time to time, including the most recent cease-fire with Hamas on October 10, 2025.</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various ongoing risks relating to the military operations and related matters,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may not be fully active and operational, as instructed by the relevant authorities;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decreasing international regard for Israeli-based companies in certain quarters, including as a result of the Israeli government’s policies in Gaza and the West Bank;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and actual boycotts of Israel and Israeli-based companies, which may adversely affect the Company’s ability to do business in certain jurisdictions or with certain industry groups or potential customers, among others.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closely monitoring how the military operations and related activities could adversely affect its anticipated milestones and its Israel-based activities to support future clinical and regulatory milestones, including the Company’s ability to import materials that are required to construct its devices and to ship them outside of Israel. As of the issuance date of these financial statements, the Company has determined that there have not been any materially adverse effects on its business or operations, but the Company continues to monitor the situation, as any collapse of a cease-fire with any nation or group hostile to Israel from time to time, or any future escalation or change could result in a material adverse effect on the ability of the Company’s Israeli office to support its clinical and regulatory activities. The Company does not have any specific contingency plans in the event of any such escalation or 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Unaudited Interim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have been prepared in accordance with generally accepted accounting principles in the United States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consolidated condensed financial statements should be read in conjunction with the Company’s latest audited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the three and nine-month period ended September 30, 2025, are not necessarily indicative of the results that may be expected for the year ending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52" w:name="xdx_803_eus-gaap--SignificantAccountingP"/>
      <w:bookmarkEnd w:id="252"/>
      <w:r>
        <w:rPr>
          <w:rFonts w:ascii="Times New Roman;Times;Serif" w:hAnsi="Times New Roman;Times;Serif"/>
          <w:b/>
          <w:i w:val="false"/>
          <w:caps w:val="false"/>
          <w:smallCaps w:val="false"/>
          <w:sz w:val="20"/>
        </w:rPr>
        <w:t xml:space="preserve">NOTE 2 - </w:t>
      </w:r>
      <w:bookmarkStart w:id="253" w:name="xdx_820_zYx8VT5pEuN3"/>
      <w:bookmarkEnd w:id="253"/>
      <w:r>
        <w:rPr>
          <w:rFonts w:ascii="Times New Roman;Times;Serif" w:hAnsi="Times New Roman;Times;Serif"/>
          <w:b/>
          <w:i w:val="false"/>
          <w:caps w:val="false"/>
          <w:smallCaps w:val="false"/>
          <w:sz w:val="20"/>
        </w:rPr>
        <w:t>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54" w:name="xdx_86E_z2J7E03GCFV1"/>
      <w:bookmarkStart w:id="255" w:name="xdx_845_eus-gaap--BasisOfAccountingPolic"/>
      <w:bookmarkEnd w:id="254"/>
      <w:bookmarkEnd w:id="255"/>
      <w:r>
        <w:rPr>
          <w:rFonts w:ascii="Times New Roman;Times;Serif" w:hAnsi="Times New Roman;Times;Serif"/>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the United States of America (“US GAAP”).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56" w:name="xdx_86A_zUFkGO0tDMW1"/>
      <w:bookmarkStart w:id="257" w:name="xdx_844_eus-gaap--UseOfEstimates_zmd7WlE"/>
      <w:bookmarkEnd w:id="256"/>
      <w:bookmarkEnd w:id="257"/>
      <w:r>
        <w:rPr>
          <w:rFonts w:ascii="Times New Roman;Times;Serif" w:hAnsi="Times New Roman;Times;Serif"/>
          <w:b/>
          <w:i w:val="false"/>
          <w:caps w:val="false"/>
          <w:smallCaps w:val="false"/>
          <w:sz w:val="20"/>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58" w:name="xdx_86B_zhvCsfX7MXzd"/>
      <w:bookmarkStart w:id="259" w:name="xdx_84C_eus-gaap--FairValueOfFinancialIn"/>
      <w:bookmarkEnd w:id="258"/>
      <w:bookmarkEnd w:id="259"/>
      <w:r>
        <w:rPr>
          <w:rFonts w:ascii="Times New Roman;Times;Serif" w:hAnsi="Times New Roman;Times;Serif"/>
          <w:b/>
          <w:i w:val="false"/>
          <w:caps w:val="false"/>
          <w:smallCaps w:val="false"/>
          <w:sz w:val="20"/>
        </w:rPr>
        <w:t>Fair value of 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restricted cash, prepaid expenses and other current assets, accounts payable and accrued liabilities approximate their fair value due to the short-term maturity of these instruments.</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260" w:name="xdx_89E_eus-gaap--ScheduleOfFairValueAss"/>
      <w:bookmarkEnd w:id="260"/>
      <w:r>
        <w:rPr>
          <w:rFonts w:ascii="Times New Roman;Times;Serif" w:hAnsi="Times New Roman;Times;Serif"/>
          <w:b w:val="false"/>
          <w:i w:val="false"/>
          <w:caps w:val="false"/>
          <w:smallCaps w:val="false"/>
          <w:sz w:val="20"/>
        </w:rPr>
        <w:t>The following tables summarizes the Company’s financial assets subject to fair value measurement and the level of inputs used in such measurements as of September 30, 2025, and December 31, 2024:</w:t>
      </w:r>
    </w:p>
    <w:p>
      <w:pPr>
        <w:pStyle w:val="TextBody"/>
        <w:shd w:fill="FFFFFF" w:val="clear"/>
        <w:bidi w:val="0"/>
        <w:spacing w:before="0" w:after="0"/>
        <w:jc w:val="both"/>
        <w:rPr>
          <w:caps w:val="false"/>
          <w:smallCaps w:val="false"/>
        </w:rPr>
      </w:pPr>
      <w:r>
        <w:rPr>
          <w:caps w:val="false"/>
          <w:smallCaps w:val="false"/>
        </w:rPr>
        <w:t> </w:t>
      </w:r>
      <w:bookmarkStart w:id="261" w:name="xdx_8B4_zDXEhVfiiFBd"/>
      <w:bookmarkEnd w:id="261"/>
      <w:r>
        <w:rPr>
          <w:rFonts w:ascii="Times New Roman;Times;Serif" w:hAnsi="Times New Roman;Times;Serif"/>
          <w:b w:val="false"/>
          <w:i w:val="false"/>
          <w:caps w:val="false"/>
          <w:smallCaps w:val="false"/>
          <w:sz w:val="20"/>
        </w:rPr>
        <w:t>SCHEDULE OF FAIR VALUE MEASUREMENT INPUTS AND VALUATION TECHNIQUES</w:t>
      </w:r>
    </w:p>
    <w:tbl>
      <w:tblPr>
        <w:tblW w:w="6348" w:type="dxa"/>
        <w:jc w:val="left"/>
        <w:tblInd w:w="0" w:type="dxa"/>
        <w:tblLayout w:type="fixed"/>
        <w:tblCellMar>
          <w:top w:w="0" w:type="dxa"/>
          <w:left w:w="0" w:type="dxa"/>
          <w:bottom w:w="0" w:type="dxa"/>
          <w:right w:w="0" w:type="dxa"/>
        </w:tblCellMar>
      </w:tblPr>
      <w:tblGrid>
        <w:gridCol w:w="2705"/>
        <w:gridCol w:w="60"/>
        <w:gridCol w:w="140"/>
        <w:gridCol w:w="680"/>
        <w:gridCol w:w="60"/>
        <w:gridCol w:w="60"/>
        <w:gridCol w:w="140"/>
        <w:gridCol w:w="680"/>
        <w:gridCol w:w="60"/>
        <w:gridCol w:w="60"/>
        <w:gridCol w:w="449"/>
        <w:gridCol w:w="305"/>
        <w:gridCol w:w="60"/>
        <w:gridCol w:w="60"/>
        <w:gridCol w:w="449"/>
        <w:gridCol w:w="305"/>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2" w:name="xdx_499_20250930_zOeJHwa3ZA6i"/>
            <w:bookmarkEnd w:id="262"/>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3" w:name="xdx_490_20250930__us-gaap--FairValueByFa"/>
            <w:bookmarkEnd w:id="263"/>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4" w:name="xdx_490_20250930__us-gaap--FairValueByFa"/>
            <w:bookmarkEnd w:id="264"/>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5" w:name="xdx_491_20250930__us-gaap--FairValueByFa"/>
            <w:bookmarkEnd w:id="265"/>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September 30, 2025</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66" w:name="xdx_407_eus-gaap--AssetsFairValueDisclos"/>
            <w:bookmarkEnd w:id="266"/>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73,454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73,454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67" w:name="xdx_406_eus-gaap--AssetsFairValueDisclos"/>
            <w:bookmarkEnd w:id="267"/>
          </w:p>
        </w:tc>
      </w:tr>
      <w:tr>
        <w:trPr/>
        <w:tc>
          <w:tcPr>
            <w:tcW w:w="2705" w:type="dxa"/>
            <w:tcBorders/>
            <w:shd w:fill="CCEEFF" w:val="clear"/>
            <w:vAlign w:val="center"/>
          </w:tcPr>
          <w:p>
            <w:pPr>
              <w:pStyle w:val="TableContents"/>
              <w:bidi w:val="0"/>
              <w:spacing w:before="0" w:after="283"/>
              <w:jc w:val="left"/>
              <w:rPr/>
            </w:pPr>
            <w:r>
              <w:rPr>
                <w:rFonts w:ascii="Times New Roman;Times;Serif" w:hAnsi="Times New Roman;Times;Serif"/>
                <w:sz w:val="20"/>
              </w:rPr>
              <w:t>Marketable securities</w:t>
            </w: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73,454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73,454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6163" w:type="dxa"/>
        <w:jc w:val="left"/>
        <w:tblInd w:w="0" w:type="dxa"/>
        <w:tblLayout w:type="fixed"/>
        <w:tblCellMar>
          <w:top w:w="0" w:type="dxa"/>
          <w:left w:w="0" w:type="dxa"/>
          <w:bottom w:w="0" w:type="dxa"/>
          <w:right w:w="0" w:type="dxa"/>
        </w:tblCellMar>
      </w:tblPr>
      <w:tblGrid>
        <w:gridCol w:w="2705"/>
        <w:gridCol w:w="60"/>
        <w:gridCol w:w="140"/>
        <w:gridCol w:w="560"/>
        <w:gridCol w:w="60"/>
        <w:gridCol w:w="60"/>
        <w:gridCol w:w="151"/>
        <w:gridCol w:w="604"/>
        <w:gridCol w:w="60"/>
        <w:gridCol w:w="60"/>
        <w:gridCol w:w="449"/>
        <w:gridCol w:w="305"/>
        <w:gridCol w:w="60"/>
        <w:gridCol w:w="60"/>
        <w:gridCol w:w="449"/>
        <w:gridCol w:w="305"/>
        <w:gridCol w:w="75"/>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8" w:name="xdx_490_20241231_z090KpuucGGc"/>
            <w:bookmarkEnd w:id="26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9" w:name="xdx_490_20241231__us-gaap--FairValueByFa"/>
            <w:bookmarkEnd w:id="269"/>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0" w:name="xdx_492_20241231__us-gaap--FairValueByFa"/>
            <w:bookmarkEnd w:id="270"/>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1" w:name="xdx_495_20241231__us-gaap--FairValueByFa"/>
            <w:bookmarkEnd w:id="271"/>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2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72" w:name="xdx_407_eus-gaap--AssetsFairValueDisclos"/>
            <w:bookmarkEnd w:id="272"/>
          </w:p>
        </w:tc>
      </w:tr>
      <w:tr>
        <w:trPr/>
        <w:tc>
          <w:tcPr>
            <w:tcW w:w="2705" w:type="dxa"/>
            <w:tcBorders/>
            <w:shd w:fill="FFFFFF" w:val="clear"/>
            <w:vAlign w:val="center"/>
          </w:tcPr>
          <w:p>
            <w:pPr>
              <w:pStyle w:val="TableContents"/>
              <w:bidi w:val="0"/>
              <w:spacing w:before="0" w:after="283"/>
              <w:jc w:val="left"/>
              <w:rPr/>
            </w:pPr>
            <w:r>
              <w:rPr/>
              <w:t>Money market mutual funds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2,356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273" w:name="xdx_406_eus-gaap--AssetsFairValueDisclos"/>
            <w:bookmarkEnd w:id="273"/>
          </w:p>
        </w:tc>
      </w:tr>
      <w:tr>
        <w:trPr/>
        <w:tc>
          <w:tcPr>
            <w:tcW w:w="2705" w:type="dxa"/>
            <w:tcBorders/>
            <w:shd w:fill="CCEEFF" w:val="clear"/>
            <w:vAlign w:val="center"/>
          </w:tcPr>
          <w:p>
            <w:pPr>
              <w:pStyle w:val="TableContents"/>
              <w:bidi w:val="0"/>
              <w:spacing w:before="0" w:after="283"/>
              <w:jc w:val="left"/>
              <w:rPr/>
            </w:pPr>
            <w:r>
              <w:rPr>
                <w:rFonts w:ascii="Times New Roman;Times;Serif" w:hAnsi="Times New Roman;Times;Serif"/>
                <w:sz w:val="20"/>
              </w:rPr>
              <w:t>Marketable securities</w:t>
            </w: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274" w:name="xdx_8AB_z7npvdXY3Mbe"/>
      <w:bookmarkEnd w:id="274"/>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are measured at fair value on a recurring basis by level within the fair value hierarchy. The Company’s money market funds are classified as Level 1. Other than that, the Company doesn’t have any other financial assets or financial liabilities marked to market at fair value as of September 30, 2025 and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5" w:name="xdx_86F_zRL6Ma3HuLoc"/>
      <w:bookmarkStart w:id="276" w:name="xdx_848_eus-gaap--ShareBasedCompensation"/>
      <w:bookmarkEnd w:id="275"/>
      <w:bookmarkEnd w:id="276"/>
      <w:r>
        <w:rPr>
          <w:rFonts w:ascii="Times New Roman;Times;Serif" w:hAnsi="Times New Roman;Times;Serif"/>
          <w:b/>
          <w:i w:val="false"/>
          <w:caps w:val="false"/>
          <w:smallCaps w:val="false"/>
          <w:sz w:val="20"/>
        </w:rPr>
        <w:t xml:space="preserve">Share-based compensation: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 When no future services are required to be performed by the grantee in exchange for an award of equity instruments, and if such award does not contain a performance condition, the cost of the award is expensed on the grant date.</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implicit service period based on the timing the employee is expected to achieve the related performance condition. When no future services are required to be performed by the grantee in exchange for an award of equity instruments, and if such award does not contain a performance condition, the cost of the award is expensed on the grant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 options that qualify as “plain-vanilla,” the expected term is calculated using the simplified method. For stock options that do not qualify as “plain-vanilla”, the Company’s management estimated that the expected stock option term is the contractual term of the options. Changes in the determination of each of the inputs can affect the fair value of the stock options granted and the results of operations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77" w:name="xdx_867_zDEdAj4TRQOe"/>
      <w:bookmarkStart w:id="278" w:name="xdx_846_eus-gaap--NewAccountingPronounce"/>
      <w:bookmarkEnd w:id="277"/>
      <w:bookmarkEnd w:id="278"/>
      <w:r>
        <w:rPr>
          <w:rFonts w:ascii="Times New Roman;Times;Serif" w:hAnsi="Times New Roman;Times;Serif"/>
          <w:b/>
          <w:i w:val="false"/>
          <w:caps w:val="false"/>
          <w:smallCaps w:val="false"/>
          <w:sz w:val="20"/>
        </w:rPr>
        <w:t>Recently adopted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(“ASU 2023-07”) to improve reportable segment disclosure requirements through enhanced disclosures about significant segment expenses on an interim and annual basis. All disclosure requirements of ASU 2023-07 are required also for entities with a single reportable segment. The ASU was effective for the Company’s Annual Report on Form 10-K for the fiscal year ended December 31, 2024, and subsequent interim periods. As part of the Annual Report for the year ended December 31, 2024, the Company adopted ASU 2023-07, which was applied retrospectively to all prior periods presented. Refer to Note 5 herein for further details regarding this adoption.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993" w:right="0" w:hanging="993"/>
        <w:jc w:val="both"/>
        <w:rPr>
          <w:rFonts w:ascii="Times New Roman;Times;Serif" w:hAnsi="Times New Roman;Times;Serif"/>
          <w:b/>
          <w:i w:val="false"/>
          <w:caps w:val="false"/>
          <w:smallCaps w:val="false"/>
          <w:sz w:val="20"/>
        </w:rPr>
      </w:pPr>
      <w:bookmarkStart w:id="279" w:name="xdx_861_z0KXB6EiMa6g"/>
      <w:bookmarkStart w:id="280" w:name="xdx_841_ecustom--AccountingPronouncement"/>
      <w:bookmarkEnd w:id="279"/>
      <w:bookmarkEnd w:id="280"/>
      <w:r>
        <w:rPr>
          <w:rFonts w:ascii="Times New Roman;Times;Serif" w:hAnsi="Times New Roman;Times;Serif"/>
          <w:b/>
          <w:i w:val="false"/>
          <w:caps w:val="false"/>
          <w:smallCaps w:val="false"/>
          <w:sz w:val="20"/>
        </w:rPr>
        <w:t>Accounting pronouncements not yet effective:</w:t>
      </w:r>
    </w:p>
    <w:p>
      <w:pPr>
        <w:pStyle w:val="TextBody"/>
        <w:bidi w:val="0"/>
        <w:spacing w:before="0" w:after="0"/>
        <w:ind w:left="993" w:right="0" w:hanging="993"/>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220- 40): Disaggregation of Income Statement Expenses” (“ASU 2024-03”), which requires the disaggregation of certain expenses in the financial statements notes, to provide enhanced transparency into the expense captions presented on the face of the consolidated statement of comprehensive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is effective for annual fiscal years beginning after December 15, 2026, and interim periods within fiscal years beginning after December 15, 2027. Early adoption is permitted. Adoption of this ASU should be applied on a prospective basis, although retrospective application is permitted. The Company is currently evaluating the impact that ASU 2024-03 will have on its related disclosures.</w:t>
      </w:r>
    </w:p>
    <w:p>
      <w:pPr>
        <w:pStyle w:val="TextBody"/>
        <w:bidi w:val="0"/>
        <w:spacing w:before="0" w:after="0"/>
        <w:jc w:val="both"/>
        <w:rPr>
          <w:caps w:val="false"/>
          <w:smallCaps w:val="false"/>
        </w:rPr>
      </w:pPr>
      <w:bookmarkStart w:id="281" w:name="xdx_85C_z1isXV2kAyQ1"/>
      <w:bookmarkEnd w:id="281"/>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282" w:name="xdx_806_eus-gaap--CommitmentsAndContinge"/>
      <w:bookmarkEnd w:id="282"/>
      <w:r>
        <w:rPr>
          <w:rFonts w:ascii="Times New Roman;Times;Serif" w:hAnsi="Times New Roman;Times;Serif"/>
          <w:b/>
          <w:i w:val="false"/>
          <w:caps w:val="false"/>
          <w:smallCaps w:val="false"/>
          <w:sz w:val="20"/>
        </w:rPr>
        <w:t xml:space="preserve">NOTE 3 - </w:t>
      </w:r>
      <w:bookmarkStart w:id="283" w:name="xdx_823_z2JPmUhuKfa5"/>
      <w:bookmarkEnd w:id="283"/>
      <w:r>
        <w:rPr>
          <w:rFonts w:ascii="Times New Roman;Times;Serif" w:hAnsi="Times New Roman;Times;Serif"/>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Government grants: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IIA for participation in research and development since 2013 through September 30, 2025, totaling approximately $</w:t>
      </w:r>
      <w:bookmarkStart w:id="284" w:name="xdx_905_eus-gaap--RevenueFromContractWit"/>
      <w:bookmarkEnd w:id="284"/>
      <w:r>
        <w:rPr>
          <w:rFonts w:ascii="Times New Roman;Times;Serif" w:hAnsi="Times New Roman;Times;Serif"/>
          <w:b w:val="false"/>
          <w:i w:val="false"/>
          <w:caps w:val="false"/>
          <w:smallCaps w:val="false"/>
          <w:sz w:val="20"/>
        </w:rPr>
        <w:t>2,154.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result of the agreement with Nitiloop, on October 6, 2022, Microbot Israel took over the liability to repay Nitiloop’s IIA grants in the aggregate amount of approximately $</w:t>
      </w:r>
      <w:bookmarkStart w:id="285" w:name="xdx_90E_ecustom--RepaymentOfGovernmentGr"/>
      <w:bookmarkEnd w:id="285"/>
      <w:r>
        <w:rPr>
          <w:rFonts w:ascii="Times New Roman;Times;Serif" w:hAnsi="Times New Roman;Times;Serif"/>
          <w:b w:val="false"/>
          <w:i w:val="false"/>
          <w:caps w:val="false"/>
          <w:smallCaps w:val="false"/>
          <w:sz w:val="20"/>
        </w:rPr>
        <w:t>925.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relation to the IIA grants described above, the Company is obligated to pay royalties amounting to </w:t>
      </w:r>
      <w:bookmarkStart w:id="286" w:name="xdx_902_ecustom--NetSalesRoyaltyPercenta"/>
      <w:bookmarkEnd w:id="286"/>
      <w:r>
        <w:rPr>
          <w:rFonts w:ascii="Times New Roman;Times;Serif" w:hAnsi="Times New Roman;Times;Serif"/>
          <w:b w:val="false"/>
          <w:i w:val="false"/>
          <w:caps w:val="false"/>
          <w:smallCaps w:val="false"/>
          <w:sz w:val="20"/>
        </w:rPr>
        <w:t xml:space="preserve">3.0% - </w:t>
      </w:r>
      <w:bookmarkStart w:id="287" w:name="xdx_90E_ecustom--NetSalesRoyaltyPercenta"/>
      <w:bookmarkEnd w:id="287"/>
      <w:r>
        <w:rPr>
          <w:rFonts w:ascii="Times New Roman;Times;Serif" w:hAnsi="Times New Roman;Times;Serif"/>
          <w:b w:val="false"/>
          <w:i w:val="false"/>
          <w:caps w:val="false"/>
          <w:smallCaps w:val="false"/>
          <w:sz w:val="20"/>
        </w:rPr>
        <w:t>5% of its future sales of the products up to grant amount plus interest. The grants are linked to the exchange rate of the dollar to the New Israeli Shekel and bears interest of Secured Overnight Financing Rate (“SOFR”) per year (SOFR is a benchmark interest rate which replaced LIBOR).</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 by-project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received a grant from the Ministry of Economy, in the amount of approximately $</w:t>
      </w:r>
      <w:bookmarkStart w:id="288" w:name="xdx_902_eus-gaap--GrantsReceivable_iI_c2"/>
      <w:bookmarkEnd w:id="288"/>
      <w:r>
        <w:rPr>
          <w:rFonts w:ascii="Times New Roman;Times;Serif" w:hAnsi="Times New Roman;Times;Serif"/>
          <w:b w:val="false"/>
          <w:i w:val="false"/>
          <w:caps w:val="false"/>
          <w:smallCaps w:val="false"/>
          <w:sz w:val="20"/>
        </w:rPr>
        <w:t>50 for participation in expenses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 In relation with the Ministry of Economy grant, the Company is obligated to pay royalties amounting to </w:t>
      </w:r>
      <w:bookmarkStart w:id="289" w:name="xdx_904_ecustom--NetSalesRoyaltyPercenta"/>
      <w:bookmarkEnd w:id="289"/>
      <w:r>
        <w:rPr>
          <w:rFonts w:ascii="Times New Roman;Times;Serif" w:hAnsi="Times New Roman;Times;Serif"/>
          <w:b w:val="false"/>
          <w:i w:val="false"/>
          <w:caps w:val="false"/>
          <w:smallCaps w:val="false"/>
          <w:sz w:val="20"/>
        </w:rPr>
        <w:t>3% of future sales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up to the grant amount plus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TRDF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amended, the “License Agreement”) with respect to its then Self-Cleaning Shunt (“SCS”) project and TipCat assets, which also governed certain technology relating to the Company’s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 xml:space="preserve">Endovascular Robotic Surgical System. As partial consideration for the license, Microbot Israel shall pay TRDF royalties on net sales (between </w:t>
      </w:r>
      <w:bookmarkStart w:id="290" w:name="xdx_90F_ecustom--NetSalesRoyaltyPercenta"/>
      <w:bookmarkEnd w:id="290"/>
      <w:r>
        <w:rPr>
          <w:rFonts w:ascii="Times New Roman;Times;Serif" w:hAnsi="Times New Roman;Times;Serif"/>
          <w:b w:val="false"/>
          <w:i w:val="false"/>
          <w:caps w:val="false"/>
          <w:smallCaps w:val="false"/>
          <w:sz w:val="20"/>
        </w:rPr>
        <w:t>1.5%-</w:t>
      </w:r>
      <w:bookmarkStart w:id="291" w:name="xdx_90F_ecustom--NetSalesRoyaltyPercenta"/>
      <w:bookmarkEnd w:id="291"/>
      <w:r>
        <w:rPr>
          <w:rFonts w:ascii="Times New Roman;Times;Serif" w:hAnsi="Times New Roman;Times;Serif"/>
          <w:b w:val="false"/>
          <w:i w:val="false"/>
          <w:caps w:val="false"/>
          <w:smallCaps w:val="false"/>
          <w:sz w:val="20"/>
        </w:rPr>
        <w:t>3.0%) and on sublicense income as detailed in the License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ATM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w:t>
      </w:r>
      <w:bookmarkStart w:id="292" w:name="xdx_90E_ecustom--OfferingCosts_iI_pn3n3_"/>
      <w:bookmarkEnd w:id="292"/>
      <w:r>
        <w:rPr>
          <w:rFonts w:ascii="Times New Roman;Times;Serif" w:hAnsi="Times New Roman;Times;Serif"/>
          <w:b w:val="false"/>
          <w:i w:val="false"/>
          <w:caps w:val="false"/>
          <w:smallCaps w:val="false"/>
          <w:sz w:val="20"/>
        </w:rPr>
        <w:t>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w:t>
      </w:r>
      <w:bookmarkStart w:id="293" w:name="xdx_90C_eus-gaap--SaleOfStockConsiderati"/>
      <w:bookmarkEnd w:id="293"/>
      <w:r>
        <w:rPr>
          <w:rFonts w:ascii="Times New Roman;Times;Serif" w:hAnsi="Times New Roman;Times;Serif"/>
          <w:b w:val="false"/>
          <w:i w:val="false"/>
          <w:caps w:val="false"/>
          <w:smallCaps w:val="false"/>
          <w:sz w:val="20"/>
        </w:rPr>
        <w:t xml:space="preserve">4,820 from time to time through Wainwright, acting as sales agent. The compensation to Wainwright for sales of the shares is a placement fee of </w:t>
      </w:r>
      <w:bookmarkStart w:id="294" w:name="xdx_902_ecustom--PlacementFeePercent_pid"/>
      <w:bookmarkEnd w:id="294"/>
      <w:r>
        <w:rPr>
          <w:rFonts w:ascii="Times New Roman;Times;Serif" w:hAnsi="Times New Roman;Times;Serif"/>
          <w:b w:val="false"/>
          <w:i w:val="false"/>
          <w:caps w:val="false"/>
          <w:smallCaps w:val="false"/>
          <w:sz w:val="20"/>
        </w:rPr>
        <w:t>3.0% of the gross sales price of the shares of common stock sold pursuant to this ATM Agreement. See also Note 4B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Engagement letters with H.C. Wainwright: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registered direct and private placement offerings, the Company entered into engagement letters (the “Engagement Letters”) with Wainwright on October 3, 2022, on May 16, 2023, on October 24, 2023, and on May 29, 2024 which was amended most recently on February 9, 2025, in each case pursuant to which Wainwright agreed to serve as the exclusive placement agent for the issuance and sale of securities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compensation for such placement agent services, the Company has agreed to pay Wainwright an aggregate cash fee equal to </w:t>
      </w:r>
      <w:bookmarkStart w:id="295" w:name="xdx_906_ecustom--GrossProceedsFromCashFe"/>
      <w:bookmarkEnd w:id="295"/>
      <w:r>
        <w:rPr>
          <w:rFonts w:ascii="Times New Roman;Times;Serif" w:hAnsi="Times New Roman;Times;Serif"/>
          <w:b w:val="false"/>
          <w:i w:val="false"/>
          <w:caps w:val="false"/>
          <w:smallCaps w:val="false"/>
          <w:sz w:val="20"/>
        </w:rPr>
        <w:t xml:space="preserve">7.0% of the gross proceeds received by the Company from offerings contemplated by the Engagement Letters, plus a management fee equal to </w:t>
      </w:r>
      <w:bookmarkStart w:id="296" w:name="xdx_901_ecustom--GrossProceedsFromManage"/>
      <w:bookmarkEnd w:id="296"/>
      <w:r>
        <w:rPr>
          <w:rFonts w:ascii="Times New Roman;Times;Serif" w:hAnsi="Times New Roman;Times;Serif"/>
          <w:b w:val="false"/>
          <w:i w:val="false"/>
          <w:caps w:val="false"/>
          <w:smallCaps w:val="false"/>
          <w:sz w:val="20"/>
        </w:rPr>
        <w:t xml:space="preserve">1.0% of the gross proceeds received by the Company from such offerings, as well as other reimbursable expenses. </w:t>
      </w:r>
      <w:bookmarkStart w:id="297" w:name="xdx_90C_eus-gaap--ClassOfWarrantOrRightR"/>
      <w:bookmarkEnd w:id="297"/>
      <w:r>
        <w:rPr>
          <w:rFonts w:ascii="Times New Roman;Times;Serif" w:hAnsi="Times New Roman;Times;Serif"/>
          <w:b w:val="false"/>
          <w:i w:val="false"/>
          <w:caps w:val="false"/>
          <w:smallCaps w:val="false"/>
          <w:sz w:val="20"/>
        </w:rPr>
        <w:t>The Company has also agreed to issue to Wainwright or its designees preferred investment options upon the closing of such offerings, equal to five (5.0%) percent of the aggregate number of such shares of common stock in such offerings. In addition, upon exercise for cash of any investment options by an investor, the Company has agreed to pay Wainwright a cash fee equal to 7.0% of the gross proceeds from such exercise and to issue to Wainwright or its designees additional preferred investment options equal to five (5.0%) percent of the aggregate number of shares of common stock issued upon such exercise See also Note 4C below.</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Acquisition of Nitiloop’s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 Assets, Microbot Israel shall pay royalties to Nitiloop, which shall not, in the aggregate, exceed $</w:t>
      </w:r>
      <w:bookmarkStart w:id="298" w:name="xdx_904_eus-gaap--StockIssuedDuringPerio"/>
      <w:bookmarkEnd w:id="298"/>
      <w:r>
        <w:rPr>
          <w:rFonts w:ascii="Times New Roman;Times;Serif" w:hAnsi="Times New Roman;Times;Serif"/>
          <w:b w:val="false"/>
          <w:i w:val="false"/>
          <w:caps w:val="false"/>
          <w:smallCaps w:val="false"/>
          <w:sz w:val="20"/>
        </w:rPr>
        <w:t>8,000,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299" w:name="xdx_905_ecustom--RoyaltiesPercentage1_pi"/>
      <w:bookmarkEnd w:id="299"/>
      <w:r>
        <w:rPr>
          <w:rFonts w:ascii="Times New Roman;Times;Serif" w:hAnsi="Times New Roman;Times;Serif"/>
          <w:b w:val="false"/>
          <w:i w:val="false"/>
          <w:caps w:val="false"/>
          <w:smallCaps w:val="false"/>
          <w:sz w:val="20"/>
        </w:rPr>
        <w:t>3% of net revenue generated as a result of sales, license or other exploitation of the Devices;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at a rate of </w:t>
      </w:r>
      <w:bookmarkStart w:id="300" w:name="xdx_903_ecustom--RoyaltiesPercentage1_pi"/>
      <w:bookmarkEnd w:id="300"/>
      <w:r>
        <w:rPr>
          <w:rFonts w:ascii="Times New Roman;Times;Serif" w:hAnsi="Times New Roman;Times;Serif"/>
          <w:b w:val="false"/>
          <w:i w:val="false"/>
          <w:caps w:val="false"/>
          <w:smallCaps w:val="false"/>
          <w:sz w:val="20"/>
        </w:rPr>
        <w:t>1.5% of net revenue generated from the sale, license or other exploitation of commercialization of the technology as part of an integrated product.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Litigation resulting from the 2017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w:t>
      </w:r>
      <w:bookmarkStart w:id="301" w:name="xdx_90E_eus-gaap--LossContingencyDamages"/>
      <w:bookmarkEnd w:id="301"/>
      <w:r>
        <w:rPr>
          <w:rFonts w:ascii="Times New Roman;Times;Serif" w:hAnsi="Times New Roman;Times;Serif"/>
          <w:b w:val="false"/>
          <w:i w:val="false"/>
          <w:caps w:val="false"/>
          <w:smallCaps w:val="false"/>
          <w:sz w:val="20"/>
        </w:rPr>
        <w:t>6,750 purchase price with respect to the 2017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“Effective Date”), the Company entered into a settlement agreement and release with the Plaintiffs (the “Settlement Agreement”), effectively resolving the Lawsuit.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Company paid $</w:t>
      </w:r>
      <w:bookmarkStart w:id="302" w:name="xdx_90C_eus-gaap--LitigationSettlementAm"/>
      <w:bookmarkEnd w:id="302"/>
      <w:r>
        <w:rPr>
          <w:rFonts w:ascii="Times New Roman;Times;Serif" w:hAnsi="Times New Roman;Times;Serif"/>
          <w:b w:val="false"/>
          <w:i w:val="false"/>
          <w:caps w:val="false"/>
          <w:smallCaps w:val="false"/>
          <w:sz w:val="20"/>
        </w:rPr>
        <w:t>2,154 consisting of a cash payment of $</w:t>
      </w:r>
      <w:bookmarkStart w:id="303" w:name="xdx_901_eus-gaap--PaymentsForLegalSettle"/>
      <w:bookmarkEnd w:id="303"/>
      <w:r>
        <w:rPr>
          <w:rFonts w:ascii="Times New Roman;Times;Serif" w:hAnsi="Times New Roman;Times;Serif"/>
          <w:b w:val="false"/>
          <w:i w:val="false"/>
          <w:caps w:val="false"/>
          <w:smallCaps w:val="false"/>
          <w:sz w:val="20"/>
        </w:rPr>
        <w:t xml:space="preserve">1,100, covered by the Company’s insurance company, and </w:t>
      </w:r>
      <w:bookmarkStart w:id="304" w:name="xdx_901_eus-gaap--StockIssuedDuringPerio"/>
      <w:bookmarkEnd w:id="304"/>
      <w:r>
        <w:rPr>
          <w:rFonts w:ascii="Times New Roman;Times;Serif" w:hAnsi="Times New Roman;Times;Serif"/>
          <w:b w:val="false"/>
          <w:i w:val="false"/>
          <w:caps w:val="false"/>
          <w:smallCaps w:val="false"/>
          <w:sz w:val="20"/>
        </w:rPr>
        <w:t>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loss contingency should be recognized as non-operating losses, offset by loss recoveries received from the Company’s insurance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Settlement Agreement and the insurance recovery received from the insurance company, as of December 31, 2023, the Company recorded a current liability and a current asset on its consolidated balance sheet totaling $</w:t>
      </w:r>
      <w:bookmarkStart w:id="305" w:name="xdx_90C_eus-gaap--LiabilitiesCurrent_iI_"/>
      <w:bookmarkEnd w:id="305"/>
      <w:r>
        <w:rPr>
          <w:rFonts w:ascii="Times New Roman;Times;Serif" w:hAnsi="Times New Roman;Times;Serif"/>
          <w:b w:val="false"/>
          <w:i w:val="false"/>
          <w:caps w:val="false"/>
          <w:smallCaps w:val="false"/>
          <w:sz w:val="20"/>
        </w:rPr>
        <w:t>2,211 and $</w:t>
      </w:r>
      <w:bookmarkStart w:id="306" w:name="xdx_905_eus-gaap--AssetsCurrent_iI_pn3n3"/>
      <w:bookmarkEnd w:id="306"/>
      <w:r>
        <w:rPr>
          <w:rFonts w:ascii="Times New Roman;Times;Serif" w:hAnsi="Times New Roman;Times;Serif"/>
          <w:b w:val="false"/>
          <w:i w:val="false"/>
          <w:caps w:val="false"/>
          <w:smallCaps w:val="false"/>
          <w:sz w:val="20"/>
        </w:rPr>
        <w:t>1,335, respectively. Within this asset, $</w:t>
      </w:r>
      <w:bookmarkStart w:id="307" w:name="xdx_909_eus-gaap--LossContingencyReceiva"/>
      <w:bookmarkEnd w:id="307"/>
      <w:r>
        <w:rPr>
          <w:rFonts w:ascii="Times New Roman;Times;Serif" w:hAnsi="Times New Roman;Times;Serif"/>
          <w:b w:val="false"/>
          <w:i w:val="false"/>
          <w:caps w:val="false"/>
          <w:smallCaps w:val="false"/>
          <w:sz w:val="20"/>
        </w:rPr>
        <w:t>1,100 represents the recovery of the cash payment of the settlement amount, and $</w:t>
      </w:r>
      <w:bookmarkStart w:id="308" w:name="xdx_902_eus-gaap--LegalFees_pn3n3_c20230"/>
      <w:bookmarkEnd w:id="308"/>
      <w:r>
        <w:rPr>
          <w:rFonts w:ascii="Times New Roman;Times;Serif" w:hAnsi="Times New Roman;Times;Serif"/>
          <w:b w:val="false"/>
          <w:i w:val="false"/>
          <w:caps w:val="false"/>
          <w:smallCaps w:val="false"/>
          <w:sz w:val="20"/>
        </w:rPr>
        <w:t>235 represents recovery of legal expenses. A net non-operating loss of $</w:t>
      </w:r>
      <w:bookmarkStart w:id="309" w:name="xdx_908_eus-gaap--GainLossRelatedToLitig"/>
      <w:bookmarkEnd w:id="309"/>
      <w:r>
        <w:rPr>
          <w:rFonts w:ascii="Times New Roman;Times;Serif" w:hAnsi="Times New Roman;Times;Serif"/>
          <w:b w:val="false"/>
          <w:i w:val="false"/>
          <w:caps w:val="false"/>
          <w:smallCaps w:val="false"/>
          <w:sz w:val="20"/>
        </w:rPr>
        <w:t>1,111 from legal settlement was reflected in the Company’s consolidated statement of comprehensive loss for the year ended December 31, 2023. In the first quarter of 2024, the Company received $</w:t>
      </w:r>
      <w:bookmarkStart w:id="310" w:name="xdx_902_ecustom--InsuranceRecoveryAmount"/>
      <w:bookmarkEnd w:id="310"/>
      <w:r>
        <w:rPr>
          <w:rFonts w:ascii="Times New Roman;Times;Serif" w:hAnsi="Times New Roman;Times;Serif"/>
          <w:b w:val="false"/>
          <w:i w:val="false"/>
          <w:caps w:val="false"/>
          <w:smallCaps w:val="false"/>
          <w:sz w:val="20"/>
        </w:rPr>
        <w:t>1,335 from the insurance company. Additionally, during the first quarter of 2024, the Company paid the settlement amount by transferring $</w:t>
      </w:r>
      <w:bookmarkStart w:id="311" w:name="xdx_90C_eus-gaap--PaymentsForLegalSettle"/>
      <w:bookmarkEnd w:id="311"/>
      <w:r>
        <w:rPr>
          <w:rFonts w:ascii="Times New Roman;Times;Serif" w:hAnsi="Times New Roman;Times;Serif"/>
          <w:b w:val="false"/>
          <w:i w:val="false"/>
          <w:caps w:val="false"/>
          <w:smallCaps w:val="false"/>
          <w:sz w:val="20"/>
        </w:rPr>
        <w:t xml:space="preserve">1,100 in cash to the Plaintiffs and issuing </w:t>
      </w:r>
      <w:bookmarkStart w:id="312" w:name="xdx_909_eus-gaap--StockIssuedDuringPerio"/>
      <w:bookmarkEnd w:id="312"/>
      <w:r>
        <w:rPr>
          <w:rFonts w:ascii="Times New Roman;Times;Serif" w:hAnsi="Times New Roman;Times;Serif"/>
          <w:b w:val="false"/>
          <w:i w:val="false"/>
          <w:caps w:val="false"/>
          <w:smallCaps w:val="false"/>
          <w:sz w:val="20"/>
        </w:rPr>
        <w:t>1,005,965 shares of the Company’s common stock, thereby settling the liability recorded as of December 31, 2023.</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Mona litigation:</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an appellate court held in favor of the Company with respect to a 2019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As a result, the Company received a judgment in the amount of approximately $</w:t>
      </w:r>
      <w:bookmarkStart w:id="313" w:name="xdx_90D_eus-gaap--ProceedsFromLegalSettl"/>
      <w:bookmarkEnd w:id="313"/>
      <w:r>
        <w:rPr>
          <w:rFonts w:ascii="Times New Roman;Times;Serif" w:hAnsi="Times New Roman;Times;Serif"/>
          <w:b w:val="false"/>
          <w:i w:val="false"/>
          <w:caps w:val="false"/>
          <w:smallCaps w:val="false"/>
          <w:sz w:val="20"/>
        </w:rPr>
        <w:t>316, net of legal fees and expenses. The amount received was recorded as other income in the Company’s interim condensed consolidated statement of comprehensive loss. A subsequent petition by the defendant to the United States Supreme Court for review to overturn the appellate court’s ruling has been denied.</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Employment-Related Matter</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17, 2025, the Company received a demand letter from legal counsel representing a former employee in connection with an employment-related matter. As of the issuance date of these financial statements, the Company has not received a formal notice or service of a claim from any government agency or with respect to any court, tribunal or panel. Based on its initial assessment, the Company believes the claims are without merit.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Accrued bonuses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recorded accrued bonuses to the CEO and other executives, in the aggregate amount of $</w:t>
      </w:r>
      <w:bookmarkStart w:id="314" w:name="xdx_90B_eus-gaap--AccruedBonusesCurrentA"/>
      <w:bookmarkEnd w:id="314"/>
      <w:r>
        <w:rPr>
          <w:rFonts w:ascii="Times New Roman;Times;Serif" w:hAnsi="Times New Roman;Times;Serif"/>
          <w:b w:val="false"/>
          <w:i w:val="false"/>
          <w:caps w:val="false"/>
          <w:smallCaps w:val="false"/>
          <w:sz w:val="20"/>
        </w:rPr>
        <w:t>535.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15" w:name="xdx_804_eus-gaap--StockholdersEquityNote"/>
      <w:bookmarkEnd w:id="315"/>
      <w:r>
        <w:rPr>
          <w:rFonts w:ascii="Times New Roman;Times;Serif" w:hAnsi="Times New Roman;Times;Serif"/>
          <w:b/>
          <w:i w:val="false"/>
          <w:caps w:val="false"/>
          <w:smallCaps w:val="false"/>
          <w:sz w:val="20"/>
        </w:rPr>
        <w:t xml:space="preserve">NOTE 4 - </w:t>
      </w:r>
      <w:bookmarkStart w:id="316" w:name="xdx_825_zmWl69KtHYmf"/>
      <w:bookmarkEnd w:id="316"/>
      <w:r>
        <w:rPr>
          <w:rFonts w:ascii="Times New Roman;Times;Serif" w:hAnsi="Times New Roman;Times;Serif"/>
          <w:b/>
          <w:i w:val="false"/>
          <w:caps w:val="false"/>
          <w:smallCaps w:val="false"/>
          <w:sz w:val="20"/>
        </w:rPr>
        <w:t>SHARE CAPITAL</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Registered direct and private placement offerings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317" w:name="xdx_90E_eus-gaap--StockIssuedDuringPerio"/>
      <w:bookmarkEnd w:id="317"/>
      <w:r>
        <w:rPr>
          <w:rFonts w:ascii="Times New Roman;Times;Serif" w:hAnsi="Times New Roman;Times;Serif"/>
          <w:b w:val="false"/>
          <w:i w:val="false"/>
          <w:caps w:val="false"/>
          <w:smallCaps w:val="false"/>
          <w:sz w:val="20"/>
        </w:rPr>
        <w:t>4,000,001 shares of the Company’s common stock, par value $</w:t>
      </w:r>
      <w:bookmarkStart w:id="318" w:name="xdx_905_eus-gaap--CommonStockParOrStated"/>
      <w:bookmarkEnd w:id="318"/>
      <w:r>
        <w:rPr>
          <w:rFonts w:ascii="Times New Roman;Times;Serif" w:hAnsi="Times New Roman;Times;Serif"/>
          <w:b w:val="false"/>
          <w:i w:val="false"/>
          <w:caps w:val="false"/>
          <w:smallCaps w:val="false"/>
          <w:sz w:val="20"/>
        </w:rPr>
        <w:t>0.01 per share, at an offering price of $</w:t>
      </w:r>
      <w:bookmarkStart w:id="319" w:name="xdx_90D_eus-gaap--SharesIssuedPricePerSh"/>
      <w:bookmarkEnd w:id="319"/>
      <w:r>
        <w:rPr>
          <w:rFonts w:ascii="Times New Roman;Times;Serif" w:hAnsi="Times New Roman;Times;Serif"/>
          <w:b w:val="false"/>
          <w:i w:val="false"/>
          <w:caps w:val="false"/>
          <w:smallCaps w:val="false"/>
          <w:sz w:val="20"/>
        </w:rPr>
        <w:t>1.75 per share, for aggregate gross proceeds from the offerings of approximately $</w:t>
      </w:r>
      <w:bookmarkStart w:id="320" w:name="xdx_90E_eus-gaap--ProceedsFromIssuanceOf"/>
      <w:bookmarkEnd w:id="320"/>
      <w:r>
        <w:rPr>
          <w:rFonts w:ascii="Times New Roman;Times;Serif" w:hAnsi="Times New Roman;Times;Serif"/>
          <w:b w:val="false"/>
          <w:i w:val="false"/>
          <w:caps w:val="false"/>
          <w:smallCaps w:val="false"/>
          <w:sz w:val="20"/>
        </w:rPr>
        <w:t>7,000 before deducting the placement agent fee and related offering expenses of approximately $</w:t>
      </w:r>
      <w:bookmarkStart w:id="321" w:name="xdx_901_eus-gaap--DeferredOfferingCosts_"/>
      <w:bookmarkEnd w:id="321"/>
      <w:r>
        <w:rPr>
          <w:rFonts w:ascii="Times New Roman;Times;Serif" w:hAnsi="Times New Roman;Times;Serif"/>
          <w:b w:val="false"/>
          <w:i w:val="false"/>
          <w:caps w:val="false"/>
          <w:smallCaps w:val="false"/>
          <w:sz w:val="20"/>
        </w:rPr>
        <w:t xml:space="preserve">690. In a concurrent private placement, the Company agreed to issue to the investors series G preferred investment options to purchase up to </w:t>
      </w:r>
      <w:bookmarkStart w:id="322" w:name="xdx_90A_eus-gaap--StockIssuedDuringPerio"/>
      <w:bookmarkEnd w:id="322"/>
      <w:r>
        <w:rPr>
          <w:rFonts w:ascii="Times New Roman;Times;Serif" w:hAnsi="Times New Roman;Times;Serif"/>
          <w:b w:val="false"/>
          <w:i w:val="false"/>
          <w:caps w:val="false"/>
          <w:smallCaps w:val="false"/>
          <w:sz w:val="20"/>
        </w:rPr>
        <w:t>8,000,002 shares of common stock at an exercise price of $</w:t>
      </w:r>
      <w:bookmarkStart w:id="323" w:name="xdx_908_eus-gaap--SharesIssuedPricePerSh"/>
      <w:bookmarkEnd w:id="323"/>
      <w:r>
        <w:rPr>
          <w:rFonts w:ascii="Times New Roman;Times;Serif" w:hAnsi="Times New Roman;Times;Serif"/>
          <w:b w:val="false"/>
          <w:i w:val="false"/>
          <w:caps w:val="false"/>
          <w:smallCaps w:val="false"/>
          <w:sz w:val="20"/>
        </w:rPr>
        <w:t xml:space="preserve">1.75 per share. Each Series G preferred investment option is exercisable immediately and will expire two years from the initial exercise date. The Company also issued to Wainwright or its designees preferred investment options to purchase up to </w:t>
      </w:r>
      <w:bookmarkStart w:id="324" w:name="xdx_907_eus-gaap--StockIssuedDuringPerio"/>
      <w:bookmarkEnd w:id="324"/>
      <w:r>
        <w:rPr>
          <w:rFonts w:ascii="Times New Roman;Times;Serif" w:hAnsi="Times New Roman;Times;Serif"/>
          <w:b w:val="false"/>
          <w:i w:val="false"/>
          <w:caps w:val="false"/>
          <w:smallCaps w:val="false"/>
          <w:sz w:val="20"/>
        </w:rPr>
        <w:t>200,000 shares of common stock which have the same terms as investors’ preferred investment options except for an exercise price equal to $</w:t>
      </w:r>
      <w:bookmarkStart w:id="325" w:name="xdx_908_eus-gaap--SharesIssuedPricePerSh"/>
      <w:bookmarkEnd w:id="325"/>
      <w:r>
        <w:rPr>
          <w:rFonts w:ascii="Times New Roman;Times;Serif" w:hAnsi="Times New Roman;Times;Serif"/>
          <w:b w:val="false"/>
          <w:i w:val="false"/>
          <w:caps w:val="false"/>
          <w:smallCaps w:val="false"/>
          <w:sz w:val="20"/>
        </w:rPr>
        <w:t>2.1875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7,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326" w:name="xdx_902_eus-gaap--StockIssuedDuringPerio"/>
      <w:bookmarkEnd w:id="326"/>
      <w:r>
        <w:rPr>
          <w:rFonts w:ascii="Times New Roman;Times;Serif" w:hAnsi="Times New Roman;Times;Serif"/>
          <w:b w:val="false"/>
          <w:i w:val="false"/>
          <w:caps w:val="false"/>
          <w:smallCaps w:val="false"/>
          <w:sz w:val="20"/>
        </w:rPr>
        <w:t>3,788,550 shares of the Company’s common stock, par value $</w:t>
      </w:r>
      <w:bookmarkStart w:id="327" w:name="xdx_900_eus-gaap--CommonStockParOrStated"/>
      <w:bookmarkEnd w:id="327"/>
      <w:r>
        <w:rPr>
          <w:rFonts w:ascii="Times New Roman;Times;Serif" w:hAnsi="Times New Roman;Times;Serif"/>
          <w:b w:val="false"/>
          <w:i w:val="false"/>
          <w:caps w:val="false"/>
          <w:smallCaps w:val="false"/>
          <w:sz w:val="20"/>
        </w:rPr>
        <w:t>0.01 per share, at an offering price of $</w:t>
      </w:r>
      <w:bookmarkStart w:id="328" w:name="xdx_908_eus-gaap--SharesIssuedPricePerSh"/>
      <w:bookmarkEnd w:id="328"/>
      <w:r>
        <w:rPr>
          <w:rFonts w:ascii="Times New Roman;Times;Serif" w:hAnsi="Times New Roman;Times;Serif"/>
          <w:b w:val="false"/>
          <w:i w:val="false"/>
          <w:caps w:val="false"/>
          <w:smallCaps w:val="false"/>
          <w:sz w:val="20"/>
        </w:rPr>
        <w:t>2.27 per share, for aggregate gross proceeds from the offerings of approximately $</w:t>
      </w:r>
      <w:bookmarkStart w:id="329" w:name="xdx_90D_eus-gaap--ProceedsFromIssuanceOf"/>
      <w:bookmarkEnd w:id="329"/>
      <w:r>
        <w:rPr>
          <w:rFonts w:ascii="Times New Roman;Times;Serif" w:hAnsi="Times New Roman;Times;Serif"/>
          <w:b w:val="false"/>
          <w:i w:val="false"/>
          <w:caps w:val="false"/>
          <w:smallCaps w:val="false"/>
          <w:sz w:val="20"/>
        </w:rPr>
        <w:t>8,600 before deducting the placement agent fee and related offering expenses of approximately $</w:t>
      </w:r>
      <w:bookmarkStart w:id="330" w:name="xdx_904_eus-gaap--DeferredOfferingCosts_"/>
      <w:bookmarkEnd w:id="330"/>
      <w:r>
        <w:rPr>
          <w:rFonts w:ascii="Times New Roman;Times;Serif" w:hAnsi="Times New Roman;Times;Serif"/>
          <w:b w:val="false"/>
          <w:i w:val="false"/>
          <w:caps w:val="false"/>
          <w:smallCaps w:val="false"/>
          <w:sz w:val="20"/>
        </w:rPr>
        <w:t xml:space="preserve">818. In a concurrent private placement, the Company agreed to issue to the investors series H preferred investment options to purchase up to </w:t>
      </w:r>
      <w:bookmarkStart w:id="331" w:name="xdx_906_eus-gaap--StockIssuedDuringPerio"/>
      <w:bookmarkEnd w:id="331"/>
      <w:r>
        <w:rPr>
          <w:rFonts w:ascii="Times New Roman;Times;Serif" w:hAnsi="Times New Roman;Times;Serif"/>
          <w:b w:val="false"/>
          <w:i w:val="false"/>
          <w:caps w:val="false"/>
          <w:smallCaps w:val="false"/>
          <w:sz w:val="20"/>
        </w:rPr>
        <w:t>7,577,100 shares of common stock at an exercise price of $</w:t>
      </w:r>
      <w:bookmarkStart w:id="332" w:name="xdx_90D_eus-gaap--SharesIssuedPricePerSh"/>
      <w:bookmarkEnd w:id="332"/>
      <w:r>
        <w:rPr>
          <w:rFonts w:ascii="Times New Roman;Times;Serif" w:hAnsi="Times New Roman;Times;Serif"/>
          <w:b w:val="false"/>
          <w:i w:val="false"/>
          <w:caps w:val="false"/>
          <w:smallCaps w:val="false"/>
          <w:sz w:val="20"/>
        </w:rPr>
        <w:t xml:space="preserve">2.10 per share. Each Series H preferred investment option is exercisable immediately and will expire two years from the initial exercise date. The Company also issued to Wainwright or its designees preferred investment options to purchase up to </w:t>
      </w:r>
      <w:bookmarkStart w:id="333" w:name="xdx_907_eus-gaap--StockIssuedDuringPerio"/>
      <w:bookmarkEnd w:id="333"/>
      <w:r>
        <w:rPr>
          <w:rFonts w:ascii="Times New Roman;Times;Serif" w:hAnsi="Times New Roman;Times;Serif"/>
          <w:b w:val="false"/>
          <w:i w:val="false"/>
          <w:caps w:val="false"/>
          <w:smallCaps w:val="false"/>
          <w:sz w:val="20"/>
        </w:rPr>
        <w:t>189,428 shares of common stock which have the same terms as investors’ preferred investment options except for an exercise price equal to $</w:t>
      </w:r>
      <w:bookmarkStart w:id="334" w:name="xdx_901_eus-gaap--SharesIssuedPricePerSh"/>
      <w:bookmarkEnd w:id="334"/>
      <w:r>
        <w:rPr>
          <w:rFonts w:ascii="Times New Roman;Times;Serif" w:hAnsi="Times New Roman;Times;Serif"/>
          <w:b w:val="false"/>
          <w:i w:val="false"/>
          <w:caps w:val="false"/>
          <w:smallCaps w:val="false"/>
          <w:sz w:val="20"/>
        </w:rPr>
        <w:t>2.8375 per share.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2025, the Company entered into Securities Purchase Agreements with institutional investors, pursuant to which the Company agreed to issue and sell, in a registered direct offering priced at-the-market under the rules of the Nasdaq Stock Market, an aggregate of </w:t>
      </w:r>
      <w:bookmarkStart w:id="335" w:name="xdx_900_eus-gaap--StockIssuedDuringPerio"/>
      <w:bookmarkEnd w:id="335"/>
      <w:r>
        <w:rPr>
          <w:rFonts w:ascii="Times New Roman;Times;Serif" w:hAnsi="Times New Roman;Times;Serif"/>
          <w:b w:val="false"/>
          <w:i w:val="false"/>
          <w:caps w:val="false"/>
          <w:smallCaps w:val="false"/>
          <w:sz w:val="20"/>
        </w:rPr>
        <w:t>6,103,289 shares of the Company’s common stock, par value $</w:t>
      </w:r>
      <w:bookmarkStart w:id="336" w:name="xdx_90A_eus-gaap--CommonStockParOrStated"/>
      <w:bookmarkEnd w:id="336"/>
      <w:r>
        <w:rPr>
          <w:rFonts w:ascii="Times New Roman;Times;Serif" w:hAnsi="Times New Roman;Times;Serif"/>
          <w:b w:val="false"/>
          <w:i w:val="false"/>
          <w:caps w:val="false"/>
          <w:smallCaps w:val="false"/>
          <w:sz w:val="20"/>
        </w:rPr>
        <w:t>0.01 per share, at an offering price of $</w:t>
      </w:r>
      <w:bookmarkStart w:id="337" w:name="xdx_90E_eus-gaap--SharesIssuedPricePerSh"/>
      <w:bookmarkEnd w:id="337"/>
      <w:r>
        <w:rPr>
          <w:rFonts w:ascii="Times New Roman;Times;Serif" w:hAnsi="Times New Roman;Times;Serif"/>
          <w:b w:val="false"/>
          <w:i w:val="false"/>
          <w:caps w:val="false"/>
          <w:smallCaps w:val="false"/>
          <w:sz w:val="20"/>
        </w:rPr>
        <w:t>2.13 per share, for aggregate gross proceeds from the offerings of approximately $</w:t>
      </w:r>
      <w:bookmarkStart w:id="338" w:name="xdx_901_eus-gaap--ProceedsFromIssuanceOf"/>
      <w:bookmarkEnd w:id="338"/>
      <w:r>
        <w:rPr>
          <w:rFonts w:ascii="Times New Roman;Times;Serif" w:hAnsi="Times New Roman;Times;Serif"/>
          <w:b w:val="false"/>
          <w:i w:val="false"/>
          <w:caps w:val="false"/>
          <w:smallCaps w:val="false"/>
          <w:sz w:val="20"/>
        </w:rPr>
        <w:t>13,000 before deducting the placement agent fee and related offering expenses of approximately $</w:t>
      </w:r>
      <w:bookmarkStart w:id="339" w:name="xdx_90C_eus-gaap--DeferredOfferingCosts_"/>
      <w:bookmarkEnd w:id="339"/>
      <w:r>
        <w:rPr>
          <w:rFonts w:ascii="Times New Roman;Times;Serif" w:hAnsi="Times New Roman;Times;Serif"/>
          <w:b w:val="false"/>
          <w:i w:val="false"/>
          <w:caps w:val="false"/>
          <w:smallCaps w:val="false"/>
          <w:sz w:val="20"/>
        </w:rPr>
        <w:t xml:space="preserve">1,175. In a concurrent private placement, the Company agreed to issue to the investors series I preferred investment options to purchase up to </w:t>
      </w:r>
      <w:bookmarkStart w:id="340" w:name="xdx_903_eus-gaap--StockIssuedDuringPerio"/>
      <w:bookmarkEnd w:id="340"/>
      <w:r>
        <w:rPr>
          <w:rFonts w:ascii="Times New Roman;Times;Serif" w:hAnsi="Times New Roman;Times;Serif"/>
          <w:b w:val="false"/>
          <w:i w:val="false"/>
          <w:caps w:val="false"/>
          <w:smallCaps w:val="false"/>
          <w:sz w:val="20"/>
        </w:rPr>
        <w:t>12,206,578 shares of common stock at an exercise price of $</w:t>
      </w:r>
      <w:bookmarkStart w:id="341" w:name="xdx_905_eus-gaap--SharesIssuedPricePerSh"/>
      <w:bookmarkEnd w:id="341"/>
      <w:r>
        <w:rPr>
          <w:rFonts w:ascii="Times New Roman;Times;Serif" w:hAnsi="Times New Roman;Times;Serif"/>
          <w:b w:val="false"/>
          <w:i w:val="false"/>
          <w:caps w:val="false"/>
          <w:smallCaps w:val="false"/>
          <w:sz w:val="20"/>
        </w:rPr>
        <w:t>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 Net cash settlements are not permitted under any event under the Securities Purchase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to Wainwright or its designees preferred investment options to purchase up to </w:t>
      </w:r>
      <w:bookmarkStart w:id="342" w:name="xdx_900_eus-gaap--StockIssuedDuringPerio"/>
      <w:bookmarkEnd w:id="342"/>
      <w:r>
        <w:rPr>
          <w:rFonts w:ascii="Times New Roman;Times;Serif" w:hAnsi="Times New Roman;Times;Serif"/>
          <w:b w:val="false"/>
          <w:i w:val="false"/>
          <w:caps w:val="false"/>
          <w:smallCaps w:val="false"/>
          <w:sz w:val="20"/>
        </w:rPr>
        <w:t>305,164 shares of common stock which have the same terms as investors’ preferred investment options except for an exercise price equal to $</w:t>
      </w:r>
      <w:bookmarkStart w:id="343" w:name="xdx_904_eus-gaap--SharesIssuedPricePerSh"/>
      <w:bookmarkEnd w:id="343"/>
      <w:r>
        <w:rPr>
          <w:rFonts w:ascii="Times New Roman;Times;Serif" w:hAnsi="Times New Roman;Times;Serif"/>
          <w:b w:val="false"/>
          <w:i w:val="false"/>
          <w:caps w:val="false"/>
          <w:smallCaps w:val="false"/>
          <w:sz w:val="20"/>
        </w:rPr>
        <w:t>2.6625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2025, at the Company’s annual meeting of stockholders, an amendment to the Company’s articles of incorporation was approved, increasing the number of authorized shares of common stock to </w:t>
      </w:r>
      <w:bookmarkStart w:id="344" w:name="xdx_90F_eus-gaap--CommonStockSharesAutho"/>
      <w:bookmarkEnd w:id="344"/>
      <w:r>
        <w:rPr>
          <w:rFonts w:ascii="Times New Roman;Times;Serif" w:hAnsi="Times New Roman;Times;Serif"/>
          <w:b w:val="false"/>
          <w:i w:val="false"/>
          <w:caps w:val="false"/>
          <w:smallCaps w:val="false"/>
          <w:sz w:val="20"/>
        </w:rPr>
        <w:t>120,000,000. The amendment was subsequently filed with and accepted by the State of Delaware law and became effective on that date. Refer to Note 4G.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Series I preferred investment options to purchase up to </w:t>
      </w:r>
      <w:bookmarkStart w:id="345" w:name="xdx_906_eus-gaap--StockIssuedDuringPerio"/>
      <w:bookmarkEnd w:id="345"/>
      <w:r>
        <w:rPr>
          <w:rFonts w:ascii="Times New Roman;Times;Serif" w:hAnsi="Times New Roman;Times;Serif"/>
          <w:b w:val="false"/>
          <w:i w:val="false"/>
          <w:caps w:val="false"/>
          <w:smallCaps w:val="false"/>
          <w:sz w:val="20"/>
        </w:rPr>
        <w:t>12,206,578 shares of common stock at an exercise price of $</w:t>
      </w:r>
      <w:bookmarkStart w:id="346" w:name="xdx_904_eus-gaap--SharesIssuedPricePerSh"/>
      <w:bookmarkEnd w:id="346"/>
      <w:r>
        <w:rPr>
          <w:rFonts w:ascii="Times New Roman;Times;Serif" w:hAnsi="Times New Roman;Times;Serif"/>
          <w:b w:val="false"/>
          <w:i w:val="false"/>
          <w:caps w:val="false"/>
          <w:smallCaps w:val="false"/>
          <w:sz w:val="20"/>
        </w:rPr>
        <w:t xml:space="preserve">2.13 per share, and the placement agent preferred investment options to purchase up to </w:t>
      </w:r>
      <w:bookmarkStart w:id="347" w:name="xdx_901_eus-gaap--StockIssuedDuringPerio"/>
      <w:bookmarkEnd w:id="347"/>
      <w:r>
        <w:rPr>
          <w:rFonts w:ascii="Times New Roman;Times;Serif" w:hAnsi="Times New Roman;Times;Serif"/>
          <w:b w:val="false"/>
          <w:i w:val="false"/>
          <w:caps w:val="false"/>
          <w:smallCaps w:val="false"/>
          <w:sz w:val="20"/>
        </w:rPr>
        <w:t>305,164 shares of common stock at an exercise price of $</w:t>
      </w:r>
      <w:bookmarkStart w:id="348" w:name="xdx_90E_eus-gaap--SharesIssuedPricePerSh"/>
      <w:bookmarkEnd w:id="348"/>
      <w:r>
        <w:rPr>
          <w:rFonts w:ascii="Times New Roman;Times;Serif" w:hAnsi="Times New Roman;Times;Serif"/>
          <w:b w:val="false"/>
          <w:i w:val="false"/>
          <w:caps w:val="false"/>
          <w:smallCaps w:val="false"/>
          <w:sz w:val="20"/>
        </w:rPr>
        <w:t>2.6625 per share, each of which was issued on February 11, 2025, became immediately exercisable until their two year anniversary.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At-the-market offerings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filed with the SEC a prospectus supplement relating to the offer, issuance and sale of up to $</w:t>
      </w:r>
      <w:bookmarkStart w:id="349" w:name="xdx_90F_eus-gaap--SaleOfStockConsiderati"/>
      <w:bookmarkEnd w:id="349"/>
      <w:r>
        <w:rPr>
          <w:rFonts w:ascii="Times New Roman;Times;Serif" w:hAnsi="Times New Roman;Times;Serif"/>
          <w:b w:val="false"/>
          <w:i w:val="false"/>
          <w:caps w:val="false"/>
          <w:smallCaps w:val="false"/>
          <w:sz w:val="20"/>
        </w:rPr>
        <w:t>4,820 of the Company’s shares of common stock pursuant to the ATM Agreement. During the fiscal year ended December 31, 2024, the Company issued</w:t>
      </w:r>
      <w:bookmarkStart w:id="350" w:name="xdx_903_eus-gaap--StockIssuedDuringPerio"/>
      <w:bookmarkEnd w:id="350"/>
      <w:r>
        <w:rPr>
          <w:rFonts w:ascii="Times New Roman;Times;Serif" w:hAnsi="Times New Roman;Times;Serif"/>
          <w:b w:val="false"/>
          <w:i w:val="false"/>
          <w:caps w:val="false"/>
          <w:smallCaps w:val="false"/>
          <w:sz w:val="20"/>
        </w:rPr>
        <w:t xml:space="preserve"> 3,433,880 shares of the Company’s common stock pursuant to the ATM Agreement, for total gross proceeds of approximately $</w:t>
      </w:r>
      <w:bookmarkStart w:id="351" w:name="xdx_908_eus-gaap--ProceedsFromIssuanceOf"/>
      <w:bookmarkEnd w:id="351"/>
      <w:r>
        <w:rPr>
          <w:rFonts w:ascii="Times New Roman;Times;Serif" w:hAnsi="Times New Roman;Times;Serif"/>
          <w:b w:val="false"/>
          <w:i w:val="false"/>
          <w:caps w:val="false"/>
          <w:smallCaps w:val="false"/>
          <w:sz w:val="20"/>
        </w:rPr>
        <w:t>3,756 before deducting sales agent commissions and other offering expenses of $</w:t>
      </w:r>
      <w:bookmarkStart w:id="352" w:name="xdx_90E_eus-gaap--OtherExpenses_pn3n3_c2"/>
      <w:bookmarkEnd w:id="352"/>
      <w:r>
        <w:rPr>
          <w:rFonts w:ascii="Times New Roman;Times;Serif" w:hAnsi="Times New Roman;Times;Serif"/>
          <w:b w:val="false"/>
          <w:i w:val="false"/>
          <w:caps w:val="false"/>
          <w:smallCaps w:val="false"/>
          <w:sz w:val="20"/>
        </w:rPr>
        <w:t>239.</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issued </w:t>
      </w:r>
      <w:bookmarkStart w:id="353" w:name="xdx_90A_eus-gaap--StockIssuedDuringPerio"/>
      <w:bookmarkEnd w:id="353"/>
      <w:r>
        <w:rPr>
          <w:rFonts w:ascii="Times New Roman;Times;Serif" w:hAnsi="Times New Roman;Times;Serif"/>
          <w:b w:val="false"/>
          <w:i w:val="false"/>
          <w:caps w:val="false"/>
          <w:smallCaps w:val="false"/>
          <w:sz w:val="20"/>
        </w:rPr>
        <w:t>842,606 shares of the Company’s common stock pursuant to the ATM Agreement, for total gross proceeds of approximately $</w:t>
      </w:r>
      <w:bookmarkStart w:id="354" w:name="xdx_909_eus-gaap--ProceedsFromIssuanceOf"/>
      <w:bookmarkEnd w:id="354"/>
      <w:r>
        <w:rPr>
          <w:rFonts w:ascii="Times New Roman;Times;Serif" w:hAnsi="Times New Roman;Times;Serif"/>
          <w:b w:val="false"/>
          <w:i w:val="false"/>
          <w:caps w:val="false"/>
          <w:smallCaps w:val="false"/>
          <w:sz w:val="20"/>
        </w:rPr>
        <w:t>1,062 before deducting sales agent commissions and other offering expenses of $</w:t>
      </w:r>
      <w:bookmarkStart w:id="355" w:name="xdx_903_eus-gaap--OtherExpenses_pn3n3_c2"/>
      <w:bookmarkEnd w:id="355"/>
      <w:r>
        <w:rPr>
          <w:rFonts w:ascii="Times New Roman;Times;Serif" w:hAnsi="Times New Roman;Times;Serif"/>
          <w:b w:val="false"/>
          <w:i w:val="false"/>
          <w:caps w:val="false"/>
          <w:smallCaps w:val="false"/>
          <w:sz w:val="20"/>
        </w:rPr>
        <w:t>65. The Company is no longer selling its securities pursuant to the ATM Agreement and has not as of the filing of these financial statements entered into a new or replacement ATM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Exercise of Investment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raised approximately $</w:t>
      </w:r>
      <w:bookmarkStart w:id="356" w:name="xdx_904_eus-gaap--ProceedsFromStockOptio"/>
      <w:bookmarkEnd w:id="356"/>
      <w:r>
        <w:rPr>
          <w:rFonts w:ascii="Times New Roman;Times;Serif" w:hAnsi="Times New Roman;Times;Serif"/>
          <w:b w:val="false"/>
          <w:i w:val="false"/>
          <w:caps w:val="false"/>
          <w:smallCaps w:val="false"/>
          <w:sz w:val="20"/>
        </w:rPr>
        <w:t xml:space="preserve">916 in gross proceeds from the exercise of an aggregate of </w:t>
      </w:r>
      <w:bookmarkStart w:id="357" w:name="xdx_908_eus-gaap--ShareBasedCompensation"/>
      <w:bookmarkEnd w:id="357"/>
      <w:r>
        <w:rPr>
          <w:rFonts w:ascii="Times New Roman;Times;Serif" w:hAnsi="Times New Roman;Times;Serif"/>
          <w:b w:val="false"/>
          <w:i w:val="false"/>
          <w:caps w:val="false"/>
          <w:smallCaps w:val="false"/>
          <w:sz w:val="20"/>
        </w:rPr>
        <w:t>610,517 outstanding Series E preferred investment options. As a result of these exercises, and in accordance with the Company’s engagement letters with its placement agent, as mentioned in Note 3D, the Company paid a cash fee of approximately $</w:t>
      </w:r>
      <w:bookmarkStart w:id="358" w:name="xdx_908_eus-gaap--PaymentsForFees_pn3n3_"/>
      <w:bookmarkEnd w:id="358"/>
      <w:r>
        <w:rPr>
          <w:rFonts w:ascii="Times New Roman;Times;Serif" w:hAnsi="Times New Roman;Times;Serif"/>
          <w:b w:val="false"/>
          <w:i w:val="false"/>
          <w:caps w:val="false"/>
          <w:smallCaps w:val="false"/>
          <w:sz w:val="20"/>
        </w:rPr>
        <w:t xml:space="preserve">64 to its placement agent and issued an aggregate of </w:t>
      </w:r>
      <w:bookmarkStart w:id="359" w:name="xdx_907_eus-gaap--ShareBasedCompensation"/>
      <w:bookmarkEnd w:id="359"/>
      <w:r>
        <w:rPr>
          <w:rFonts w:ascii="Times New Roman;Times;Serif" w:hAnsi="Times New Roman;Times;Serif"/>
          <w:b w:val="false"/>
          <w:i w:val="false"/>
          <w:caps w:val="false"/>
          <w:smallCaps w:val="false"/>
          <w:sz w:val="20"/>
        </w:rPr>
        <w:t>30,526 placement agent options.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the Company raised approximately $</w:t>
      </w:r>
      <w:bookmarkStart w:id="360" w:name="xdx_90B_eus-gaap--ProceedsFromStockOptio"/>
      <w:bookmarkEnd w:id="360"/>
      <w:r>
        <w:rPr>
          <w:rFonts w:ascii="Times New Roman;Times;Serif" w:hAnsi="Times New Roman;Times;Serif"/>
          <w:b w:val="false"/>
          <w:i w:val="false"/>
          <w:caps w:val="false"/>
          <w:smallCaps w:val="false"/>
          <w:sz w:val="20"/>
        </w:rPr>
        <w:t xml:space="preserve">5,021 in gross proceeds from the exercise of an aggregate of </w:t>
      </w:r>
      <w:bookmarkStart w:id="361" w:name="xdx_906_eus-gaap--ShareBasedCompensation"/>
      <w:bookmarkEnd w:id="361"/>
      <w:r>
        <w:rPr>
          <w:rFonts w:ascii="Times New Roman;Times;Serif" w:hAnsi="Times New Roman;Times;Serif"/>
          <w:b w:val="false"/>
          <w:i w:val="false"/>
          <w:caps w:val="false"/>
          <w:smallCaps w:val="false"/>
          <w:sz w:val="20"/>
        </w:rPr>
        <w:t>3,313,840 outstanding Series E, Series F and Series G preferred investment options. As a result of these exercises, and in accordance with the Company’s engagement letters with its placement agent, as mentioned in Note 3D, the Company paid a cash fee of approximately $</w:t>
      </w:r>
      <w:bookmarkStart w:id="362" w:name="xdx_904_eus-gaap--PaymentsForFees_pn3n3_"/>
      <w:bookmarkEnd w:id="362"/>
      <w:r>
        <w:rPr>
          <w:rFonts w:ascii="Times New Roman;Times;Serif" w:hAnsi="Times New Roman;Times;Serif"/>
          <w:b w:val="false"/>
          <w:i w:val="false"/>
          <w:caps w:val="false"/>
          <w:smallCaps w:val="false"/>
          <w:sz w:val="20"/>
        </w:rPr>
        <w:t xml:space="preserve">352 to its placement agent and issued an aggregate of </w:t>
      </w:r>
      <w:bookmarkStart w:id="363" w:name="xdx_906_eus-gaap--ShareBasedCompensation"/>
      <w:bookmarkEnd w:id="363"/>
      <w:r>
        <w:rPr>
          <w:rFonts w:ascii="Times New Roman;Times;Serif" w:hAnsi="Times New Roman;Times;Serif"/>
          <w:b w:val="false"/>
          <w:i w:val="false"/>
          <w:caps w:val="false"/>
          <w:smallCaps w:val="false"/>
          <w:sz w:val="20"/>
        </w:rPr>
        <w:t>165,693 placement agent options.</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2025, the Company raised approximately $</w:t>
      </w:r>
      <w:bookmarkStart w:id="364" w:name="xdx_906_eus-gaap--ProceedsFromStockOptio"/>
      <w:bookmarkEnd w:id="364"/>
      <w:r>
        <w:rPr>
          <w:rFonts w:ascii="Times New Roman;Times;Serif" w:hAnsi="Times New Roman;Times;Serif"/>
          <w:b w:val="false"/>
          <w:i w:val="false"/>
          <w:caps w:val="false"/>
          <w:smallCaps w:val="false"/>
          <w:sz w:val="20"/>
        </w:rPr>
        <w:t xml:space="preserve">27,918 in gross proceeds from the exercise of an aggregate of </w:t>
      </w:r>
      <w:bookmarkStart w:id="365" w:name="xdx_907_eus-gaap--ShareBasedCompensation"/>
      <w:bookmarkEnd w:id="365"/>
      <w:r>
        <w:rPr>
          <w:rFonts w:ascii="Times New Roman;Times;Serif" w:hAnsi="Times New Roman;Times;Serif"/>
          <w:b w:val="false"/>
          <w:i w:val="false"/>
          <w:caps w:val="false"/>
          <w:smallCaps w:val="false"/>
          <w:sz w:val="20"/>
        </w:rPr>
        <w:t>14,689,228 outstanding Series E, Series F, Series G, Series H and Series I preferred investment options. As a result of these exercises, and in accordance with the Company’s engagement letters with its placement agent, as mentioned in Note 3D, the Company paid a cash fee of approximately $</w:t>
      </w:r>
      <w:bookmarkStart w:id="366" w:name="xdx_904_eus-gaap--PaymentsForFees_pn3n3_"/>
      <w:bookmarkEnd w:id="366"/>
      <w:r>
        <w:rPr>
          <w:rFonts w:ascii="Times New Roman;Times;Serif" w:hAnsi="Times New Roman;Times;Serif"/>
          <w:b w:val="false"/>
          <w:i w:val="false"/>
          <w:caps w:val="false"/>
          <w:smallCaps w:val="false"/>
          <w:sz w:val="20"/>
        </w:rPr>
        <w:t xml:space="preserve">1,954 to its placement agent and issued an aggregate of </w:t>
      </w:r>
      <w:bookmarkStart w:id="367" w:name="xdx_90F_eus-gaap--ShareBasedCompensation"/>
      <w:bookmarkEnd w:id="367"/>
      <w:r>
        <w:rPr>
          <w:rFonts w:ascii="Times New Roman;Times;Serif" w:hAnsi="Times New Roman;Times;Serif"/>
          <w:b w:val="false"/>
          <w:i w:val="false"/>
          <w:caps w:val="false"/>
          <w:smallCaps w:val="false"/>
          <w:sz w:val="20"/>
        </w:rPr>
        <w:t>734,461 placement agent options.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received gross proceeds of approximately $</w:t>
      </w:r>
      <w:bookmarkStart w:id="368" w:name="xdx_907_eus-gaap--ProceedsFromIssuanceOf"/>
      <w:bookmarkEnd w:id="368"/>
      <w:r>
        <w:rPr>
          <w:rFonts w:ascii="Times New Roman;Times;Serif" w:hAnsi="Times New Roman;Times;Serif"/>
          <w:b w:val="false"/>
          <w:i w:val="false"/>
          <w:caps w:val="false"/>
          <w:smallCaps w:val="false"/>
          <w:sz w:val="20"/>
        </w:rPr>
        <w:t xml:space="preserve">895 from the exercise of an aggregate of </w:t>
      </w:r>
      <w:bookmarkStart w:id="369" w:name="xdx_90E_eus-gaap--StockIssuedDuringPerio"/>
      <w:bookmarkEnd w:id="369"/>
      <w:r>
        <w:rPr>
          <w:rFonts w:ascii="Times New Roman;Times;Serif" w:hAnsi="Times New Roman;Times;Serif"/>
          <w:b w:val="false"/>
          <w:i w:val="false"/>
          <w:caps w:val="false"/>
          <w:smallCaps w:val="false"/>
          <w:sz w:val="20"/>
        </w:rPr>
        <w:t>374,167 outstanding placement agent options.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Equity classification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the Company is classified as equity under the requirements of ASC Topic 505 Equity.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all of the outstanding preferred investment options. Based on the Company’s analysis all such preferred investment options were classified as equity.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analyzed the accounting treatment for all of the outstanding preferred investment options issued to Wainwright. Since the Company did not identify any features causing liability classification according to ASC 718, it concluded that all such preferred investment options are equity-classified awards.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Employee Stock Option Grants and Exercises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CEO, its executives and management, fully vested options to purchase an aggregate of </w:t>
            </w:r>
            <w:bookmarkStart w:id="370" w:name="xdx_907_eus-gaap--ShareBasedCompensation"/>
            <w:bookmarkEnd w:id="370"/>
            <w:r>
              <w:rPr>
                <w:rFonts w:ascii="Times New Roman;Times;Serif" w:hAnsi="Times New Roman;Times;Serif"/>
                <w:b w:val="false"/>
                <w:i w:val="false"/>
                <w:caps w:val="false"/>
                <w:smallCaps w:val="false"/>
                <w:sz w:val="20"/>
              </w:rPr>
              <w:t xml:space="preserve">80,000 and </w:t>
            </w:r>
            <w:bookmarkStart w:id="371" w:name="xdx_905_eus-gaap--ShareBasedCompensation"/>
            <w:bookmarkEnd w:id="371"/>
            <w:r>
              <w:rPr>
                <w:rFonts w:ascii="Times New Roman;Times;Serif" w:hAnsi="Times New Roman;Times;Serif"/>
                <w:b w:val="false"/>
                <w:i w:val="false"/>
                <w:caps w:val="false"/>
                <w:smallCaps w:val="false"/>
                <w:sz w:val="20"/>
              </w:rPr>
              <w:t>50,000 shares of the Company’s common stock, respectively, at an exercise price per share of $</w:t>
            </w:r>
            <w:bookmarkStart w:id="372" w:name="xdx_905_eus-gaap--ShareBasedCompensation"/>
            <w:bookmarkEnd w:id="372"/>
            <w:r>
              <w:rPr>
                <w:rFonts w:ascii="Times New Roman;Times;Serif" w:hAnsi="Times New Roman;Times;Serif"/>
                <w:b w:val="false"/>
                <w:i w:val="false"/>
                <w:caps w:val="false"/>
                <w:smallCaps w:val="false"/>
                <w:sz w:val="20"/>
              </w:rPr>
              <w:t>1.2684.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CEO and certain executives, options to purchase an aggregate of </w:t>
            </w:r>
            <w:bookmarkStart w:id="373" w:name="xdx_90D_ecustom--AdditionalShareBasedCom"/>
            <w:bookmarkEnd w:id="373"/>
            <w:r>
              <w:rPr>
                <w:rFonts w:ascii="Times New Roman;Times;Serif" w:hAnsi="Times New Roman;Times;Serif"/>
                <w:b w:val="false"/>
                <w:i w:val="false"/>
                <w:caps w:val="false"/>
                <w:smallCaps w:val="false"/>
                <w:sz w:val="20"/>
              </w:rPr>
              <w:t xml:space="preserve">80,000 and </w:t>
            </w:r>
            <w:bookmarkStart w:id="374" w:name="xdx_902_ecustom--AdditionalShareBasedCom"/>
            <w:bookmarkEnd w:id="374"/>
            <w:r>
              <w:rPr>
                <w:rFonts w:ascii="Times New Roman;Times;Serif" w:hAnsi="Times New Roman;Times;Serif"/>
                <w:b w:val="false"/>
                <w:i w:val="false"/>
                <w:caps w:val="false"/>
                <w:smallCaps w:val="false"/>
                <w:sz w:val="20"/>
              </w:rPr>
              <w:t>52,500 shares of the Company’s common stock, respectively, at an exercise price per share of $</w:t>
            </w:r>
            <w:bookmarkStart w:id="375" w:name="xdx_908_eus-gaap--SharesIssuedPricePerSh"/>
            <w:bookmarkEnd w:id="375"/>
            <w:r>
              <w:rPr>
                <w:rFonts w:ascii="Times New Roman;Times;Serif" w:hAnsi="Times New Roman;Times;Serif"/>
                <w:b w:val="false"/>
                <w:i w:val="false"/>
                <w:caps w:val="false"/>
                <w:smallCaps w:val="false"/>
                <w:sz w:val="20"/>
              </w:rPr>
              <w:t>1.25. The vesting of these options is subject to the achievement of specified performance conditions. For the year ended December 31, 2024, the Company recorded an expense of $</w:t>
            </w:r>
            <w:bookmarkStart w:id="376" w:name="xdx_90A_eus-gaap--AllocatedShareBasedCom"/>
            <w:bookmarkEnd w:id="376"/>
            <w:r>
              <w:rPr>
                <w:rFonts w:ascii="Times New Roman;Times;Serif" w:hAnsi="Times New Roman;Times;Serif"/>
                <w:b w:val="false"/>
                <w:i w:val="false"/>
                <w:caps w:val="false"/>
                <w:smallCaps w:val="false"/>
                <w:sz w:val="20"/>
              </w:rPr>
              <w:t xml:space="preserve">38, reflecting management’s assessment that the specified performance milestones for </w:t>
            </w:r>
            <w:bookmarkStart w:id="377" w:name="xdx_90C_eus-gaap--StockIssuedDuringPerio"/>
            <w:bookmarkEnd w:id="377"/>
            <w:r>
              <w:rPr>
                <w:rFonts w:ascii="Times New Roman;Times;Serif" w:hAnsi="Times New Roman;Times;Serif"/>
                <w:b w:val="false"/>
                <w:i w:val="false"/>
                <w:caps w:val="false"/>
                <w:smallCaps w:val="false"/>
                <w:sz w:val="20"/>
              </w:rPr>
              <w:t xml:space="preserve">35,625 of the </w:t>
            </w:r>
            <w:bookmarkStart w:id="378" w:name="xdx_90C_eus-gaap--ShareBasedCompensation"/>
            <w:bookmarkEnd w:id="378"/>
            <w:r>
              <w:rPr>
                <w:rFonts w:ascii="Times New Roman;Times;Serif" w:hAnsi="Times New Roman;Times;Serif"/>
                <w:b w:val="false"/>
                <w:i w:val="false"/>
                <w:caps w:val="false"/>
                <w:smallCaps w:val="false"/>
                <w:sz w:val="20"/>
              </w:rPr>
              <w:t>132,500 options were achieved by their due date.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the CEO, its executives, and certain employees, options to purchase an aggregate of </w:t>
            </w:r>
            <w:bookmarkStart w:id="379" w:name="xdx_908_eus-gaap--ShareBasedCompensation"/>
            <w:bookmarkEnd w:id="379"/>
            <w:r>
              <w:rPr>
                <w:rFonts w:ascii="Times New Roman;Times;Serif" w:hAnsi="Times New Roman;Times;Serif"/>
                <w:b w:val="false"/>
                <w:i w:val="false"/>
                <w:caps w:val="false"/>
                <w:smallCaps w:val="false"/>
                <w:sz w:val="20"/>
              </w:rPr>
              <w:t xml:space="preserve">80,000 and </w:t>
            </w:r>
            <w:bookmarkStart w:id="380" w:name="xdx_90F_eus-gaap--ShareBasedCompensation"/>
            <w:bookmarkEnd w:id="380"/>
            <w:r>
              <w:rPr>
                <w:rFonts w:ascii="Times New Roman;Times;Serif" w:hAnsi="Times New Roman;Times;Serif"/>
                <w:b w:val="false"/>
                <w:i w:val="false"/>
                <w:caps w:val="false"/>
                <w:smallCaps w:val="false"/>
                <w:sz w:val="20"/>
              </w:rPr>
              <w:t>115,000 shares of the Company’s common stock, respectively, at an exercise price per share of $</w:t>
            </w:r>
            <w:bookmarkStart w:id="381" w:name="xdx_902_eus-gaap--SharesIssuedPricePerSh"/>
            <w:bookmarkEnd w:id="381"/>
            <w:r>
              <w:rPr>
                <w:rFonts w:ascii="Times New Roman;Times;Serif" w:hAnsi="Times New Roman;Times;Serif"/>
                <w:b w:val="false"/>
                <w:i w:val="false"/>
                <w:caps w:val="false"/>
                <w:smallCaps w:val="false"/>
                <w:sz w:val="20"/>
              </w:rPr>
              <w:t>1.2684, with a vesting period of three years.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granted an advisor options to purchase an aggregate of </w:t>
            </w:r>
            <w:bookmarkStart w:id="382" w:name="xdx_903_eus-gaap--ShareBasedCompensation"/>
            <w:bookmarkEnd w:id="382"/>
            <w:r>
              <w:rPr>
                <w:rFonts w:ascii="Times New Roman;Times;Serif" w:hAnsi="Times New Roman;Times;Serif"/>
                <w:b w:val="false"/>
                <w:i w:val="false"/>
                <w:caps w:val="false"/>
                <w:smallCaps w:val="false"/>
                <w:sz w:val="20"/>
              </w:rPr>
              <w:t>25,000 shares of the Company’s common stock, at an exercise price per share of $</w:t>
            </w:r>
            <w:bookmarkStart w:id="383" w:name="xdx_90B_eus-gaap--SharesIssuedPricePerSh"/>
            <w:bookmarkEnd w:id="383"/>
            <w:r>
              <w:rPr>
                <w:rFonts w:ascii="Times New Roman;Times;Serif" w:hAnsi="Times New Roman;Times;Serif"/>
                <w:b w:val="false"/>
                <w:i w:val="false"/>
                <w:caps w:val="false"/>
                <w:smallCaps w:val="false"/>
                <w:sz w:val="20"/>
              </w:rPr>
              <w:t>0.881, with a vesting period of three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the CEO’s 2023 annual bonus, during February 2024, the Company paid </w:t>
      </w:r>
      <w:bookmarkStart w:id="384" w:name="xdx_90F_eus-gaap--SharebasedCompensation"/>
      <w:bookmarkEnd w:id="384"/>
      <w:r>
        <w:rPr>
          <w:rFonts w:ascii="Times New Roman;Times;Serif" w:hAnsi="Times New Roman;Times;Serif"/>
          <w:b w:val="false"/>
          <w:i w:val="false"/>
          <w:caps w:val="false"/>
          <w:smallCaps w:val="false"/>
          <w:sz w:val="20"/>
        </w:rPr>
        <w:t>25% of the CEO’s total 2023 bonus - amounting to approximately $</w:t>
      </w:r>
      <w:bookmarkStart w:id="385" w:name="xdx_903_ecustom--AnnualBonus_pn3n3_c2024"/>
      <w:bookmarkEnd w:id="385"/>
      <w:r>
        <w:rPr>
          <w:rFonts w:ascii="Times New Roman;Times;Serif" w:hAnsi="Times New Roman;Times;Serif"/>
          <w:b w:val="false"/>
          <w:i w:val="false"/>
          <w:caps w:val="false"/>
          <w:smallCaps w:val="false"/>
          <w:sz w:val="20"/>
        </w:rPr>
        <w:t xml:space="preserve">99, through the grant of fully vested options to purchase an aggregate of </w:t>
      </w:r>
      <w:bookmarkStart w:id="386" w:name="xdx_906_eus-gaap--ShareBasedCompensation"/>
      <w:bookmarkEnd w:id="386"/>
      <w:r>
        <w:rPr>
          <w:rFonts w:ascii="Times New Roman;Times;Serif" w:hAnsi="Times New Roman;Times;Serif"/>
          <w:b w:val="false"/>
          <w:i w:val="false"/>
          <w:caps w:val="false"/>
          <w:smallCaps w:val="false"/>
          <w:sz w:val="20"/>
        </w:rPr>
        <w:t>79,567 shares of the Company’s common stock with an exercise price per share of $</w:t>
      </w:r>
      <w:bookmarkStart w:id="387" w:name="xdx_906_eus-gaap--SharesIssuedPricePerSh"/>
      <w:bookmarkEnd w:id="387"/>
      <w:r>
        <w:rPr>
          <w:rFonts w:ascii="Times New Roman;Times;Serif" w:hAnsi="Times New Roman;Times;Serif"/>
          <w:b w:val="false"/>
          <w:i w:val="false"/>
          <w:caps w:val="false"/>
          <w:smallCaps w:val="false"/>
          <w:sz w:val="20"/>
        </w:rPr>
        <w:t>1.25.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the Company determined that </w:t>
      </w:r>
      <w:bookmarkStart w:id="388" w:name="xdx_907_eus-gaap--ShareBasedCompensation"/>
      <w:bookmarkEnd w:id="388"/>
      <w:r>
        <w:rPr>
          <w:rFonts w:ascii="Times New Roman;Times;Serif" w:hAnsi="Times New Roman;Times;Serif"/>
          <w:b w:val="false"/>
          <w:i w:val="false"/>
          <w:caps w:val="false"/>
          <w:smallCaps w:val="false"/>
          <w:sz w:val="20"/>
        </w:rPr>
        <w:t xml:space="preserve">35,625 out of </w:t>
      </w:r>
      <w:bookmarkStart w:id="389" w:name="xdx_907_eus-gaap--SharebasedCompensation"/>
      <w:bookmarkEnd w:id="389"/>
      <w:r>
        <w:rPr>
          <w:rFonts w:ascii="Times New Roman;Times;Serif" w:hAnsi="Times New Roman;Times;Serif"/>
          <w:b w:val="false"/>
          <w:i w:val="false"/>
          <w:caps w:val="false"/>
          <w:smallCaps w:val="false"/>
          <w:sz w:val="20"/>
        </w:rPr>
        <w:t xml:space="preserve">132,500 performance-based options granted in February 2024 had met their milestones and been vested, while the remainder </w:t>
      </w:r>
      <w:bookmarkStart w:id="390" w:name="xdx_90A_eus-gaap--SharebasedCompensation"/>
      <w:bookmarkEnd w:id="390"/>
      <w:r>
        <w:rPr>
          <w:rFonts w:ascii="Times New Roman;Times;Serif" w:hAnsi="Times New Roman;Times;Serif"/>
          <w:b w:val="false"/>
          <w:i w:val="false"/>
          <w:caps w:val="false"/>
          <w:smallCaps w:val="false"/>
          <w:sz w:val="20"/>
        </w:rPr>
        <w:t>96,875 options which did not meet their milestones had been forfeited.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2025, at the Company’s annual meeting of stockholders, an amendment to the Company’s 2020 Omnibus Performance Award Plan (as amended) was approved. This amendment increased the number of shares of common stock authorized and reserved for issuance under the plan by </w:t>
      </w:r>
      <w:bookmarkStart w:id="391" w:name="xdx_904_eus-gaap--CommonStockCapitalShar"/>
      <w:bookmarkEnd w:id="391"/>
      <w:r>
        <w:rPr>
          <w:rFonts w:ascii="Times New Roman;Times;Serif" w:hAnsi="Times New Roman;Times;Serif"/>
          <w:b w:val="false"/>
          <w:i w:val="false"/>
          <w:caps w:val="false"/>
          <w:smallCaps w:val="false"/>
          <w:sz w:val="20"/>
        </w:rPr>
        <w:t>2,591,019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September 30, 2025, the Company granted the CEO, executives and certain employees, and certain board members, </w:t>
      </w:r>
      <w:bookmarkStart w:id="392" w:name="xdx_905_eus-gaap--ShareBasedCompensation"/>
      <w:bookmarkEnd w:id="392"/>
      <w:r>
        <w:rPr>
          <w:rFonts w:ascii="Times New Roman;Times;Serif" w:hAnsi="Times New Roman;Times;Serif"/>
          <w:b w:val="false"/>
          <w:i w:val="false"/>
          <w:caps w:val="false"/>
          <w:smallCaps w:val="false"/>
          <w:sz w:val="20"/>
        </w:rPr>
        <w:t xml:space="preserve">228,000, </w:t>
      </w:r>
      <w:bookmarkStart w:id="393" w:name="xdx_90A_eus-gaap--ShareBasedCompensation"/>
      <w:bookmarkEnd w:id="393"/>
      <w:r>
        <w:rPr>
          <w:rFonts w:ascii="Times New Roman;Times;Serif" w:hAnsi="Times New Roman;Times;Serif"/>
          <w:b w:val="false"/>
          <w:i w:val="false"/>
          <w:caps w:val="false"/>
          <w:smallCaps w:val="false"/>
          <w:sz w:val="20"/>
        </w:rPr>
        <w:t xml:space="preserve">386,375 and </w:t>
      </w:r>
      <w:bookmarkStart w:id="394" w:name="xdx_909_eus-gaap--ShareBasedCompensation"/>
      <w:bookmarkEnd w:id="394"/>
      <w:r>
        <w:rPr>
          <w:rFonts w:ascii="Times New Roman;Times;Serif" w:hAnsi="Times New Roman;Times;Serif"/>
          <w:b w:val="false"/>
          <w:i w:val="false"/>
          <w:caps w:val="false"/>
          <w:smallCaps w:val="false"/>
          <w:sz w:val="20"/>
        </w:rPr>
        <w:t>70,000 options,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2025, a former advisor of the Company exercised </w:t>
      </w:r>
      <w:bookmarkStart w:id="395" w:name="xdx_90F_eus-gaap--SharebasedCompensation"/>
      <w:bookmarkEnd w:id="395"/>
      <w:r>
        <w:rPr>
          <w:rFonts w:ascii="Times New Roman;Times;Serif" w:hAnsi="Times New Roman;Times;Serif"/>
          <w:b w:val="false"/>
          <w:i w:val="false"/>
          <w:caps w:val="false"/>
          <w:smallCaps w:val="false"/>
          <w:sz w:val="20"/>
        </w:rPr>
        <w:t xml:space="preserve">47,218 vested options at an exercise price of NIS </w:t>
      </w:r>
      <w:bookmarkStart w:id="396" w:name="xdx_905_eus-gaap--ShareBasedCompensation"/>
      <w:bookmarkEnd w:id="396"/>
      <w:r>
        <w:rPr>
          <w:rFonts w:ascii="Times New Roman;Times;Serif" w:hAnsi="Times New Roman;Times;Serif"/>
          <w:b w:val="false"/>
          <w:i w:val="false"/>
          <w:caps w:val="false"/>
          <w:smallCaps w:val="false"/>
          <w:sz w:val="20"/>
        </w:rPr>
        <w:t>0.01 per option. As a result of this exercise, the Company received total consideration of approximately $</w:t>
      </w:r>
      <w:bookmarkStart w:id="397" w:name="xdx_900_eus-gaap--SharebasedCompensation"/>
      <w:bookmarkEnd w:id="397"/>
      <w:r>
        <w:rPr>
          <w:rFonts w:ascii="Times New Roman;Times;Serif" w:hAnsi="Times New Roman;Times;Serif"/>
          <w:b w:val="false"/>
          <w:i w:val="false"/>
          <w:caps w:val="false"/>
          <w:smallCaps w:val="false"/>
          <w:sz w:val="20"/>
        </w:rPr>
        <w:t xml:space="preserve">1. </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98" w:name="xdx_894_eus-gaap--ScheduleOfStockholders"/>
      <w:bookmarkEnd w:id="398"/>
      <w:r>
        <w:rPr>
          <w:rFonts w:ascii="Times New Roman;Times;Serif" w:hAnsi="Times New Roman;Times;Serif"/>
          <w:b w:val="false"/>
          <w:i w:val="false"/>
          <w:caps w:val="false"/>
          <w:smallCaps w:val="false"/>
          <w:sz w:val="20"/>
        </w:rPr>
        <w:t>The remaining outstanding warrants and terms as of September 30, 2025 and December 31, 2024, are as follows:</w:t>
      </w:r>
    </w:p>
    <w:p>
      <w:pPr>
        <w:pStyle w:val="TextBody"/>
        <w:bidi w:val="0"/>
        <w:spacing w:before="0" w:after="0"/>
        <w:jc w:val="both"/>
        <w:rPr>
          <w:caps w:val="false"/>
          <w:smallCaps w:val="false"/>
        </w:rPr>
      </w:pPr>
      <w:r>
        <w:rPr>
          <w:caps w:val="false"/>
          <w:smallCaps w:val="false"/>
        </w:rPr>
        <w:t> </w:t>
      </w:r>
      <w:bookmarkStart w:id="399" w:name="xdx_8B2_zY6vi58ny3Y3"/>
      <w:bookmarkEnd w:id="399"/>
      <w:r>
        <w:rPr>
          <w:rFonts w:ascii="Times New Roman;Times;Serif" w:hAnsi="Times New Roman;Times;Serif"/>
          <w:b w:val="false"/>
          <w:i w:val="false"/>
          <w:caps w:val="false"/>
          <w:smallCaps w:val="false"/>
          <w:sz w:val="20"/>
        </w:rPr>
        <w:t>SCHEDULE OF WARRANTS OUTSTANDING</w:t>
      </w:r>
    </w:p>
    <w:tbl>
      <w:tblPr>
        <w:tblW w:w="10205" w:type="dxa"/>
        <w:jc w:val="left"/>
        <w:tblInd w:w="0" w:type="dxa"/>
        <w:tblLayout w:type="fixed"/>
        <w:tblCellMar>
          <w:top w:w="0" w:type="dxa"/>
          <w:left w:w="0" w:type="dxa"/>
          <w:bottom w:w="28" w:type="dxa"/>
          <w:right w:w="0" w:type="dxa"/>
        </w:tblCellMar>
      </w:tblPr>
      <w:tblGrid>
        <w:gridCol w:w="3413"/>
        <w:gridCol w:w="60"/>
        <w:gridCol w:w="96"/>
        <w:gridCol w:w="1786"/>
        <w:gridCol w:w="60"/>
        <w:gridCol w:w="60"/>
        <w:gridCol w:w="104"/>
        <w:gridCol w:w="1729"/>
        <w:gridCol w:w="60"/>
        <w:gridCol w:w="60"/>
        <w:gridCol w:w="211"/>
        <w:gridCol w:w="664"/>
        <w:gridCol w:w="60"/>
        <w:gridCol w:w="60"/>
        <w:gridCol w:w="1782"/>
      </w:tblGrid>
      <w:tr>
        <w:trPr/>
        <w:tc>
          <w:tcPr>
            <w:tcW w:w="3413" w:type="dxa"/>
            <w:tcBorders>
              <w:bottom w:val="single" w:sz="8" w:space="0" w:color="000000"/>
            </w:tcBorders>
            <w:vAlign w:val="center"/>
          </w:tcPr>
          <w:p>
            <w:pPr>
              <w:pStyle w:val="TableContents"/>
              <w:bidi w:val="0"/>
              <w:spacing w:before="0" w:after="283"/>
              <w:jc w:val="center"/>
              <w:rPr>
                <w:b/>
              </w:rPr>
            </w:pPr>
            <w:r>
              <w:rPr>
                <w:b/>
              </w:rPr>
              <w:t>Issuance date</w:t>
            </w:r>
          </w:p>
        </w:tc>
        <w:tc>
          <w:tcPr>
            <w:tcW w:w="60" w:type="dxa"/>
            <w:tcBorders/>
            <w:tcMar>
              <w:bottom w:w="0" w:type="dxa"/>
            </w:tcMar>
            <w:vAlign w:val="center"/>
          </w:tcPr>
          <w:p>
            <w:pPr>
              <w:pStyle w:val="TableContents"/>
              <w:bidi w:val="0"/>
              <w:spacing w:before="0" w:after="283"/>
              <w:jc w:val="left"/>
              <w:rPr/>
            </w:pPr>
            <w:r>
              <w:rPr/>
              <w:t> </w:t>
            </w:r>
          </w:p>
        </w:tc>
        <w:tc>
          <w:tcPr>
            <w:tcW w:w="1882" w:type="dxa"/>
            <w:gridSpan w:val="2"/>
            <w:tcBorders>
              <w:bottom w:val="single" w:sz="8" w:space="0" w:color="000000"/>
            </w:tcBorders>
            <w:vAlign w:val="center"/>
          </w:tcPr>
          <w:p>
            <w:pPr>
              <w:pStyle w:val="TableContents"/>
              <w:bidi w:val="0"/>
              <w:spacing w:before="0" w:after="283"/>
              <w:jc w:val="center"/>
              <w:rPr>
                <w:b/>
              </w:rPr>
            </w:pPr>
            <w:r>
              <w:rPr>
                <w:b/>
              </w:rPr>
              <w:t>Outstanding and</w:t>
              <w:br/>
              <w:t xml:space="preserve">exercisable as of </w:t>
              <w:br/>
              <w:t>September 30,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33" w:type="dxa"/>
            <w:gridSpan w:val="2"/>
            <w:tcBorders>
              <w:bottom w:val="single" w:sz="8" w:space="0" w:color="000000"/>
            </w:tcBorders>
            <w:vAlign w:val="center"/>
          </w:tcPr>
          <w:p>
            <w:pPr>
              <w:pStyle w:val="TableContents"/>
              <w:bidi w:val="0"/>
              <w:spacing w:before="0" w:after="283"/>
              <w:jc w:val="center"/>
              <w:rPr>
                <w:b/>
              </w:rPr>
            </w:pPr>
            <w:r>
              <w:rPr>
                <w:b/>
              </w:rPr>
              <w:t xml:space="preserve">Outstanding and </w:t>
              <w:br/>
              <w:t>exercisable as of</w:t>
              <w:br/>
              <w:t>December 31,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center"/>
              <w:rPr>
                <w:b/>
              </w:rPr>
            </w:pPr>
            <w:r>
              <w:rPr>
                <w:b/>
              </w:rP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2"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October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00" w:name="xdx_987_eus-gaap--ClassOfWarrantOrRightO"/>
            <w:bookmarkEnd w:id="400"/>
          </w:p>
        </w:tc>
        <w:tc>
          <w:tcPr>
            <w:tcW w:w="1786" w:type="dxa"/>
            <w:tcBorders/>
            <w:shd w:fill="CCEEFF" w:val="clear"/>
            <w:tcMar>
              <w:bottom w:w="0" w:type="dxa"/>
            </w:tcMar>
            <w:vAlign w:val="center"/>
          </w:tcPr>
          <w:p>
            <w:pPr>
              <w:pStyle w:val="TableContents"/>
              <w:bidi w:val="0"/>
              <w:spacing w:before="0" w:after="283"/>
              <w:jc w:val="right"/>
              <w:rPr/>
            </w:pPr>
            <w:r>
              <w:rPr/>
              <w:t>51,125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01" w:name="xdx_98A_eus-gaap--ClassOfWarrantOrRightO"/>
            <w:bookmarkEnd w:id="401"/>
          </w:p>
        </w:tc>
        <w:tc>
          <w:tcPr>
            <w:tcW w:w="1729" w:type="dxa"/>
            <w:tcBorders/>
            <w:shd w:fill="CCEEFF" w:val="clear"/>
            <w:tcMar>
              <w:bottom w:w="0" w:type="dxa"/>
            </w:tcMar>
            <w:vAlign w:val="center"/>
          </w:tcPr>
          <w:p>
            <w:pPr>
              <w:pStyle w:val="TableContents"/>
              <w:bidi w:val="0"/>
              <w:spacing w:before="0" w:after="283"/>
              <w:jc w:val="right"/>
              <w:rPr/>
            </w:pPr>
            <w:r>
              <w:rPr/>
              <w:t>51,125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02" w:name="xdx_981_eus-gaap--ClassOfWarrantOrRightE"/>
            <w:bookmarkEnd w:id="402"/>
          </w:p>
        </w:tc>
        <w:tc>
          <w:tcPr>
            <w:tcW w:w="664" w:type="dxa"/>
            <w:tcBorders/>
            <w:shd w:fill="CCEEFF" w:val="clear"/>
            <w:tcMar>
              <w:bottom w:w="0" w:type="dxa"/>
            </w:tcMar>
            <w:vAlign w:val="center"/>
          </w:tcPr>
          <w:p>
            <w:pPr>
              <w:pStyle w:val="TableContents"/>
              <w:bidi w:val="0"/>
              <w:spacing w:before="0" w:after="283"/>
              <w:jc w:val="right"/>
              <w:rPr/>
            </w:pPr>
            <w:r>
              <w:rPr/>
              <w:t>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03" w:name="xdx_902_ecustom--ClassOfWarrantOrRighstM"/>
            <w:bookmarkEnd w:id="403"/>
            <w:r>
              <w:rPr/>
              <w:t>October 21, 2027</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May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04" w:name="xdx_980_eus-gaap--ClassOfWarrantOrRightO"/>
            <w:bookmarkEnd w:id="404"/>
          </w:p>
        </w:tc>
        <w:tc>
          <w:tcPr>
            <w:tcW w:w="1786" w:type="dxa"/>
            <w:tcBorders/>
            <w:shd w:fill="FFFFFF" w:val="clear"/>
            <w:tcMar>
              <w:bottom w:w="0" w:type="dxa"/>
            </w:tcMar>
            <w:vAlign w:val="center"/>
          </w:tcPr>
          <w:p>
            <w:pPr>
              <w:pStyle w:val="TableContents"/>
              <w:bidi w:val="0"/>
              <w:spacing w:before="0" w:after="283"/>
              <w:jc w:val="right"/>
              <w:rPr/>
            </w:pPr>
            <w:r>
              <w:rPr/>
              <w:t>32,778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05" w:name="xdx_988_eus-gaap--ClassOfWarrantOrRightO"/>
            <w:bookmarkEnd w:id="405"/>
          </w:p>
        </w:tc>
        <w:tc>
          <w:tcPr>
            <w:tcW w:w="1729" w:type="dxa"/>
            <w:tcBorders/>
            <w:shd w:fill="FFFFFF" w:val="clear"/>
            <w:tcMar>
              <w:bottom w:w="0" w:type="dxa"/>
            </w:tcMar>
            <w:vAlign w:val="center"/>
          </w:tcPr>
          <w:p>
            <w:pPr>
              <w:pStyle w:val="TableContents"/>
              <w:bidi w:val="0"/>
              <w:spacing w:before="0" w:after="283"/>
              <w:jc w:val="right"/>
              <w:rPr/>
            </w:pPr>
            <w:r>
              <w:rPr/>
              <w:t>32,778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06" w:name="xdx_982_eus-gaap--ClassOfWarrantOrRightE"/>
            <w:bookmarkEnd w:id="406"/>
          </w:p>
        </w:tc>
        <w:tc>
          <w:tcPr>
            <w:tcW w:w="664" w:type="dxa"/>
            <w:tcBorders/>
            <w:shd w:fill="FFFFFF" w:val="clear"/>
            <w:tcMar>
              <w:bottom w:w="0" w:type="dxa"/>
            </w:tcMar>
            <w:vAlign w:val="center"/>
          </w:tcPr>
          <w:p>
            <w:pPr>
              <w:pStyle w:val="TableContents"/>
              <w:bidi w:val="0"/>
              <w:spacing w:before="0" w:after="283"/>
              <w:jc w:val="right"/>
              <w:rPr/>
            </w:pPr>
            <w:r>
              <w:rPr/>
              <w:t>2.75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07" w:name="xdx_904_ecustom--ClassOfWarrantOrRighstM"/>
            <w:bookmarkEnd w:id="407"/>
            <w:r>
              <w:rPr/>
              <w:t>November 23, 2026</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May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08" w:name="xdx_988_eus-gaap--ClassOfWarrantOrRightO"/>
            <w:bookmarkEnd w:id="408"/>
          </w:p>
        </w:tc>
        <w:tc>
          <w:tcPr>
            <w:tcW w:w="1786" w:type="dxa"/>
            <w:tcBorders/>
            <w:shd w:fill="CCEEFF" w:val="clear"/>
            <w:tcMar>
              <w:bottom w:w="0" w:type="dxa"/>
            </w:tcMar>
            <w:vAlign w:val="center"/>
          </w:tcPr>
          <w:p>
            <w:pPr>
              <w:pStyle w:val="TableContents"/>
              <w:bidi w:val="0"/>
              <w:spacing w:before="0" w:after="283"/>
              <w:jc w:val="right"/>
              <w:rPr/>
            </w:pPr>
            <w:r>
              <w:rPr/>
              <w:t>60,476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09" w:name="xdx_984_eus-gaap--ClassOfWarrantOrRightO"/>
            <w:bookmarkEnd w:id="409"/>
          </w:p>
        </w:tc>
        <w:tc>
          <w:tcPr>
            <w:tcW w:w="1729" w:type="dxa"/>
            <w:tcBorders/>
            <w:shd w:fill="CCEEFF" w:val="clear"/>
            <w:tcMar>
              <w:bottom w:w="0" w:type="dxa"/>
            </w:tcMar>
            <w:vAlign w:val="center"/>
          </w:tcPr>
          <w:p>
            <w:pPr>
              <w:pStyle w:val="TableContents"/>
              <w:bidi w:val="0"/>
              <w:spacing w:before="0" w:after="283"/>
              <w:jc w:val="right"/>
              <w:rPr/>
            </w:pPr>
            <w:r>
              <w:rPr/>
              <w:t>60,476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10" w:name="xdx_985_eus-gaap--ClassOfWarrantOrRightE"/>
            <w:bookmarkEnd w:id="410"/>
          </w:p>
        </w:tc>
        <w:tc>
          <w:tcPr>
            <w:tcW w:w="664" w:type="dxa"/>
            <w:tcBorders/>
            <w:shd w:fill="CCEEFF" w:val="clear"/>
            <w:tcMar>
              <w:bottom w:w="0" w:type="dxa"/>
            </w:tcMar>
            <w:vAlign w:val="center"/>
          </w:tcPr>
          <w:p>
            <w:pPr>
              <w:pStyle w:val="TableContents"/>
              <w:bidi w:val="0"/>
              <w:spacing w:before="0" w:after="283"/>
              <w:jc w:val="right"/>
              <w:rPr/>
            </w:pPr>
            <w:r>
              <w:rPr/>
              <w:t>2.75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11" w:name="xdx_907_ecustom--ClassOfWarrantOrRighstM"/>
            <w:bookmarkEnd w:id="411"/>
            <w:r>
              <w:rPr/>
              <w:t>November 24, 2026</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June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12" w:name="xdx_985_eus-gaap--ClassOfWarrantOrRightO"/>
            <w:bookmarkEnd w:id="412"/>
          </w:p>
        </w:tc>
        <w:tc>
          <w:tcPr>
            <w:tcW w:w="1786" w:type="dxa"/>
            <w:tcBorders/>
            <w:shd w:fill="FFFFFF" w:val="clear"/>
            <w:tcMar>
              <w:bottom w:w="0" w:type="dxa"/>
            </w:tcMar>
            <w:vAlign w:val="center"/>
          </w:tcPr>
          <w:p>
            <w:pPr>
              <w:pStyle w:val="TableContents"/>
              <w:bidi w:val="0"/>
              <w:spacing w:before="0" w:after="283"/>
              <w:jc w:val="right"/>
              <w:rPr/>
            </w:pPr>
            <w:r>
              <w:rPr/>
              <w:t>35,088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13" w:name="xdx_987_eus-gaap--ClassOfWarrantOrRightO"/>
            <w:bookmarkEnd w:id="413"/>
          </w:p>
        </w:tc>
        <w:tc>
          <w:tcPr>
            <w:tcW w:w="1729" w:type="dxa"/>
            <w:tcBorders/>
            <w:shd w:fill="FFFFFF" w:val="clear"/>
            <w:tcMar>
              <w:bottom w:w="0" w:type="dxa"/>
            </w:tcMar>
            <w:vAlign w:val="center"/>
          </w:tcPr>
          <w:p>
            <w:pPr>
              <w:pStyle w:val="TableContents"/>
              <w:bidi w:val="0"/>
              <w:spacing w:before="0" w:after="283"/>
              <w:jc w:val="right"/>
              <w:rPr/>
            </w:pPr>
            <w:r>
              <w:rPr/>
              <w:t>35,088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14" w:name="xdx_984_eus-gaap--ClassOfWarrantOrRightE"/>
            <w:bookmarkEnd w:id="414"/>
          </w:p>
        </w:tc>
        <w:tc>
          <w:tcPr>
            <w:tcW w:w="664" w:type="dxa"/>
            <w:tcBorders/>
            <w:shd w:fill="FFFFFF" w:val="clear"/>
            <w:tcMar>
              <w:bottom w:w="0" w:type="dxa"/>
            </w:tcMar>
            <w:vAlign w:val="center"/>
          </w:tcPr>
          <w:p>
            <w:pPr>
              <w:pStyle w:val="TableContents"/>
              <w:bidi w:val="0"/>
              <w:spacing w:before="0" w:after="283"/>
              <w:jc w:val="right"/>
              <w:rPr/>
            </w:pPr>
            <w:r>
              <w:rPr/>
              <w:t>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15" w:name="xdx_905_ecustom--ClassOfWarrantOrRighstM"/>
            <w:bookmarkEnd w:id="415"/>
            <w:r>
              <w:rPr/>
              <w:t>June 2, 2028</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June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16" w:name="xdx_98A_eus-gaap--ClassOfWarrantOrRightO"/>
            <w:bookmarkEnd w:id="416"/>
          </w:p>
        </w:tc>
        <w:tc>
          <w:tcPr>
            <w:tcW w:w="1786" w:type="dxa"/>
            <w:tcBorders/>
            <w:shd w:fill="CCEEFF" w:val="clear"/>
            <w:tcMar>
              <w:bottom w:w="0" w:type="dxa"/>
            </w:tcMar>
            <w:vAlign w:val="center"/>
          </w:tcPr>
          <w:p>
            <w:pPr>
              <w:pStyle w:val="TableContents"/>
              <w:bidi w:val="0"/>
              <w:spacing w:before="0" w:after="283"/>
              <w:jc w:val="right"/>
              <w:rPr/>
            </w:pPr>
            <w:r>
              <w:rPr/>
              <w:t>31,231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17" w:name="xdx_98C_eus-gaap--ClassOfWarrantOrRightO"/>
            <w:bookmarkEnd w:id="417"/>
          </w:p>
        </w:tc>
        <w:tc>
          <w:tcPr>
            <w:tcW w:w="1729" w:type="dxa"/>
            <w:tcBorders/>
            <w:shd w:fill="CCEEFF" w:val="clear"/>
            <w:tcMar>
              <w:bottom w:w="0" w:type="dxa"/>
            </w:tcMar>
            <w:vAlign w:val="center"/>
          </w:tcPr>
          <w:p>
            <w:pPr>
              <w:pStyle w:val="TableContents"/>
              <w:bidi w:val="0"/>
              <w:spacing w:before="0" w:after="283"/>
              <w:jc w:val="right"/>
              <w:rPr/>
            </w:pPr>
            <w:r>
              <w:rPr/>
              <w:t>31,231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18" w:name="xdx_98E_eus-gaap--ClassOfWarrantOrRightE"/>
            <w:bookmarkEnd w:id="418"/>
          </w:p>
        </w:tc>
        <w:tc>
          <w:tcPr>
            <w:tcW w:w="664" w:type="dxa"/>
            <w:tcBorders/>
            <w:shd w:fill="CCEEFF" w:val="clear"/>
            <w:tcMar>
              <w:bottom w:w="0" w:type="dxa"/>
            </w:tcMar>
            <w:vAlign w:val="center"/>
          </w:tcPr>
          <w:p>
            <w:pPr>
              <w:pStyle w:val="TableContents"/>
              <w:bidi w:val="0"/>
              <w:spacing w:before="0" w:after="283"/>
              <w:jc w:val="right"/>
              <w:rPr/>
            </w:pPr>
            <w:r>
              <w:rPr/>
              <w:t>4.06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19" w:name="xdx_90B_ecustom--ClassOfWarrantOrRighstM"/>
            <w:bookmarkEnd w:id="419"/>
            <w:r>
              <w:rPr/>
              <w:t>June 28, 2028</w:t>
            </w:r>
          </w:p>
        </w:tc>
      </w:tr>
      <w:tr>
        <w:trPr/>
        <w:tc>
          <w:tcPr>
            <w:tcW w:w="3413" w:type="dxa"/>
            <w:tcBorders/>
            <w:shd w:fill="FFFFFF" w:val="clear"/>
            <w:tcMar>
              <w:bottom w:w="0" w:type="dxa"/>
            </w:tcMar>
            <w:vAlign w:val="center"/>
          </w:tcPr>
          <w:p>
            <w:pPr>
              <w:pStyle w:val="TableContents"/>
              <w:bidi w:val="0"/>
              <w:spacing w:before="0" w:after="283"/>
              <w:jc w:val="left"/>
              <w:rPr/>
            </w:pPr>
            <w:r>
              <w:rPr/>
              <w:t>Warrant series E January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20" w:name="xdx_988_eus-gaap--ClassOfWarrantOrRightO"/>
            <w:bookmarkEnd w:id="420"/>
          </w:p>
        </w:tc>
        <w:tc>
          <w:tcPr>
            <w:tcW w:w="17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729" w:type="dxa"/>
            <w:tcBorders/>
            <w:shd w:fill="FFFFFF" w:val="clear"/>
            <w:tcMar>
              <w:bottom w:w="0" w:type="dxa"/>
            </w:tcMar>
            <w:vAlign w:val="center"/>
          </w:tcPr>
          <w:p>
            <w:pPr>
              <w:pStyle w:val="TableContents"/>
              <w:bidi w:val="0"/>
              <w:spacing w:before="0" w:after="283"/>
              <w:jc w:val="right"/>
              <w:rPr/>
            </w:pPr>
            <w:bookmarkStart w:id="421" w:name="xdx_983_eus-gaap--ClassOfWarrantOrRightO"/>
            <w:bookmarkEnd w:id="421"/>
            <w:r>
              <w:rPr/>
              <w:t>1,685,682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22" w:name="xdx_988_eus-gaap--ClassOfWarrantOrRightE"/>
            <w:bookmarkEnd w:id="422"/>
          </w:p>
        </w:tc>
        <w:tc>
          <w:tcPr>
            <w:tcW w:w="664" w:type="dxa"/>
            <w:tcBorders/>
            <w:shd w:fill="FFFFFF" w:val="clear"/>
            <w:tcMar>
              <w:bottom w:w="0" w:type="dxa"/>
            </w:tcMar>
            <w:vAlign w:val="center"/>
          </w:tcPr>
          <w:p>
            <w:pPr>
              <w:pStyle w:val="TableContents"/>
              <w:bidi w:val="0"/>
              <w:spacing w:before="0" w:after="283"/>
              <w:jc w:val="right"/>
              <w:rPr/>
            </w:pPr>
            <w:r>
              <w:rPr/>
              <w:t>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23" w:name="xdx_900_ecustom--ClassOfWarrantOrRighstM"/>
            <w:bookmarkEnd w:id="423"/>
            <w:r>
              <w:rPr/>
              <w:t>July 3, 2029</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January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24" w:name="xdx_981_eus-gaap--ClassOfWarrantOrRightO"/>
            <w:bookmarkEnd w:id="424"/>
          </w:p>
        </w:tc>
        <w:tc>
          <w:tcPr>
            <w:tcW w:w="1786" w:type="dxa"/>
            <w:tcBorders/>
            <w:shd w:fill="CCEEFF" w:val="clear"/>
            <w:tcMar>
              <w:bottom w:w="0" w:type="dxa"/>
            </w:tcMar>
            <w:vAlign w:val="center"/>
          </w:tcPr>
          <w:p>
            <w:pPr>
              <w:pStyle w:val="TableContents"/>
              <w:bidi w:val="0"/>
              <w:spacing w:before="0" w:after="283"/>
              <w:jc w:val="right"/>
              <w:rPr/>
            </w:pPr>
            <w:r>
              <w:rPr/>
              <w:t>84,284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25" w:name="xdx_984_eus-gaap--ClassOfWarrantOrRightO"/>
            <w:bookmarkEnd w:id="425"/>
          </w:p>
        </w:tc>
        <w:tc>
          <w:tcPr>
            <w:tcW w:w="1729" w:type="dxa"/>
            <w:tcBorders/>
            <w:shd w:fill="CCEEFF" w:val="clear"/>
            <w:tcMar>
              <w:bottom w:w="0" w:type="dxa"/>
            </w:tcMar>
            <w:vAlign w:val="center"/>
          </w:tcPr>
          <w:p>
            <w:pPr>
              <w:pStyle w:val="TableContents"/>
              <w:bidi w:val="0"/>
              <w:spacing w:before="0" w:after="283"/>
              <w:jc w:val="right"/>
              <w:rPr/>
            </w:pPr>
            <w:r>
              <w:rPr/>
              <w:t>84,284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26" w:name="xdx_989_eus-gaap--ClassOfWarrantOrRightE"/>
            <w:bookmarkEnd w:id="426"/>
          </w:p>
        </w:tc>
        <w:tc>
          <w:tcPr>
            <w:tcW w:w="664" w:type="dxa"/>
            <w:tcBorders/>
            <w:shd w:fill="CCEEFF" w:val="clear"/>
            <w:tcMar>
              <w:bottom w:w="0" w:type="dxa"/>
            </w:tcMar>
            <w:vAlign w:val="center"/>
          </w:tcPr>
          <w:p>
            <w:pPr>
              <w:pStyle w:val="TableContents"/>
              <w:bidi w:val="0"/>
              <w:spacing w:before="0" w:after="283"/>
              <w:jc w:val="right"/>
              <w:rPr/>
            </w:pPr>
            <w:r>
              <w:rPr/>
              <w:t>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27" w:name="xdx_906_ecustom--ClassOfWarrantOrRighstM"/>
            <w:bookmarkEnd w:id="427"/>
            <w:r>
              <w:rPr/>
              <w:t>July 3, 2029</w:t>
            </w:r>
          </w:p>
        </w:tc>
      </w:tr>
      <w:tr>
        <w:trPr/>
        <w:tc>
          <w:tcPr>
            <w:tcW w:w="3413" w:type="dxa"/>
            <w:tcBorders/>
            <w:shd w:fill="FFFFFF" w:val="clear"/>
            <w:tcMar>
              <w:bottom w:w="0" w:type="dxa"/>
            </w:tcMar>
            <w:vAlign w:val="center"/>
          </w:tcPr>
          <w:p>
            <w:pPr>
              <w:pStyle w:val="TableContents"/>
              <w:bidi w:val="0"/>
              <w:spacing w:before="0" w:after="283"/>
              <w:jc w:val="left"/>
              <w:rPr/>
            </w:pPr>
            <w:r>
              <w:rPr/>
              <w:t>Warrant series F June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28" w:name="xdx_981_eus-gaap--ClassOfWarrantOrRightO"/>
            <w:bookmarkEnd w:id="428"/>
          </w:p>
        </w:tc>
        <w:tc>
          <w:tcPr>
            <w:tcW w:w="178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729" w:type="dxa"/>
            <w:tcBorders/>
            <w:shd w:fill="FFFFFF" w:val="clear"/>
            <w:tcMar>
              <w:bottom w:w="0" w:type="dxa"/>
            </w:tcMar>
            <w:vAlign w:val="center"/>
          </w:tcPr>
          <w:p>
            <w:pPr>
              <w:pStyle w:val="TableContents"/>
              <w:bidi w:val="0"/>
              <w:spacing w:before="0" w:after="283"/>
              <w:jc w:val="right"/>
              <w:rPr/>
            </w:pPr>
            <w:bookmarkStart w:id="429" w:name="xdx_98D_eus-gaap--ClassOfWarrantOrRightO"/>
            <w:bookmarkEnd w:id="429"/>
            <w:r>
              <w:rPr/>
              <w:t>3,133,338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p>
        </w:tc>
        <w:tc>
          <w:tcPr>
            <w:tcW w:w="664" w:type="dxa"/>
            <w:tcBorders/>
            <w:shd w:fill="FFFFFF" w:val="clear"/>
            <w:tcMar>
              <w:bottom w:w="0" w:type="dxa"/>
            </w:tcMar>
            <w:vAlign w:val="center"/>
          </w:tcPr>
          <w:p>
            <w:pPr>
              <w:pStyle w:val="TableContents"/>
              <w:bidi w:val="0"/>
              <w:spacing w:before="0" w:after="283"/>
              <w:jc w:val="right"/>
              <w:rPr/>
            </w:pPr>
            <w:bookmarkStart w:id="430" w:name="xdx_984_eus-gaap--ClassOfWarrantOrRightE"/>
            <w:bookmarkEnd w:id="430"/>
            <w:r>
              <w:rPr/>
              <w:t>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31" w:name="xdx_908_ecustom--ClassOfWarrantOrRighstM"/>
            <w:bookmarkEnd w:id="431"/>
            <w:r>
              <w:rPr/>
              <w:t>June 3, 2026</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June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32" w:name="xdx_98A_eus-gaap--ClassOfWarrantOrRightO"/>
            <w:bookmarkEnd w:id="432"/>
          </w:p>
        </w:tc>
        <w:tc>
          <w:tcPr>
            <w:tcW w:w="1786" w:type="dxa"/>
            <w:tcBorders/>
            <w:shd w:fill="CCEEFF" w:val="clear"/>
            <w:tcMar>
              <w:bottom w:w="0" w:type="dxa"/>
            </w:tcMar>
            <w:vAlign w:val="center"/>
          </w:tcPr>
          <w:p>
            <w:pPr>
              <w:pStyle w:val="TableContents"/>
              <w:bidi w:val="0"/>
              <w:spacing w:before="0" w:after="283"/>
              <w:jc w:val="right"/>
              <w:rPr/>
            </w:pPr>
            <w:r>
              <w:rPr/>
              <w:t>28,102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33" w:name="xdx_981_eus-gaap--ClassOfWarrantOrRightO"/>
            <w:bookmarkEnd w:id="433"/>
          </w:p>
        </w:tc>
        <w:tc>
          <w:tcPr>
            <w:tcW w:w="1729" w:type="dxa"/>
            <w:tcBorders/>
            <w:shd w:fill="CCEEFF" w:val="clear"/>
            <w:tcMar>
              <w:bottom w:w="0" w:type="dxa"/>
            </w:tcMar>
            <w:vAlign w:val="center"/>
          </w:tcPr>
          <w:p>
            <w:pPr>
              <w:pStyle w:val="TableContents"/>
              <w:bidi w:val="0"/>
              <w:spacing w:before="0" w:after="283"/>
              <w:jc w:val="right"/>
              <w:rPr/>
            </w:pPr>
            <w:r>
              <w:rPr/>
              <w:t>78,333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34" w:name="xdx_981_eus-gaap--ClassOfWarrantOrRightE"/>
            <w:bookmarkEnd w:id="434"/>
          </w:p>
        </w:tc>
        <w:tc>
          <w:tcPr>
            <w:tcW w:w="664" w:type="dxa"/>
            <w:tcBorders/>
            <w:shd w:fill="CCEEFF" w:val="clear"/>
            <w:tcMar>
              <w:bottom w:w="0" w:type="dxa"/>
            </w:tcMar>
            <w:vAlign w:val="center"/>
          </w:tcPr>
          <w:p>
            <w:pPr>
              <w:pStyle w:val="TableContents"/>
              <w:bidi w:val="0"/>
              <w:spacing w:before="0" w:after="283"/>
              <w:jc w:val="right"/>
              <w:rPr/>
            </w:pPr>
            <w:r>
              <w:rPr/>
              <w:t>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35" w:name="xdx_908_ecustom--ClassOfWarrantOrRighstM"/>
            <w:bookmarkEnd w:id="435"/>
            <w:r>
              <w:rPr/>
              <w:t>June 3, 2026</w:t>
            </w:r>
          </w:p>
        </w:tc>
      </w:tr>
      <w:tr>
        <w:trPr/>
        <w:tc>
          <w:tcPr>
            <w:tcW w:w="3413" w:type="dxa"/>
            <w:tcBorders/>
            <w:shd w:fill="FFFFFF" w:val="clear"/>
            <w:tcMar>
              <w:bottom w:w="0" w:type="dxa"/>
            </w:tcMar>
            <w:vAlign w:val="center"/>
          </w:tcPr>
          <w:p>
            <w:pPr>
              <w:pStyle w:val="TableContents"/>
              <w:bidi w:val="0"/>
              <w:spacing w:before="0" w:after="283"/>
              <w:jc w:val="left"/>
              <w:rPr/>
            </w:pPr>
            <w:r>
              <w:rPr/>
              <w:t>Warrant series H January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36" w:name="xdx_988_eus-gaap--ClassOfWarrantOrRightO"/>
            <w:bookmarkEnd w:id="436"/>
          </w:p>
        </w:tc>
        <w:tc>
          <w:tcPr>
            <w:tcW w:w="1786" w:type="dxa"/>
            <w:tcBorders/>
            <w:shd w:fill="FFFFFF" w:val="clear"/>
            <w:tcMar>
              <w:bottom w:w="0" w:type="dxa"/>
            </w:tcMar>
            <w:vAlign w:val="center"/>
          </w:tcPr>
          <w:p>
            <w:pPr>
              <w:pStyle w:val="TableContents"/>
              <w:bidi w:val="0"/>
              <w:spacing w:before="0" w:after="283"/>
              <w:jc w:val="right"/>
              <w:rPr/>
            </w:pPr>
            <w:r>
              <w:rPr/>
              <w:t>1,324,488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37" w:name="xdx_980_eus-gaap--ClassOfWarrantOrRightO"/>
            <w:bookmarkEnd w:id="437"/>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38" w:name="xdx_982_eus-gaap--ClassOfWarrantOrRightE"/>
            <w:bookmarkEnd w:id="438"/>
          </w:p>
        </w:tc>
        <w:tc>
          <w:tcPr>
            <w:tcW w:w="664" w:type="dxa"/>
            <w:tcBorders/>
            <w:shd w:fill="FFFFFF" w:val="clear"/>
            <w:tcMar>
              <w:bottom w:w="0" w:type="dxa"/>
            </w:tcMar>
            <w:vAlign w:val="center"/>
          </w:tcPr>
          <w:p>
            <w:pPr>
              <w:pStyle w:val="TableContents"/>
              <w:bidi w:val="0"/>
              <w:spacing w:before="0" w:after="283"/>
              <w:jc w:val="right"/>
              <w:rPr/>
            </w:pPr>
            <w:r>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39" w:name="xdx_903_ecustom--ClassOfWarrantOrRighstM"/>
            <w:bookmarkEnd w:id="439"/>
            <w:r>
              <w:rPr/>
              <w:t>January 10, 2027</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January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40" w:name="xdx_984_eus-gaap--ClassOfWarrantOrRightO"/>
            <w:bookmarkEnd w:id="440"/>
          </w:p>
        </w:tc>
        <w:tc>
          <w:tcPr>
            <w:tcW w:w="1786" w:type="dxa"/>
            <w:tcBorders/>
            <w:shd w:fill="CCEEFF" w:val="clear"/>
            <w:tcMar>
              <w:bottom w:w="0" w:type="dxa"/>
            </w:tcMar>
            <w:vAlign w:val="center"/>
          </w:tcPr>
          <w:p>
            <w:pPr>
              <w:pStyle w:val="TableContents"/>
              <w:bidi w:val="0"/>
              <w:spacing w:before="0" w:after="283"/>
              <w:jc w:val="right"/>
              <w:rPr/>
            </w:pPr>
            <w:r>
              <w:rPr/>
              <w:t>71,750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41" w:name="xdx_980_eus-gaap--ClassOfWarrantOrRightO"/>
            <w:bookmarkEnd w:id="441"/>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42" w:name="xdx_989_eus-gaap--ClassOfWarrantOrRightE"/>
            <w:bookmarkEnd w:id="442"/>
          </w:p>
        </w:tc>
        <w:tc>
          <w:tcPr>
            <w:tcW w:w="664" w:type="dxa"/>
            <w:tcBorders/>
            <w:shd w:fill="CCEEFF" w:val="clear"/>
            <w:tcMar>
              <w:bottom w:w="0" w:type="dxa"/>
            </w:tcMar>
            <w:vAlign w:val="center"/>
          </w:tcPr>
          <w:p>
            <w:pPr>
              <w:pStyle w:val="TableContents"/>
              <w:bidi w:val="0"/>
              <w:spacing w:before="0" w:after="283"/>
              <w:jc w:val="right"/>
              <w:rPr/>
            </w:pPr>
            <w:r>
              <w:rPr/>
              <w:t>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43" w:name="xdx_90F_ecustom--ClassOfWarrantOrRighstM"/>
            <w:bookmarkEnd w:id="443"/>
            <w:r>
              <w:rPr/>
              <w:t>January 7, 2027</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January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44" w:name="xdx_987_eus-gaap--ClassOfWarrantOrRightO"/>
            <w:bookmarkEnd w:id="444"/>
          </w:p>
        </w:tc>
        <w:tc>
          <w:tcPr>
            <w:tcW w:w="1786" w:type="dxa"/>
            <w:tcBorders/>
            <w:shd w:fill="FFFFFF" w:val="clear"/>
            <w:tcMar>
              <w:bottom w:w="0" w:type="dxa"/>
            </w:tcMar>
            <w:vAlign w:val="center"/>
          </w:tcPr>
          <w:p>
            <w:pPr>
              <w:pStyle w:val="TableContents"/>
              <w:bidi w:val="0"/>
              <w:spacing w:before="0" w:after="283"/>
              <w:jc w:val="right"/>
              <w:rPr/>
            </w:pPr>
            <w:r>
              <w:rPr/>
              <w:t>189,428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45" w:name="xdx_98C_eus-gaap--ClassOfWarrantOrRightO"/>
            <w:bookmarkEnd w:id="445"/>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46" w:name="xdx_98F_eus-gaap--ClassOfWarrantOrRightE"/>
            <w:bookmarkEnd w:id="446"/>
          </w:p>
        </w:tc>
        <w:tc>
          <w:tcPr>
            <w:tcW w:w="664" w:type="dxa"/>
            <w:tcBorders/>
            <w:shd w:fill="FFFFFF" w:val="clear"/>
            <w:tcMar>
              <w:bottom w:w="0" w:type="dxa"/>
            </w:tcMar>
            <w:vAlign w:val="center"/>
          </w:tcPr>
          <w:p>
            <w:pPr>
              <w:pStyle w:val="TableContents"/>
              <w:bidi w:val="0"/>
              <w:spacing w:before="0" w:after="283"/>
              <w:jc w:val="right"/>
              <w:rPr/>
            </w:pPr>
            <w:r>
              <w:rPr/>
              <w:t>2.84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47" w:name="xdx_907_ecustom--ClassOfWarrantOrRighstM"/>
            <w:bookmarkEnd w:id="447"/>
            <w:r>
              <w:rPr/>
              <w:t>January 10, 2027</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January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48" w:name="xdx_985_eus-gaap--ClassOfWarrantOrRightO"/>
            <w:bookmarkEnd w:id="448"/>
          </w:p>
        </w:tc>
        <w:tc>
          <w:tcPr>
            <w:tcW w:w="1786" w:type="dxa"/>
            <w:tcBorders/>
            <w:shd w:fill="CCEEFF" w:val="clear"/>
            <w:tcMar>
              <w:bottom w:w="0" w:type="dxa"/>
            </w:tcMar>
            <w:vAlign w:val="center"/>
          </w:tcPr>
          <w:p>
            <w:pPr>
              <w:pStyle w:val="TableContents"/>
              <w:bidi w:val="0"/>
              <w:spacing w:before="0" w:after="283"/>
              <w:jc w:val="right"/>
              <w:rPr/>
            </w:pPr>
            <w:r>
              <w:rPr/>
              <w:t>30,526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49" w:name="xdx_98B_eus-gaap--ClassOfWarrantOrRightO"/>
            <w:bookmarkEnd w:id="449"/>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50" w:name="xdx_98D_eus-gaap--ClassOfWarrantOrRightE"/>
            <w:bookmarkEnd w:id="450"/>
          </w:p>
        </w:tc>
        <w:tc>
          <w:tcPr>
            <w:tcW w:w="664" w:type="dxa"/>
            <w:tcBorders/>
            <w:shd w:fill="CCEEFF" w:val="clear"/>
            <w:tcMar>
              <w:bottom w:w="0" w:type="dxa"/>
            </w:tcMar>
            <w:vAlign w:val="center"/>
          </w:tcPr>
          <w:p>
            <w:pPr>
              <w:pStyle w:val="TableContents"/>
              <w:bidi w:val="0"/>
              <w:spacing w:before="0" w:after="283"/>
              <w:jc w:val="right"/>
              <w:rPr/>
            </w:pPr>
            <w:r>
              <w:rPr/>
              <w:t>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51" w:name="xdx_902_ecustom--ClassOfWarrantOrRighstM"/>
            <w:bookmarkEnd w:id="451"/>
            <w:r>
              <w:rPr/>
              <w:t>July 8, 2030</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February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52" w:name="xdx_984_eus-gaap--ClassOfWarrantOrRightO"/>
            <w:bookmarkEnd w:id="452"/>
          </w:p>
        </w:tc>
        <w:tc>
          <w:tcPr>
            <w:tcW w:w="1786" w:type="dxa"/>
            <w:tcBorders/>
            <w:shd w:fill="FFFFFF" w:val="clear"/>
            <w:tcMar>
              <w:bottom w:w="0" w:type="dxa"/>
            </w:tcMar>
            <w:vAlign w:val="center"/>
          </w:tcPr>
          <w:p>
            <w:pPr>
              <w:pStyle w:val="TableContents"/>
              <w:bidi w:val="0"/>
              <w:spacing w:before="0" w:after="283"/>
              <w:jc w:val="right"/>
              <w:rPr/>
            </w:pPr>
            <w:r>
              <w:rPr/>
              <w:t>109,478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53" w:name="xdx_989_eus-gaap--ClassOfWarrantOrRightO"/>
            <w:bookmarkEnd w:id="453"/>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54" w:name="xdx_981_eus-gaap--ClassOfWarrantOrRightE"/>
            <w:bookmarkEnd w:id="454"/>
          </w:p>
        </w:tc>
        <w:tc>
          <w:tcPr>
            <w:tcW w:w="664" w:type="dxa"/>
            <w:tcBorders/>
            <w:shd w:fill="FFFFFF" w:val="clear"/>
            <w:tcMar>
              <w:bottom w:w="0" w:type="dxa"/>
            </w:tcMar>
            <w:vAlign w:val="center"/>
          </w:tcPr>
          <w:p>
            <w:pPr>
              <w:pStyle w:val="TableContents"/>
              <w:bidi w:val="0"/>
              <w:spacing w:before="0" w:after="283"/>
              <w:jc w:val="right"/>
              <w:rPr/>
            </w:pPr>
            <w:r>
              <w:rPr/>
              <w:t>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55" w:name="xdx_906_ecustom--ClassOfWarrantOrRighstM"/>
            <w:bookmarkEnd w:id="455"/>
            <w:r>
              <w:rPr/>
              <w:t>June 10, 2027</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56" w:name="xdx_98E_eus-gaap--ClassOfWarrantOrRightO"/>
            <w:bookmarkEnd w:id="456"/>
          </w:p>
        </w:tc>
        <w:tc>
          <w:tcPr>
            <w:tcW w:w="1786" w:type="dxa"/>
            <w:tcBorders/>
            <w:shd w:fill="CCEEFF" w:val="clear"/>
            <w:tcMar>
              <w:bottom w:w="0" w:type="dxa"/>
            </w:tcMar>
            <w:vAlign w:val="center"/>
          </w:tcPr>
          <w:p>
            <w:pPr>
              <w:pStyle w:val="TableContents"/>
              <w:bidi w:val="0"/>
              <w:spacing w:before="0" w:after="283"/>
              <w:jc w:val="right"/>
              <w:rPr/>
            </w:pPr>
            <w:r>
              <w:rPr/>
              <w:t>10,362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57" w:name="xdx_98B_eus-gaap--ClassOfWarrantOrRightO"/>
            <w:bookmarkEnd w:id="457"/>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58" w:name="xdx_984_eus-gaap--ClassOfWarrantOrRightE"/>
            <w:bookmarkEnd w:id="458"/>
          </w:p>
        </w:tc>
        <w:tc>
          <w:tcPr>
            <w:tcW w:w="664" w:type="dxa"/>
            <w:tcBorders/>
            <w:shd w:fill="CCEEFF" w:val="clear"/>
            <w:tcMar>
              <w:bottom w:w="0" w:type="dxa"/>
            </w:tcMar>
            <w:vAlign w:val="center"/>
          </w:tcPr>
          <w:p>
            <w:pPr>
              <w:pStyle w:val="TableContents"/>
              <w:bidi w:val="0"/>
              <w:spacing w:before="0" w:after="283"/>
              <w:jc w:val="right"/>
              <w:rPr/>
            </w:pPr>
            <w:r>
              <w:rPr/>
              <w:t>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59" w:name="xdx_909_ecustom--ClassOfWarrantOrRighstM"/>
            <w:bookmarkEnd w:id="459"/>
            <w:r>
              <w:rPr/>
              <w:t>March 16, 2028</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60" w:name="xdx_981_eus-gaap--ClassOfWarrantOrRightO"/>
            <w:bookmarkEnd w:id="460"/>
          </w:p>
        </w:tc>
        <w:tc>
          <w:tcPr>
            <w:tcW w:w="1786" w:type="dxa"/>
            <w:tcBorders/>
            <w:shd w:fill="FFFFFF" w:val="clear"/>
            <w:tcMar>
              <w:bottom w:w="0" w:type="dxa"/>
            </w:tcMar>
            <w:vAlign w:val="center"/>
          </w:tcPr>
          <w:p>
            <w:pPr>
              <w:pStyle w:val="TableContents"/>
              <w:bidi w:val="0"/>
              <w:spacing w:before="0" w:after="283"/>
              <w:jc w:val="right"/>
              <w:rPr/>
            </w:pPr>
            <w:r>
              <w:rPr/>
              <w:t>31,429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61" w:name="xdx_98D_eus-gaap--ClassOfWarrantOrRightO"/>
            <w:bookmarkEnd w:id="461"/>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62" w:name="xdx_987_eus-gaap--ClassOfWarrantOrRightE"/>
            <w:bookmarkEnd w:id="462"/>
          </w:p>
        </w:tc>
        <w:tc>
          <w:tcPr>
            <w:tcW w:w="664" w:type="dxa"/>
            <w:tcBorders/>
            <w:shd w:fill="FFFFFF" w:val="clear"/>
            <w:tcMar>
              <w:bottom w:w="0" w:type="dxa"/>
            </w:tcMar>
            <w:vAlign w:val="center"/>
          </w:tcPr>
          <w:p>
            <w:pPr>
              <w:pStyle w:val="TableContents"/>
              <w:bidi w:val="0"/>
              <w:spacing w:before="0" w:after="283"/>
              <w:jc w:val="right"/>
              <w:rPr/>
            </w:pPr>
            <w:r>
              <w:rPr/>
              <w:t>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63" w:name="xdx_90B_ecustom--ClassOfWarrantOrRighstM"/>
            <w:bookmarkEnd w:id="463"/>
            <w:r>
              <w:rPr/>
              <w:t>March 16, 2028</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64" w:name="xdx_98B_eus-gaap--ClassOfWarrantOrRightO"/>
            <w:bookmarkEnd w:id="464"/>
          </w:p>
        </w:tc>
        <w:tc>
          <w:tcPr>
            <w:tcW w:w="1786" w:type="dxa"/>
            <w:tcBorders/>
            <w:shd w:fill="CCEEFF" w:val="clear"/>
            <w:tcMar>
              <w:bottom w:w="0" w:type="dxa"/>
            </w:tcMar>
            <w:vAlign w:val="center"/>
          </w:tcPr>
          <w:p>
            <w:pPr>
              <w:pStyle w:val="TableContents"/>
              <w:bidi w:val="0"/>
              <w:spacing w:before="0" w:after="283"/>
              <w:jc w:val="right"/>
              <w:rPr/>
            </w:pPr>
            <w:r>
              <w:rPr/>
              <w:t>138,906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65" w:name="xdx_982_eus-gaap--ClassOfWarrantOrRightO"/>
            <w:bookmarkEnd w:id="465"/>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66" w:name="xdx_98E_eus-gaap--ClassOfWarrantOrRightE"/>
            <w:bookmarkEnd w:id="466"/>
          </w:p>
        </w:tc>
        <w:tc>
          <w:tcPr>
            <w:tcW w:w="664" w:type="dxa"/>
            <w:tcBorders/>
            <w:shd w:fill="CCEEFF" w:val="clear"/>
            <w:tcMar>
              <w:bottom w:w="0" w:type="dxa"/>
            </w:tcMar>
            <w:vAlign w:val="center"/>
          </w:tcPr>
          <w:p>
            <w:pPr>
              <w:pStyle w:val="TableContents"/>
              <w:bidi w:val="0"/>
              <w:spacing w:before="0" w:after="283"/>
              <w:jc w:val="right"/>
              <w:rPr/>
            </w:pPr>
            <w:r>
              <w:rPr/>
              <w:t>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67" w:name="xdx_90A_ecustom--ClassOfWarrantOrRighstM"/>
            <w:bookmarkEnd w:id="467"/>
            <w:r>
              <w:rPr/>
              <w:t>March 16, 2028</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68" w:name="xdx_98E_eus-gaap--ClassOfWarrantOrRightO"/>
            <w:bookmarkEnd w:id="468"/>
          </w:p>
        </w:tc>
        <w:tc>
          <w:tcPr>
            <w:tcW w:w="1786" w:type="dxa"/>
            <w:tcBorders/>
            <w:shd w:fill="FFFFFF" w:val="clear"/>
            <w:tcMar>
              <w:bottom w:w="0" w:type="dxa"/>
            </w:tcMar>
            <w:vAlign w:val="center"/>
          </w:tcPr>
          <w:p>
            <w:pPr>
              <w:pStyle w:val="TableContents"/>
              <w:bidi w:val="0"/>
              <w:spacing w:before="0" w:after="283"/>
              <w:jc w:val="right"/>
              <w:rPr/>
            </w:pPr>
            <w:r>
              <w:rPr/>
              <w:t>422,535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69" w:name="xdx_980_eus-gaap--ClassOfWarrantOrRightO"/>
            <w:bookmarkEnd w:id="469"/>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70" w:name="xdx_986_eus-gaap--ClassOfWarrantOrRightE"/>
            <w:bookmarkEnd w:id="470"/>
          </w:p>
        </w:tc>
        <w:tc>
          <w:tcPr>
            <w:tcW w:w="664" w:type="dxa"/>
            <w:tcBorders/>
            <w:shd w:fill="FFFFFF" w:val="clear"/>
            <w:tcMar>
              <w:bottom w:w="0" w:type="dxa"/>
            </w:tcMar>
            <w:vAlign w:val="center"/>
          </w:tcPr>
          <w:p>
            <w:pPr>
              <w:pStyle w:val="TableContents"/>
              <w:bidi w:val="0"/>
              <w:spacing w:before="0" w:after="283"/>
              <w:jc w:val="right"/>
              <w:rPr/>
            </w:pPr>
            <w:r>
              <w:rPr/>
              <w:t>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71" w:name="xdx_909_ecustom--ClassOfWarrantOrRighstM"/>
            <w:bookmarkEnd w:id="471"/>
            <w:r>
              <w:rPr/>
              <w:t>March 16, 2028</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72" w:name="xdx_98E_eus-gaap--ClassOfWarrantOrRightO"/>
            <w:bookmarkEnd w:id="472"/>
          </w:p>
        </w:tc>
        <w:tc>
          <w:tcPr>
            <w:tcW w:w="1786" w:type="dxa"/>
            <w:tcBorders/>
            <w:shd w:fill="CCEEFF" w:val="clear"/>
            <w:tcMar>
              <w:bottom w:w="0" w:type="dxa"/>
            </w:tcMar>
            <w:vAlign w:val="center"/>
          </w:tcPr>
          <w:p>
            <w:pPr>
              <w:pStyle w:val="TableContents"/>
              <w:bidi w:val="0"/>
              <w:spacing w:before="0" w:after="283"/>
              <w:jc w:val="right"/>
              <w:rPr/>
            </w:pPr>
            <w:r>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73" w:name="xdx_985_eus-gaap--ClassOfWarrantOrRightO"/>
            <w:bookmarkEnd w:id="473"/>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74" w:name="xdx_98B_eus-gaap--ClassOfWarrantOrRightE"/>
            <w:bookmarkEnd w:id="474"/>
          </w:p>
        </w:tc>
        <w:tc>
          <w:tcPr>
            <w:tcW w:w="664" w:type="dxa"/>
            <w:tcBorders/>
            <w:shd w:fill="CCEEFF" w:val="clear"/>
            <w:tcMar>
              <w:bottom w:w="0" w:type="dxa"/>
            </w:tcMar>
            <w:vAlign w:val="center"/>
          </w:tcPr>
          <w:p>
            <w:pPr>
              <w:pStyle w:val="TableContents"/>
              <w:bidi w:val="0"/>
              <w:spacing w:before="0" w:after="283"/>
              <w:jc w:val="right"/>
              <w:rPr/>
            </w:pPr>
            <w:r>
              <w:rPr/>
              <w:t>2.62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75" w:name="xdx_90E_ecustom--ClassOfWarrantOrRighstM"/>
            <w:bookmarkEnd w:id="475"/>
            <w:r>
              <w:rPr/>
              <w:t>March 29, 2028</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76" w:name="xdx_983_eus-gaap--ClassOfWarrantOrRightO"/>
            <w:bookmarkEnd w:id="476"/>
          </w:p>
        </w:tc>
        <w:tc>
          <w:tcPr>
            <w:tcW w:w="1786" w:type="dxa"/>
            <w:tcBorders/>
            <w:shd w:fill="FFFFFF" w:val="clear"/>
            <w:tcMar>
              <w:bottom w:w="0" w:type="dxa"/>
            </w:tcMar>
            <w:vAlign w:val="center"/>
          </w:tcPr>
          <w:p>
            <w:pPr>
              <w:pStyle w:val="TableContents"/>
              <w:bidi w:val="0"/>
              <w:spacing w:before="0" w:after="283"/>
              <w:jc w:val="right"/>
              <w:rPr/>
            </w:pPr>
            <w:r>
              <w:rPr/>
              <w:t>53,758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77" w:name="xdx_985_eus-gaap--ClassOfWarrantOrRightO"/>
            <w:bookmarkEnd w:id="477"/>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78" w:name="xdx_98C_eus-gaap--ClassOfWarrantOrRightE"/>
            <w:bookmarkEnd w:id="478"/>
          </w:p>
        </w:tc>
        <w:tc>
          <w:tcPr>
            <w:tcW w:w="664" w:type="dxa"/>
            <w:tcBorders/>
            <w:shd w:fill="FFFFFF" w:val="clear"/>
            <w:tcMar>
              <w:bottom w:w="0" w:type="dxa"/>
            </w:tcMar>
            <w:vAlign w:val="center"/>
          </w:tcPr>
          <w:p>
            <w:pPr>
              <w:pStyle w:val="TableContents"/>
              <w:bidi w:val="0"/>
              <w:spacing w:before="0" w:after="283"/>
              <w:jc w:val="right"/>
              <w:rPr/>
            </w:pPr>
            <w:r>
              <w:rPr/>
              <w:t>1,88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79" w:name="xdx_909_ecustom--ClassOfWarrantOrRighstM"/>
            <w:bookmarkEnd w:id="479"/>
            <w:r>
              <w:rPr/>
              <w:t>March 16, 2031</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80" w:name="xdx_981_eus-gaap--ClassOfWarrantOrRightO"/>
            <w:bookmarkEnd w:id="480"/>
          </w:p>
        </w:tc>
        <w:tc>
          <w:tcPr>
            <w:tcW w:w="1786" w:type="dxa"/>
            <w:tcBorders/>
            <w:shd w:fill="CCEEFF" w:val="clear"/>
            <w:tcMar>
              <w:bottom w:w="0" w:type="dxa"/>
            </w:tcMar>
            <w:vAlign w:val="center"/>
          </w:tcPr>
          <w:p>
            <w:pPr>
              <w:pStyle w:val="TableContents"/>
              <w:bidi w:val="0"/>
              <w:spacing w:before="0" w:after="283"/>
              <w:jc w:val="right"/>
              <w:rPr/>
            </w:pPr>
            <w:r>
              <w:rPr/>
              <w:t>146,306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81" w:name="xdx_983_eus-gaap--ClassOfWarrantOrRightO"/>
            <w:bookmarkEnd w:id="481"/>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82" w:name="xdx_98E_eus-gaap--ClassOfWarrantOrRightE"/>
            <w:bookmarkEnd w:id="482"/>
          </w:p>
        </w:tc>
        <w:tc>
          <w:tcPr>
            <w:tcW w:w="664" w:type="dxa"/>
            <w:tcBorders/>
            <w:shd w:fill="CCEEFF" w:val="clear"/>
            <w:tcMar>
              <w:bottom w:w="0" w:type="dxa"/>
            </w:tcMar>
            <w:vAlign w:val="center"/>
          </w:tcPr>
          <w:p>
            <w:pPr>
              <w:pStyle w:val="TableContents"/>
              <w:bidi w:val="0"/>
              <w:spacing w:before="0" w:after="283"/>
              <w:jc w:val="right"/>
              <w:rPr/>
            </w:pPr>
            <w:r>
              <w:rPr/>
              <w:t>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83" w:name="xdx_90F_ecustom--ClassOfWarrantOrRighstM"/>
            <w:bookmarkEnd w:id="483"/>
            <w:r>
              <w:rPr/>
              <w:t>September 16, 2027</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84" w:name="xdx_98F_eus-gaap--ClassOfWarrantOrRightO"/>
            <w:bookmarkEnd w:id="484"/>
          </w:p>
        </w:tc>
        <w:tc>
          <w:tcPr>
            <w:tcW w:w="1786" w:type="dxa"/>
            <w:tcBorders/>
            <w:shd w:fill="FFFFFF" w:val="clear"/>
            <w:tcMar>
              <w:bottom w:w="0" w:type="dxa"/>
            </w:tcMar>
            <w:vAlign w:val="center"/>
          </w:tcPr>
          <w:p>
            <w:pPr>
              <w:pStyle w:val="TableContents"/>
              <w:bidi w:val="0"/>
              <w:spacing w:before="0" w:after="283"/>
              <w:jc w:val="right"/>
              <w:rPr/>
            </w:pPr>
            <w:r>
              <w:rPr/>
              <w:t>368,572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85" w:name="xdx_987_eus-gaap--ClassOfWarrantOrRightO"/>
            <w:bookmarkEnd w:id="485"/>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86" w:name="xdx_988_eus-gaap--ClassOfWarrantOrRightE"/>
            <w:bookmarkEnd w:id="486"/>
          </w:p>
        </w:tc>
        <w:tc>
          <w:tcPr>
            <w:tcW w:w="664" w:type="dxa"/>
            <w:tcBorders/>
            <w:shd w:fill="FFFFFF" w:val="clear"/>
            <w:tcMar>
              <w:bottom w:w="0" w:type="dxa"/>
            </w:tcMar>
            <w:vAlign w:val="center"/>
          </w:tcPr>
          <w:p>
            <w:pPr>
              <w:pStyle w:val="TableContents"/>
              <w:bidi w:val="0"/>
              <w:spacing w:before="0" w:after="283"/>
              <w:jc w:val="right"/>
              <w:rPr/>
            </w:pPr>
            <w:r>
              <w:rPr/>
              <w:t>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87" w:name="xdx_902_ecustom--ClassOfWarrantOrRighstM"/>
            <w:bookmarkEnd w:id="487"/>
            <w:r>
              <w:rPr/>
              <w:t>September 16, 2027</w:t>
            </w:r>
          </w:p>
        </w:tc>
      </w:tr>
      <w:tr>
        <w:trPr/>
        <w:tc>
          <w:tcPr>
            <w:tcW w:w="3413" w:type="dxa"/>
            <w:tcBorders/>
            <w:shd w:fill="CCEE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88" w:name="xdx_98D_eus-gaap--ClassOfWarrantOrRightO"/>
            <w:bookmarkEnd w:id="488"/>
          </w:p>
        </w:tc>
        <w:tc>
          <w:tcPr>
            <w:tcW w:w="1786" w:type="dxa"/>
            <w:tcBorders/>
            <w:shd w:fill="CCEEFF" w:val="clear"/>
            <w:tcMar>
              <w:bottom w:w="0" w:type="dxa"/>
            </w:tcMar>
            <w:vAlign w:val="center"/>
          </w:tcPr>
          <w:p>
            <w:pPr>
              <w:pStyle w:val="TableContents"/>
              <w:bidi w:val="0"/>
              <w:spacing w:before="0" w:after="283"/>
              <w:jc w:val="right"/>
              <w:rPr/>
            </w:pPr>
            <w:r>
              <w:rPr/>
              <w:t>143,723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89" w:name="xdx_981_eus-gaap--ClassOfWarrantOrRightO"/>
            <w:bookmarkEnd w:id="489"/>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90" w:name="xdx_98B_eus-gaap--ClassOfWarrantOrRightE"/>
            <w:bookmarkEnd w:id="490"/>
          </w:p>
        </w:tc>
        <w:tc>
          <w:tcPr>
            <w:tcW w:w="664" w:type="dxa"/>
            <w:tcBorders/>
            <w:shd w:fill="CCEEFF" w:val="clear"/>
            <w:tcMar>
              <w:bottom w:w="0" w:type="dxa"/>
            </w:tcMar>
            <w:vAlign w:val="center"/>
          </w:tcPr>
          <w:p>
            <w:pPr>
              <w:pStyle w:val="TableContents"/>
              <w:bidi w:val="0"/>
              <w:spacing w:before="0" w:after="283"/>
              <w:jc w:val="right"/>
              <w:rPr/>
            </w:pPr>
            <w:r>
              <w:rPr/>
              <w:t>2.63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91" w:name="xdx_908_ecustom--ClassOfWarrantOrRighstM"/>
            <w:bookmarkEnd w:id="491"/>
            <w:r>
              <w:rPr/>
              <w:t>September 16, 2027</w:t>
            </w:r>
          </w:p>
        </w:tc>
      </w:tr>
      <w:tr>
        <w:trPr/>
        <w:tc>
          <w:tcPr>
            <w:tcW w:w="3413" w:type="dxa"/>
            <w:tcBorders/>
            <w:shd w:fill="FFFFFF" w:val="clear"/>
            <w:tcMar>
              <w:bottom w:w="0" w:type="dxa"/>
            </w:tcMar>
            <w:vAlign w:val="center"/>
          </w:tcPr>
          <w:p>
            <w:pPr>
              <w:pStyle w:val="TableContents"/>
              <w:bidi w:val="0"/>
              <w:spacing w:before="0" w:after="283"/>
              <w:jc w:val="left"/>
              <w:rPr/>
            </w:pPr>
            <w:r>
              <w:rPr/>
              <w:t>Warrant to underwriters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bookmarkStart w:id="492" w:name="xdx_989_eus-gaap--ClassOfWarrantOrRightO"/>
            <w:bookmarkEnd w:id="492"/>
          </w:p>
        </w:tc>
        <w:tc>
          <w:tcPr>
            <w:tcW w:w="1786" w:type="dxa"/>
            <w:tcBorders/>
            <w:shd w:fill="FFFFFF" w:val="clear"/>
            <w:tcMar>
              <w:bottom w:w="0" w:type="dxa"/>
            </w:tcMar>
            <w:vAlign w:val="center"/>
          </w:tcPr>
          <w:p>
            <w:pPr>
              <w:pStyle w:val="TableContents"/>
              <w:bidi w:val="0"/>
              <w:spacing w:before="0" w:after="283"/>
              <w:jc w:val="right"/>
              <w:rPr/>
            </w:pPr>
            <w:r>
              <w:rPr/>
              <w:t>187,794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493" w:name="xdx_98C_eus-gaap--ClassOfWarrantOrRightO"/>
            <w:bookmarkEnd w:id="493"/>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494" w:name="xdx_985_eus-gaap--ClassOfWarrantOrRightE"/>
            <w:bookmarkEnd w:id="494"/>
          </w:p>
        </w:tc>
        <w:tc>
          <w:tcPr>
            <w:tcW w:w="664" w:type="dxa"/>
            <w:tcBorders/>
            <w:shd w:fill="FFFFFF" w:val="clear"/>
            <w:tcMar>
              <w:bottom w:w="0" w:type="dxa"/>
            </w:tcMar>
            <w:vAlign w:val="center"/>
          </w:tcPr>
          <w:p>
            <w:pPr>
              <w:pStyle w:val="TableContents"/>
              <w:bidi w:val="0"/>
              <w:spacing w:before="0" w:after="283"/>
              <w:jc w:val="right"/>
              <w:rPr/>
            </w:pPr>
            <w:r>
              <w:rPr/>
              <w:t>2.66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495" w:name="xdx_907_ecustom--ClassOfWarrantOrRighstM"/>
            <w:bookmarkEnd w:id="495"/>
            <w:r>
              <w:rPr/>
              <w:t>September 16, 2027</w:t>
            </w:r>
          </w:p>
        </w:tc>
      </w:tr>
      <w:tr>
        <w:trPr/>
        <w:tc>
          <w:tcPr>
            <w:tcW w:w="3413" w:type="dxa"/>
            <w:tcBorders/>
            <w:shd w:fill="CCEEFF" w:val="clear"/>
            <w:tcMar>
              <w:bottom w:w="0" w:type="dxa"/>
            </w:tcMar>
            <w:vAlign w:val="center"/>
          </w:tcPr>
          <w:p>
            <w:pPr>
              <w:pStyle w:val="TableContents"/>
              <w:bidi w:val="0"/>
              <w:spacing w:before="0" w:after="283"/>
              <w:jc w:val="left"/>
              <w:rPr/>
            </w:pPr>
            <w:r>
              <w:rPr/>
              <w:t>Warrant series J September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bookmarkStart w:id="496" w:name="xdx_98E_eus-gaap--ClassOfWarrantOrRightO"/>
            <w:bookmarkEnd w:id="496"/>
          </w:p>
        </w:tc>
        <w:tc>
          <w:tcPr>
            <w:tcW w:w="1786" w:type="dxa"/>
            <w:tcBorders/>
            <w:shd w:fill="CCEEFF" w:val="clear"/>
            <w:tcMar>
              <w:bottom w:w="0" w:type="dxa"/>
            </w:tcMar>
            <w:vAlign w:val="center"/>
          </w:tcPr>
          <w:p>
            <w:pPr>
              <w:pStyle w:val="TableContents"/>
              <w:bidi w:val="0"/>
              <w:spacing w:before="0" w:after="283"/>
              <w:jc w:val="right"/>
              <w:rPr/>
            </w:pPr>
            <w:r>
              <w:rPr/>
              <w:t>12,064,627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bookmarkStart w:id="497" w:name="xdx_984_eus-gaap--ClassOfWarrantOrRightO"/>
            <w:bookmarkEnd w:id="497"/>
          </w:p>
        </w:tc>
        <w:tc>
          <w:tcPr>
            <w:tcW w:w="172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bookmarkStart w:id="498" w:name="xdx_98B_eus-gaap--ClassOfWarrantOrRightE"/>
            <w:bookmarkEnd w:id="498"/>
          </w:p>
        </w:tc>
        <w:tc>
          <w:tcPr>
            <w:tcW w:w="664" w:type="dxa"/>
            <w:tcBorders/>
            <w:shd w:fill="CCEEFF" w:val="clear"/>
            <w:tcMar>
              <w:bottom w:w="0" w:type="dxa"/>
            </w:tcMar>
            <w:vAlign w:val="center"/>
          </w:tcPr>
          <w:p>
            <w:pPr>
              <w:pStyle w:val="TableContents"/>
              <w:bidi w:val="0"/>
              <w:spacing w:before="0" w:after="283"/>
              <w:jc w:val="right"/>
              <w:rPr/>
            </w:pPr>
            <w:r>
              <w:rPr/>
              <w:t>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2" w:type="dxa"/>
            <w:tcBorders/>
            <w:shd w:fill="CCEEFF" w:val="clear"/>
            <w:tcMar>
              <w:bottom w:w="0" w:type="dxa"/>
            </w:tcMar>
            <w:vAlign w:val="center"/>
          </w:tcPr>
          <w:p>
            <w:pPr>
              <w:pStyle w:val="TableContents"/>
              <w:bidi w:val="0"/>
              <w:spacing w:before="0" w:after="283"/>
              <w:jc w:val="center"/>
              <w:rPr/>
            </w:pPr>
            <w:bookmarkStart w:id="499" w:name="xdx_902_ecustom--ClassOfWarrantOrRighstM"/>
            <w:bookmarkEnd w:id="499"/>
            <w:r>
              <w:rPr/>
              <w:t>March 16, 2028</w:t>
            </w:r>
          </w:p>
        </w:tc>
      </w:tr>
      <w:tr>
        <w:trPr/>
        <w:tc>
          <w:tcPr>
            <w:tcW w:w="3413" w:type="dxa"/>
            <w:tcBorders/>
            <w:shd w:fill="FFFFFF" w:val="clear"/>
            <w:tcMar>
              <w:bottom w:w="0" w:type="dxa"/>
            </w:tcMar>
            <w:vAlign w:val="center"/>
          </w:tcPr>
          <w:p>
            <w:pPr>
              <w:pStyle w:val="TableContents"/>
              <w:bidi w:val="0"/>
              <w:spacing w:before="0" w:after="283"/>
              <w:jc w:val="left"/>
              <w:rPr/>
            </w:pPr>
            <w:r>
              <w:rPr/>
              <w:t>Warrant series J September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786" w:type="dxa"/>
            <w:tcBorders/>
            <w:shd w:fill="FFFFFF" w:val="clear"/>
            <w:tcMar>
              <w:bottom w:w="0" w:type="dxa"/>
            </w:tcMar>
            <w:vAlign w:val="center"/>
          </w:tcPr>
          <w:p>
            <w:pPr>
              <w:pStyle w:val="TableContents"/>
              <w:bidi w:val="0"/>
              <w:spacing w:before="0" w:after="283"/>
              <w:jc w:val="right"/>
              <w:rPr/>
            </w:pPr>
            <w:bookmarkStart w:id="500" w:name="xdx_981_eus-gaap--ClassOfWarrantOrRightO"/>
            <w:bookmarkEnd w:id="500"/>
            <w:r>
              <w:rPr/>
              <w:t>600,000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bookmarkStart w:id="501" w:name="xdx_98D_eus-gaap--ClassOfWarrantOrRightO"/>
            <w:bookmarkEnd w:id="501"/>
          </w:p>
        </w:tc>
        <w:tc>
          <w:tcPr>
            <w:tcW w:w="172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w:t>
            </w:r>
            <w:bookmarkStart w:id="502" w:name="xdx_987_eus-gaap--ClassOfWarrantOrRightE"/>
            <w:bookmarkEnd w:id="502"/>
          </w:p>
        </w:tc>
        <w:tc>
          <w:tcPr>
            <w:tcW w:w="664" w:type="dxa"/>
            <w:tcBorders/>
            <w:shd w:fill="FFFFFF" w:val="clear"/>
            <w:tcMar>
              <w:bottom w:w="0" w:type="dxa"/>
            </w:tcMar>
            <w:vAlign w:val="center"/>
          </w:tcPr>
          <w:p>
            <w:pPr>
              <w:pStyle w:val="TableContents"/>
              <w:bidi w:val="0"/>
              <w:spacing w:before="0" w:after="283"/>
              <w:jc w:val="right"/>
              <w:rPr/>
            </w:pPr>
            <w:r>
              <w:rPr/>
              <w:t>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2" w:type="dxa"/>
            <w:tcBorders/>
            <w:shd w:fill="FFFFFF" w:val="clear"/>
            <w:tcMar>
              <w:bottom w:w="0" w:type="dxa"/>
            </w:tcMar>
            <w:vAlign w:val="center"/>
          </w:tcPr>
          <w:p>
            <w:pPr>
              <w:pStyle w:val="TableContents"/>
              <w:bidi w:val="0"/>
              <w:spacing w:before="0" w:after="283"/>
              <w:jc w:val="center"/>
              <w:rPr/>
            </w:pPr>
            <w:bookmarkStart w:id="503" w:name="xdx_909_ecustom--ClassOfWarrantOrRighstM"/>
            <w:bookmarkEnd w:id="503"/>
            <w:r>
              <w:rPr/>
              <w:t>March 29, 2028</w:t>
            </w:r>
          </w:p>
        </w:tc>
      </w:tr>
    </w:tbl>
    <w:p>
      <w:pPr>
        <w:pStyle w:val="TextBody"/>
        <w:bidi w:val="0"/>
        <w:spacing w:before="0" w:after="0"/>
        <w:jc w:val="both"/>
        <w:rPr>
          <w:caps w:val="false"/>
          <w:smallCaps w:val="false"/>
        </w:rPr>
      </w:pPr>
      <w:bookmarkStart w:id="504" w:name="xdx_8A2_z3mLCZKXMihi"/>
      <w:bookmarkEnd w:id="504"/>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Increase in Authorized Shares: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2025, following the stockholders approval obtained at the 2025 annual meeting of stockholders of the Company, the Company filed with the State of Delaware a certificate of amendment to the Company’s restated certificate of incorporation, as amended, which increased the total number of shares of common stock authorized for issuance to </w:t>
      </w:r>
      <w:bookmarkStart w:id="505" w:name="xdx_90F_eus-gaap--CommonStockSharesAutho"/>
      <w:bookmarkEnd w:id="505"/>
      <w:r>
        <w:rPr>
          <w:rFonts w:ascii="Times New Roman;Times;Serif" w:hAnsi="Times New Roman;Times;Serif"/>
          <w:b w:val="false"/>
          <w:i w:val="false"/>
          <w:caps w:val="false"/>
          <w:smallCaps w:val="false"/>
          <w:sz w:val="20"/>
        </w:rPr>
        <w:t xml:space="preserve">120,000,000 shares, with a corresponding increase in the total authorized shares from </w:t>
      </w:r>
      <w:bookmarkStart w:id="506" w:name="xdx_903_eus-gaap--CapitalUnitsAuthorized"/>
      <w:bookmarkEnd w:id="506"/>
      <w:r>
        <w:rPr>
          <w:rFonts w:ascii="Times New Roman;Times;Serif" w:hAnsi="Times New Roman;Times;Serif"/>
          <w:b w:val="false"/>
          <w:i w:val="false"/>
          <w:caps w:val="false"/>
          <w:smallCaps w:val="false"/>
          <w:sz w:val="20"/>
        </w:rPr>
        <w:t xml:space="preserve">61,000,000 to </w:t>
      </w:r>
      <w:bookmarkStart w:id="507" w:name="xdx_905_eus-gaap--CapitalUnitsAuthorized"/>
      <w:bookmarkEnd w:id="507"/>
      <w:r>
        <w:rPr>
          <w:rFonts w:ascii="Times New Roman;Times;Serif" w:hAnsi="Times New Roman;Times;Serif"/>
          <w:b w:val="false"/>
          <w:i w:val="false"/>
          <w:caps w:val="false"/>
          <w:smallCaps w:val="false"/>
          <w:sz w:val="20"/>
        </w:rPr>
        <w:t xml:space="preserve">121,000,000. Immediately thereafter, the Company had </w:t>
      </w:r>
      <w:bookmarkStart w:id="508" w:name="xdx_905_eus-gaap--CapitalUnitsAuthorized"/>
      <w:bookmarkEnd w:id="508"/>
      <w:r>
        <w:rPr>
          <w:rFonts w:ascii="Times New Roman;Times;Serif" w:hAnsi="Times New Roman;Times;Serif"/>
          <w:b w:val="false"/>
          <w:i w:val="false"/>
          <w:caps w:val="false"/>
          <w:smallCaps w:val="false"/>
          <w:sz w:val="20"/>
        </w:rPr>
        <w:t xml:space="preserve">121,000,000 shares of authorized stock, consisting of (i) </w:t>
      </w:r>
      <w:bookmarkStart w:id="509" w:name="xdx_90F_eus-gaap--CommonStockSharesAutho"/>
      <w:bookmarkEnd w:id="509"/>
      <w:r>
        <w:rPr>
          <w:rFonts w:ascii="Times New Roman;Times;Serif" w:hAnsi="Times New Roman;Times;Serif"/>
          <w:b w:val="false"/>
          <w:i w:val="false"/>
          <w:caps w:val="false"/>
          <w:smallCaps w:val="false"/>
          <w:sz w:val="20"/>
        </w:rPr>
        <w:t xml:space="preserve">120,000,000 shares of common stock, and (ii) </w:t>
      </w:r>
      <w:bookmarkStart w:id="510" w:name="xdx_904_eus-gaap--PreferredStockSharesAu"/>
      <w:bookmarkEnd w:id="510"/>
      <w:r>
        <w:rPr>
          <w:rFonts w:ascii="Times New Roman;Times;Serif" w:hAnsi="Times New Roman;Times;Serif"/>
          <w:b w:val="false"/>
          <w:i w:val="false"/>
          <w:caps w:val="false"/>
          <w:smallCaps w:val="false"/>
          <w:sz w:val="20"/>
        </w:rPr>
        <w:t>1,000,000 shares of undesignated preferred stock.</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Investment Inducement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14, 2025, the Company entered into an inducement agreement (the “Letter Agreement”) with certain holders (the “Holders”) of existing (i) series F preferred investment options to purchase </w:t>
      </w:r>
      <w:bookmarkStart w:id="511" w:name="xdx_900_eus-gaap--StockIssuedDuringPerio"/>
      <w:bookmarkEnd w:id="511"/>
      <w:r>
        <w:rPr>
          <w:rFonts w:ascii="Times New Roman;Times;Serif" w:hAnsi="Times New Roman;Times;Serif"/>
          <w:b w:val="false"/>
          <w:i w:val="false"/>
          <w:caps w:val="false"/>
          <w:smallCaps w:val="false"/>
          <w:sz w:val="20"/>
        </w:rPr>
        <w:t>207,224 shares of Company’s common stock at an exercise price of $</w:t>
      </w:r>
      <w:bookmarkStart w:id="512" w:name="xdx_905_eus-gaap--SharePrice_iI_c2025091"/>
      <w:bookmarkEnd w:id="512"/>
      <w:r>
        <w:rPr>
          <w:rFonts w:ascii="Times New Roman;Times;Serif" w:hAnsi="Times New Roman;Times;Serif"/>
          <w:b w:val="false"/>
          <w:i w:val="false"/>
          <w:caps w:val="false"/>
          <w:smallCaps w:val="false"/>
          <w:sz w:val="20"/>
        </w:rPr>
        <w:t xml:space="preserve">1.50 per share, (ii) series G preferred investment options to purchase </w:t>
      </w:r>
      <w:bookmarkStart w:id="513" w:name="xdx_90E_eus-gaap--StockIssuedDuringPerio"/>
      <w:bookmarkEnd w:id="513"/>
      <w:r>
        <w:rPr>
          <w:rFonts w:ascii="Times New Roman;Times;Serif" w:hAnsi="Times New Roman;Times;Serif"/>
          <w:b w:val="false"/>
          <w:i w:val="false"/>
          <w:caps w:val="false"/>
          <w:smallCaps w:val="false"/>
          <w:sz w:val="20"/>
        </w:rPr>
        <w:t>628,571 shares of Company’s common stock at an exercise price of $</w:t>
      </w:r>
      <w:bookmarkStart w:id="514" w:name="xdx_90A_eus-gaap--SharePrice_iI_c2025091"/>
      <w:bookmarkEnd w:id="514"/>
      <w:r>
        <w:rPr>
          <w:rFonts w:ascii="Times New Roman;Times;Serif" w:hAnsi="Times New Roman;Times;Serif"/>
          <w:b w:val="false"/>
          <w:i w:val="false"/>
          <w:caps w:val="false"/>
          <w:smallCaps w:val="false"/>
          <w:sz w:val="20"/>
        </w:rPr>
        <w:t xml:space="preserve">1.75 per share, (iii) series H preferred investment options to purchase </w:t>
      </w:r>
      <w:bookmarkStart w:id="515" w:name="xdx_90D_eus-gaap--StockIssuedDuringPerio"/>
      <w:bookmarkEnd w:id="515"/>
      <w:r>
        <w:rPr>
          <w:rFonts w:ascii="Times New Roman;Times;Serif" w:hAnsi="Times New Roman;Times;Serif"/>
          <w:b w:val="false"/>
          <w:i w:val="false"/>
          <w:caps w:val="false"/>
          <w:smallCaps w:val="false"/>
          <w:sz w:val="20"/>
        </w:rPr>
        <w:t>4,702,612 shares of Company’s common stock at an exercise price of $</w:t>
      </w:r>
      <w:bookmarkStart w:id="516" w:name="xdx_908_eus-gaap--SharePrice_iI_c2025091"/>
      <w:bookmarkEnd w:id="516"/>
      <w:r>
        <w:rPr>
          <w:rFonts w:ascii="Times New Roman;Times;Serif" w:hAnsi="Times New Roman;Times;Serif"/>
          <w:b w:val="false"/>
          <w:i w:val="false"/>
          <w:caps w:val="false"/>
          <w:smallCaps w:val="false"/>
          <w:sz w:val="20"/>
        </w:rPr>
        <w:t xml:space="preserve">2.10 per share, and (iv) series I preferred investment options to purchase </w:t>
      </w:r>
      <w:bookmarkStart w:id="517" w:name="xdx_903_eus-gaap--StockIssuedDuringPerio"/>
      <w:bookmarkEnd w:id="517"/>
      <w:r>
        <w:rPr>
          <w:rFonts w:ascii="Times New Roman;Times;Serif" w:hAnsi="Times New Roman;Times;Serif"/>
          <w:b w:val="false"/>
          <w:i w:val="false"/>
          <w:caps w:val="false"/>
          <w:smallCaps w:val="false"/>
          <w:sz w:val="20"/>
        </w:rPr>
        <w:t>8,450,708 shares of Company’s common stock at an exercise price of $</w:t>
      </w:r>
      <w:bookmarkStart w:id="518" w:name="xdx_900_eus-gaap--SharePrice_iI_c2025091"/>
      <w:bookmarkEnd w:id="518"/>
      <w:r>
        <w:rPr>
          <w:rFonts w:ascii="Times New Roman;Times;Serif" w:hAnsi="Times New Roman;Times;Serif"/>
          <w:b w:val="false"/>
          <w:i w:val="false"/>
          <w:caps w:val="false"/>
          <w:smallCaps w:val="false"/>
          <w:sz w:val="20"/>
        </w:rPr>
        <w:t xml:space="preserve">2.13 per share (collectively, the “Existing Preferred Investment Options”). Pursuant to the Letter Agreement, the Holders exercised for cash their Existing Preferred Investment Options to purchase an aggregate of </w:t>
      </w:r>
      <w:bookmarkStart w:id="519" w:name="xdx_902_eus-gaap--ShareBasedCompensation"/>
      <w:bookmarkEnd w:id="519"/>
      <w:r>
        <w:rPr>
          <w:rFonts w:ascii="Times New Roman;Times;Serif" w:hAnsi="Times New Roman;Times;Serif"/>
          <w:b w:val="false"/>
          <w:i w:val="false"/>
          <w:caps w:val="false"/>
          <w:smallCaps w:val="false"/>
          <w:sz w:val="20"/>
        </w:rPr>
        <w:t>13,989,115 shares of Company’s common stock, at exercise prices ranging from $</w:t>
      </w:r>
      <w:bookmarkStart w:id="520" w:name="xdx_906_eus-gaap--SharePrice_iI_c2025091"/>
      <w:bookmarkEnd w:id="520"/>
      <w:r>
        <w:rPr>
          <w:rFonts w:ascii="Times New Roman;Times;Serif" w:hAnsi="Times New Roman;Times;Serif"/>
          <w:b w:val="false"/>
          <w:i w:val="false"/>
          <w:caps w:val="false"/>
          <w:smallCaps w:val="false"/>
          <w:sz w:val="20"/>
        </w:rPr>
        <w:t>1.50 to $</w:t>
      </w:r>
      <w:bookmarkStart w:id="521" w:name="xdx_90F_eus-gaap--SharePrice_iI_c2025091"/>
      <w:bookmarkEnd w:id="521"/>
      <w:r>
        <w:rPr>
          <w:rFonts w:ascii="Times New Roman;Times;Serif" w:hAnsi="Times New Roman;Times;Serif"/>
          <w:b w:val="false"/>
          <w:i w:val="false"/>
          <w:caps w:val="false"/>
          <w:smallCaps w:val="false"/>
          <w:sz w:val="20"/>
        </w:rPr>
        <w:t xml:space="preserve">2.13 per share, in consideration for the Company’s agreement to issue new series J preferred investment options (the “New Preferred Investment Options”) to purchase up to an aggregate of </w:t>
      </w:r>
      <w:bookmarkStart w:id="522" w:name="xdx_907_eus-gaap--StockIssuedDuringPerio"/>
      <w:bookmarkEnd w:id="522"/>
      <w:r>
        <w:rPr>
          <w:rFonts w:ascii="Times New Roman;Times;Serif" w:hAnsi="Times New Roman;Times;Serif"/>
          <w:b w:val="false"/>
          <w:i w:val="false"/>
          <w:caps w:val="false"/>
          <w:smallCaps w:val="false"/>
          <w:sz w:val="20"/>
        </w:rPr>
        <w:t>13,989,115 shares of Company’s common stock at an exercise price of $</w:t>
      </w:r>
      <w:bookmarkStart w:id="523" w:name="xdx_907_eus-gaap--SharePrice_iI_c2025091"/>
      <w:bookmarkEnd w:id="523"/>
      <w:r>
        <w:rPr>
          <w:rFonts w:ascii="Times New Roman;Times;Serif" w:hAnsi="Times New Roman;Times;Serif"/>
          <w:b w:val="false"/>
          <w:i w:val="false"/>
          <w:caps w:val="false"/>
          <w:smallCaps w:val="false"/>
          <w:sz w:val="20"/>
        </w:rPr>
        <w:t>4.50 per share (collectively, the “Inducement Transaction”). The New Preferred Investment Options are exercisable beginning six months after issuance and will expire two years thereafter.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first closing of the Inducement Transaction, which occurred on September 16, 2025, certain Holders exercised Existing Preferred Investment Options to purchase up to an aggregate of </w:t>
      </w:r>
      <w:bookmarkStart w:id="524" w:name="xdx_90D_eus-gaap--StockIssuedDuringPerio"/>
      <w:bookmarkEnd w:id="524"/>
      <w:r>
        <w:rPr>
          <w:rFonts w:ascii="Times New Roman;Times;Serif" w:hAnsi="Times New Roman;Times;Serif"/>
          <w:b w:val="false"/>
          <w:i w:val="false"/>
          <w:caps w:val="false"/>
          <w:smallCaps w:val="false"/>
          <w:sz w:val="20"/>
        </w:rPr>
        <w:t xml:space="preserve">12,064,627 shares of Company’s common stock for cash and received New Preferred Investment Options to purchase up to an aggregate of </w:t>
      </w:r>
      <w:bookmarkStart w:id="525" w:name="xdx_900_eus-gaap--StockIssuedDuringPerio"/>
      <w:bookmarkEnd w:id="525"/>
      <w:r>
        <w:rPr>
          <w:rFonts w:ascii="Times New Roman;Times;Serif" w:hAnsi="Times New Roman;Times;Serif"/>
          <w:b w:val="false"/>
          <w:i w:val="false"/>
          <w:caps w:val="false"/>
          <w:smallCaps w:val="false"/>
          <w:sz w:val="20"/>
        </w:rPr>
        <w:t xml:space="preserve">12,064,627 shares of Company’s common stock. At the second closing of the Inducement Transaction on September 29, 2025, a certain Holder exercised Existing Preferred Investment Options to purchase </w:t>
      </w:r>
      <w:bookmarkStart w:id="526" w:name="xdx_90B_eus-gaap--StockIssuedDuringPerio"/>
      <w:bookmarkEnd w:id="526"/>
      <w:r>
        <w:rPr>
          <w:rFonts w:ascii="Times New Roman;Times;Serif" w:hAnsi="Times New Roman;Times;Serif"/>
          <w:b w:val="false"/>
          <w:i w:val="false"/>
          <w:caps w:val="false"/>
          <w:smallCaps w:val="false"/>
          <w:sz w:val="20"/>
        </w:rPr>
        <w:t xml:space="preserve">600,000 shares of Company’s common stock for cash and received New Preferred Investment Options to purchase up to </w:t>
      </w:r>
      <w:bookmarkStart w:id="527" w:name="xdx_904_eus-gaap--StockIssuedDuringPerio"/>
      <w:bookmarkEnd w:id="527"/>
      <w:r>
        <w:rPr>
          <w:rFonts w:ascii="Times New Roman;Times;Serif" w:hAnsi="Times New Roman;Times;Serif"/>
          <w:b w:val="false"/>
          <w:i w:val="false"/>
          <w:caps w:val="false"/>
          <w:smallCaps w:val="false"/>
          <w:sz w:val="20"/>
        </w:rPr>
        <w:t>600,000 shares of Company’s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closing of the Inducement Transaction occurred on October 6, 2025. Refer to Note 7.</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aggregate gross proceeds of approximately $</w:t>
      </w:r>
      <w:bookmarkStart w:id="528" w:name="xdx_90A_eus-gaap--ProceedsFromOtherEquit"/>
      <w:bookmarkEnd w:id="528"/>
      <w:r>
        <w:rPr>
          <w:rFonts w:ascii="Times New Roman;Times;Serif" w:hAnsi="Times New Roman;Times;Serif"/>
          <w:b w:val="false"/>
          <w:i w:val="false"/>
          <w:caps w:val="false"/>
          <w:smallCaps w:val="false"/>
          <w:sz w:val="20"/>
        </w:rPr>
        <w:t>26,505 from the exercise of the Existing Preferred Investment Options at the closings, before deducting placement agent fees and other offering expenses of approximately $</w:t>
      </w:r>
      <w:bookmarkStart w:id="529" w:name="xdx_904_ecustom--InducementTransactionCo"/>
      <w:bookmarkEnd w:id="529"/>
      <w:r>
        <w:rPr>
          <w:rFonts w:ascii="Times New Roman;Times;Serif" w:hAnsi="Times New Roman;Times;Serif"/>
          <w:b w:val="false"/>
          <w:i w:val="false"/>
          <w:caps w:val="false"/>
          <w:smallCaps w:val="false"/>
          <w:sz w:val="20"/>
        </w:rPr>
        <w:t>2,249, of which $</w:t>
      </w:r>
      <w:bookmarkStart w:id="530" w:name="xdx_90C_ecustom--UnpaidAmount_iI_c202509"/>
      <w:bookmarkEnd w:id="530"/>
      <w:r>
        <w:rPr>
          <w:rFonts w:ascii="Times New Roman;Times;Serif" w:hAnsi="Times New Roman;Times;Serif"/>
          <w:b w:val="false"/>
          <w:i w:val="false"/>
          <w:caps w:val="false"/>
          <w:smallCaps w:val="false"/>
          <w:sz w:val="20"/>
        </w:rPr>
        <w:t xml:space="preserve">153 had not been paid as of September 30, 2025. Additionally, as a result of the Inducement Transaction, and in accordance with the Company’s engagement letters with its placement agent, as mentioned in Note 3D, the Company issued an aggregate of </w:t>
      </w:r>
      <w:bookmarkStart w:id="531" w:name="xdx_90B_eus-gaap--StockIssuedDuringPerio"/>
      <w:bookmarkEnd w:id="531"/>
      <w:r>
        <w:rPr>
          <w:rFonts w:ascii="Times New Roman;Times;Serif" w:hAnsi="Times New Roman;Times;Serif"/>
          <w:b w:val="false"/>
          <w:i w:val="false"/>
          <w:caps w:val="false"/>
          <w:smallCaps w:val="false"/>
          <w:sz w:val="20"/>
        </w:rPr>
        <w:t>633,232 placement agent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32" w:name="xdx_80F_eus-gaap--SegmentReportingDisclo"/>
      <w:bookmarkEnd w:id="532"/>
      <w:r>
        <w:rPr>
          <w:rFonts w:ascii="Times New Roman;Times;Serif" w:hAnsi="Times New Roman;Times;Serif"/>
          <w:b/>
          <w:i w:val="false"/>
          <w:caps w:val="false"/>
          <w:smallCaps w:val="false"/>
          <w:sz w:val="20"/>
        </w:rPr>
        <w:t xml:space="preserve">NOTE 5 – </w:t>
      </w:r>
      <w:bookmarkStart w:id="533" w:name="xdx_826_zEpLeruWzk6e"/>
      <w:bookmarkEnd w:id="533"/>
      <w:r>
        <w:rPr>
          <w:rFonts w:ascii="Times New Roman;Times;Serif" w:hAnsi="Times New Roman;Times;Serif"/>
          <w:b/>
          <w:i w:val="false"/>
          <w:caps w:val="false"/>
          <w:smallCaps w:val="false"/>
          <w:sz w:val="20"/>
        </w:rPr>
        <w:t>SEGMENT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Segment information is prepared on the same basis that the Company’s chief operating decision maker (“CODM”), the Chief Executive Officer, manages the business, makes business decisions and assesses performance. The Company has </w:t>
      </w:r>
      <w:bookmarkStart w:id="534" w:name="xdx_901_eus-gaap--NumberOfReportableSegm"/>
      <w:bookmarkStart w:id="535" w:name="xdx_904_eus-gaap--NumberOfOperatingSegme"/>
      <w:bookmarkEnd w:id="534"/>
      <w:bookmarkEnd w:id="535"/>
      <w:r>
        <w:rPr>
          <w:rFonts w:ascii="Times New Roman;Times;Serif" w:hAnsi="Times New Roman;Times;Serif"/>
          <w:b w:val="false"/>
          <w:i w:val="false"/>
          <w:caps w:val="false"/>
          <w:smallCaps w:val="false"/>
          <w:sz w:val="20"/>
        </w:rPr>
        <w:t>one operating and reportable segment, which is the development of robotic devices for endoluminal surgery. See Note 1A for further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36" w:name="xdx_897_eus-gaap--ScheduleOfSegmentRepor"/>
      <w:bookmarkEnd w:id="536"/>
      <w:r>
        <w:rPr>
          <w:rFonts w:ascii="Times New Roman;Times;Serif" w:hAnsi="Times New Roman;Times;Serif"/>
          <w:b w:val="false"/>
          <w:i w:val="false"/>
          <w:caps w:val="false"/>
          <w:smallCaps w:val="false"/>
          <w:sz w:val="20"/>
        </w:rPr>
        <w:t>The table below summarizes the significant expense categories regularly reviewed by the CODM for the three and nine months ended September 30, 2025, and 2024:</w:t>
      </w:r>
    </w:p>
    <w:p>
      <w:pPr>
        <w:pStyle w:val="TextBody"/>
        <w:bidi w:val="0"/>
        <w:spacing w:before="0" w:after="0"/>
        <w:jc w:val="both"/>
        <w:rPr>
          <w:caps w:val="false"/>
          <w:smallCaps w:val="false"/>
        </w:rPr>
      </w:pPr>
      <w:r>
        <w:rPr>
          <w:caps w:val="false"/>
          <w:smallCaps w:val="false"/>
        </w:rPr>
        <w:t> </w:t>
      </w:r>
      <w:bookmarkStart w:id="537" w:name="xdx_8B8_zxrQTjjg5yrd"/>
      <w:bookmarkEnd w:id="537"/>
      <w:r>
        <w:rPr>
          <w:rFonts w:ascii="Times New Roman;Times;Serif" w:hAnsi="Times New Roman;Times;Serif"/>
          <w:b w:val="false"/>
          <w:i w:val="false"/>
          <w:caps w:val="false"/>
          <w:smallCaps w:val="false"/>
          <w:sz w:val="20"/>
        </w:rPr>
        <w:t>SCHEDULE OF STATEMENT OF OPERATION BY SEGMENT</w:t>
      </w:r>
    </w:p>
    <w:tbl>
      <w:tblPr>
        <w:tblW w:w="7044" w:type="dxa"/>
        <w:jc w:val="left"/>
        <w:tblInd w:w="0" w:type="dxa"/>
        <w:tblLayout w:type="fixed"/>
        <w:tblCellMar>
          <w:top w:w="0" w:type="dxa"/>
          <w:left w:w="0" w:type="dxa"/>
          <w:bottom w:w="0" w:type="dxa"/>
          <w:right w:w="0" w:type="dxa"/>
        </w:tblCellMar>
      </w:tblPr>
      <w:tblGrid>
        <w:gridCol w:w="2855"/>
        <w:gridCol w:w="60"/>
        <w:gridCol w:w="209"/>
        <w:gridCol w:w="836"/>
        <w:gridCol w:w="89"/>
        <w:gridCol w:w="89"/>
        <w:gridCol w:w="209"/>
        <w:gridCol w:w="836"/>
        <w:gridCol w:w="60"/>
        <w:gridCol w:w="60"/>
        <w:gridCol w:w="153"/>
        <w:gridCol w:w="615"/>
        <w:gridCol w:w="65"/>
        <w:gridCol w:w="65"/>
        <w:gridCol w:w="153"/>
        <w:gridCol w:w="615"/>
        <w:gridCol w:w="7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8" w:name="xdx_491_20250701__20250930__us-gaap--Sta"/>
            <w:bookmarkEnd w:id="538"/>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539" w:name="xdx_497_20240701__20240930__us-gaap--Sta"/>
            <w:bookmarkEnd w:id="539"/>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0" w:name="xdx_493_20250101__20250930__us-gaap--Sta"/>
            <w:bookmarkEnd w:id="540"/>
          </w:p>
        </w:tc>
        <w:tc>
          <w:tcPr>
            <w:tcW w:w="7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541" w:name="xdx_49D_20240101__20240930__us-gaap--Sta"/>
            <w:bookmarkEnd w:id="541"/>
          </w:p>
        </w:tc>
        <w:tc>
          <w:tcPr>
            <w:tcW w:w="7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6"/>
            <w:tcBorders>
              <w:bottom w:val="single" w:sz="8" w:space="0" w:color="000000"/>
            </w:tcBorders>
            <w:tcMar>
              <w:bottom w:w="28" w:type="dxa"/>
            </w:tcMar>
            <w:vAlign w:val="center"/>
          </w:tcPr>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57"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i/>
              </w:rPr>
            </w:pPr>
            <w:r>
              <w:rPr>
                <w:i/>
              </w:rPr>
              <w:t>Significant segment expenses: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42" w:name="xdx_405_ecustom--PayrollAndPayrollRelate"/>
            <w:bookmarkEnd w:id="542"/>
          </w:p>
        </w:tc>
      </w:tr>
      <w:tr>
        <w:trPr/>
        <w:tc>
          <w:tcPr>
            <w:tcW w:w="2855" w:type="dxa"/>
            <w:tcBorders/>
            <w:shd w:fill="FFFFFF" w:val="clear"/>
            <w:vAlign w:val="center"/>
          </w:tcPr>
          <w:p>
            <w:pPr>
              <w:pStyle w:val="TableContents"/>
              <w:bidi w:val="0"/>
              <w:spacing w:before="0" w:after="283"/>
              <w:jc w:val="left"/>
              <w:rPr/>
            </w:pPr>
            <w:r>
              <w:rPr/>
              <w:t>Payroll and payroll related</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836" w:type="dxa"/>
            <w:tcBorders/>
            <w:shd w:fill="FFFFFF" w:val="clear"/>
            <w:vAlign w:val="center"/>
          </w:tcPr>
          <w:p>
            <w:pPr>
              <w:pStyle w:val="TableContents"/>
              <w:bidi w:val="0"/>
              <w:spacing w:before="0" w:after="283"/>
              <w:jc w:val="right"/>
              <w:rPr/>
            </w:pPr>
            <w:r>
              <w:rPr/>
              <w:t>2,035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836" w:type="dxa"/>
            <w:tcBorders/>
            <w:shd w:fill="FFFFFF" w:val="clear"/>
            <w:vAlign w:val="center"/>
          </w:tcPr>
          <w:p>
            <w:pPr>
              <w:pStyle w:val="TableContents"/>
              <w:bidi w:val="0"/>
              <w:spacing w:before="0" w:after="283"/>
              <w:jc w:val="right"/>
              <w:rPr/>
            </w:pPr>
            <w:r>
              <w:rPr/>
              <w:t>1,391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615" w:type="dxa"/>
            <w:tcBorders/>
            <w:shd w:fill="FFFFFF" w:val="clear"/>
            <w:vAlign w:val="center"/>
          </w:tcPr>
          <w:p>
            <w:pPr>
              <w:pStyle w:val="TableContents"/>
              <w:bidi w:val="0"/>
              <w:spacing w:before="0" w:after="283"/>
              <w:jc w:val="right"/>
              <w:rPr/>
            </w:pPr>
            <w:r>
              <w:rPr/>
              <w:t>5,159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615" w:type="dxa"/>
            <w:tcBorders/>
            <w:shd w:fill="FFFFFF" w:val="clear"/>
            <w:vAlign w:val="center"/>
          </w:tcPr>
          <w:p>
            <w:pPr>
              <w:pStyle w:val="TableContents"/>
              <w:bidi w:val="0"/>
              <w:spacing w:before="0" w:after="283"/>
              <w:jc w:val="right"/>
              <w:rPr/>
            </w:pPr>
            <w:r>
              <w:rPr/>
              <w:t>3,575</w:t>
            </w:r>
          </w:p>
        </w:tc>
        <w:tc>
          <w:tcPr>
            <w:tcW w:w="75" w:type="dxa"/>
            <w:tcBorders/>
            <w:shd w:fill="FFFFFF" w:val="clear"/>
            <w:vAlign w:val="center"/>
          </w:tcPr>
          <w:p>
            <w:pPr>
              <w:pStyle w:val="TableContents"/>
              <w:bidi w:val="0"/>
              <w:spacing w:before="0" w:after="283"/>
              <w:jc w:val="left"/>
              <w:rPr/>
            </w:pPr>
            <w:r>
              <w:rPr/>
              <w:t> </w:t>
            </w:r>
            <w:bookmarkStart w:id="543" w:name="xdx_404_ecustom--MaterialsAndSubcontract"/>
            <w:bookmarkEnd w:id="543"/>
          </w:p>
        </w:tc>
      </w:tr>
      <w:tr>
        <w:trPr/>
        <w:tc>
          <w:tcPr>
            <w:tcW w:w="2855" w:type="dxa"/>
            <w:tcBorders/>
            <w:shd w:fill="CCEEFF" w:val="clear"/>
            <w:vAlign w:val="center"/>
          </w:tcPr>
          <w:p>
            <w:pPr>
              <w:pStyle w:val="TableContents"/>
              <w:bidi w:val="0"/>
              <w:spacing w:before="0" w:after="283"/>
              <w:jc w:val="left"/>
              <w:rPr/>
            </w:pPr>
            <w:r>
              <w:rPr/>
              <w:t>Materials and subcontractors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579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1,522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1,597</w:t>
            </w:r>
          </w:p>
        </w:tc>
        <w:tc>
          <w:tcPr>
            <w:tcW w:w="75" w:type="dxa"/>
            <w:tcBorders/>
            <w:shd w:fill="CCEEFF" w:val="clear"/>
            <w:vAlign w:val="center"/>
          </w:tcPr>
          <w:p>
            <w:pPr>
              <w:pStyle w:val="TableContents"/>
              <w:bidi w:val="0"/>
              <w:spacing w:before="0" w:after="283"/>
              <w:jc w:val="left"/>
              <w:rPr/>
            </w:pPr>
            <w:r>
              <w:rPr/>
              <w:t> </w:t>
            </w:r>
            <w:bookmarkStart w:id="544" w:name="xdx_402_eus-gaap--ShareBasedCompensation"/>
            <w:bookmarkEnd w:id="544"/>
          </w:p>
        </w:tc>
      </w:tr>
      <w:tr>
        <w:trPr/>
        <w:tc>
          <w:tcPr>
            <w:tcW w:w="285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328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821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1,067</w:t>
            </w:r>
          </w:p>
        </w:tc>
        <w:tc>
          <w:tcPr>
            <w:tcW w:w="75" w:type="dxa"/>
            <w:tcBorders/>
            <w:shd w:fill="FFFFFF" w:val="clear"/>
            <w:vAlign w:val="center"/>
          </w:tcPr>
          <w:p>
            <w:pPr>
              <w:pStyle w:val="TableContents"/>
              <w:bidi w:val="0"/>
              <w:spacing w:before="0" w:after="283"/>
              <w:jc w:val="left"/>
              <w:rPr/>
            </w:pPr>
            <w:r>
              <w:rPr/>
              <w:t> </w:t>
            </w:r>
            <w:bookmarkStart w:id="545" w:name="xdx_407_eus-gaap--SegmentReportingOtherI"/>
            <w:bookmarkEnd w:id="545"/>
          </w:p>
        </w:tc>
      </w:tr>
      <w:tr>
        <w:trPr/>
        <w:tc>
          <w:tcPr>
            <w:tcW w:w="2855" w:type="dxa"/>
            <w:tcBorders/>
            <w:shd w:fill="CCEEFF" w:val="clear"/>
            <w:vAlign w:val="center"/>
          </w:tcPr>
          <w:p>
            <w:pPr>
              <w:pStyle w:val="TableContents"/>
              <w:bidi w:val="0"/>
              <w:spacing w:before="0" w:after="283"/>
              <w:jc w:val="left"/>
              <w:rPr/>
            </w:pPr>
            <w:r>
              <w:rPr/>
              <w:t>Other segment items (</w:t>
            </w:r>
            <w:bookmarkStart w:id="546" w:name="xdx_F4F_zoy7PXqYUwme"/>
            <w:bookmarkEnd w:id="546"/>
            <w:r>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635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CCEEFF" w:val="clear"/>
            <w:tcMar>
              <w:bottom w:w="28" w:type="dxa"/>
            </w:tcMar>
            <w:vAlign w:val="center"/>
          </w:tcPr>
          <w:p>
            <w:pPr>
              <w:pStyle w:val="TableContents"/>
              <w:bidi w:val="0"/>
              <w:spacing w:before="0" w:after="283"/>
              <w:jc w:val="right"/>
              <w:rPr/>
            </w:pPr>
            <w:r>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pPr>
            <w:r>
              <w:rPr/>
              <w:t>2,176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5" w:type="dxa"/>
            <w:tcBorders>
              <w:bottom w:val="single" w:sz="8" w:space="0" w:color="000000"/>
            </w:tcBorders>
            <w:shd w:fill="CCEEFF" w:val="clear"/>
            <w:tcMar>
              <w:bottom w:w="28" w:type="dxa"/>
            </w:tcMar>
            <w:vAlign w:val="center"/>
          </w:tcPr>
          <w:p>
            <w:pPr>
              <w:pStyle w:val="TableContents"/>
              <w:bidi w:val="0"/>
              <w:spacing w:before="0" w:after="283"/>
              <w:jc w:val="right"/>
              <w:rPr/>
            </w:pPr>
            <w:r>
              <w:rPr/>
              <w:t>1,812</w:t>
            </w:r>
          </w:p>
        </w:tc>
        <w:tc>
          <w:tcPr>
            <w:tcW w:w="75" w:type="dxa"/>
            <w:tcBorders/>
            <w:shd w:fill="CCEEFF" w:val="clear"/>
            <w:vAlign w:val="center"/>
          </w:tcPr>
          <w:p>
            <w:pPr>
              <w:pStyle w:val="TableContents"/>
              <w:bidi w:val="0"/>
              <w:spacing w:before="0" w:after="283"/>
              <w:jc w:val="left"/>
              <w:rPr/>
            </w:pPr>
            <w:r>
              <w:rPr/>
              <w:t> </w:t>
            </w:r>
            <w:bookmarkStart w:id="547" w:name="xdx_406_eus-gaap--NetIncomeLoss_iT_mtNIL"/>
            <w:bookmarkEnd w:id="547"/>
          </w:p>
        </w:tc>
      </w:tr>
      <w:tr>
        <w:trPr/>
        <w:tc>
          <w:tcPr>
            <w:tcW w:w="285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pPr>
            <w:r>
              <w:rPr/>
              <w:t>3,577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6" w:type="dxa"/>
            <w:tcBorders>
              <w:bottom w:val="double" w:sz="6" w:space="0" w:color="000000"/>
            </w:tcBorders>
            <w:shd w:fill="FFFFFF" w:val="clear"/>
            <w:tcMar>
              <w:bottom w:w="28" w:type="dxa"/>
            </w:tcMar>
            <w:vAlign w:val="center"/>
          </w:tcPr>
          <w:p>
            <w:pPr>
              <w:pStyle w:val="TableContents"/>
              <w:bidi w:val="0"/>
              <w:spacing w:before="0" w:after="283"/>
              <w:jc w:val="right"/>
              <w:rPr/>
            </w:pPr>
            <w:r>
              <w:rPr/>
              <w:t>3,215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jc w:val="right"/>
              <w:rPr/>
            </w:pPr>
            <w:r>
              <w:rPr/>
              <w:t>9,678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5" w:type="dxa"/>
            <w:tcBorders>
              <w:bottom w:val="double" w:sz="6" w:space="0" w:color="000000"/>
            </w:tcBorders>
            <w:shd w:fill="FFFFFF" w:val="clear"/>
            <w:tcMar>
              <w:bottom w:w="28" w:type="dxa"/>
            </w:tcMar>
            <w:vAlign w:val="center"/>
          </w:tcPr>
          <w:p>
            <w:pPr>
              <w:pStyle w:val="TableContents"/>
              <w:bidi w:val="0"/>
              <w:spacing w:before="0" w:after="283"/>
              <w:jc w:val="right"/>
              <w:rPr/>
            </w:pPr>
            <w:r>
              <w:rPr/>
              <w:t>8,051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548" w:name="xdx_F07_zuNHe5Dscq1c"/>
            <w:bookmarkEnd w:id="548"/>
            <w:r>
              <w:rPr>
                <w:rFonts w:ascii="Times New Roman;Times;Serif" w:hAnsi="Times New Roman;Times;Serif"/>
                <w:b w:val="false"/>
                <w:i w:val="false"/>
                <w:caps w:val="false"/>
                <w:smallCaps w:val="false"/>
                <w:sz w:val="20"/>
              </w:rPr>
              <w:t>(*)</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549" w:name="xdx_F13_zH8seqxAaV4c"/>
            <w:bookmarkEnd w:id="549"/>
            <w:r>
              <w:rPr>
                <w:rFonts w:ascii="Times New Roman;Times;Serif" w:hAnsi="Times New Roman;Times;Serif"/>
                <w:b w:val="false"/>
                <w:i w:val="false"/>
                <w:caps w:val="false"/>
                <w:smallCaps w:val="false"/>
                <w:sz w:val="20"/>
              </w:rPr>
              <w:t>Other segment items included within net loss include professional services, patents, overhead and depreciation, travel expenses, insurance expenses, financial income, net, other income and other miscellaneous expenses net of grants received. See the consolidated financial statements for other financial information regarding the Company’s operating segment.</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50" w:name="xdx_80C_eus-gaap--LesseeOperatingLeasesT"/>
      <w:bookmarkEnd w:id="550"/>
      <w:r>
        <w:rPr>
          <w:rFonts w:ascii="Times New Roman;Times;Serif" w:hAnsi="Times New Roman;Times;Serif"/>
          <w:b/>
          <w:i w:val="false"/>
          <w:caps w:val="false"/>
          <w:smallCaps w:val="false"/>
          <w:sz w:val="20"/>
        </w:rPr>
        <w:t xml:space="preserve">NOTE 6 – </w:t>
      </w:r>
      <w:bookmarkStart w:id="551" w:name="xdx_823_zivTyd0uI8Qg"/>
      <w:bookmarkEnd w:id="551"/>
      <w:r>
        <w:rPr>
          <w:rFonts w:ascii="Times New Roman;Times;Serif" w:hAnsi="Times New Roman;Times;Serif"/>
          <w:b/>
          <w:i w:val="false"/>
          <w:caps w:val="false"/>
          <w:smallCaps w:val="false"/>
          <w:sz w:val="20"/>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entered into a lease agreement for its US office for the period from March 2025 until February 2027. The monthly lease payments are approximately $</w:t>
      </w:r>
      <w:bookmarkStart w:id="552" w:name="xdx_903_eus-gaap--FinanceLeasePrincipalP"/>
      <w:bookmarkEnd w:id="552"/>
      <w:r>
        <w:rPr>
          <w:rFonts w:ascii="Times New Roman;Times;Serif" w:hAnsi="Times New Roman;Times;Serif"/>
          <w:b w:val="false"/>
          <w:i w:val="false"/>
          <w:caps w:val="false"/>
          <w:smallCaps w:val="false"/>
          <w:sz w:val="20"/>
        </w:rPr>
        <w:t>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Subsidiary entered into a lease agreement for its Israel office for the period from July 2025 until October 2029. The monthly lease payments are approximately $</w:t>
      </w:r>
      <w:bookmarkStart w:id="553" w:name="xdx_905_eus-gaap--FinanceLeasePrincipalP"/>
      <w:bookmarkEnd w:id="553"/>
      <w:r>
        <w:rPr>
          <w:rFonts w:ascii="Times New Roman;Times;Serif" w:hAnsi="Times New Roman;Times;Serif"/>
          <w:b w:val="false"/>
          <w:i w:val="false"/>
          <w:caps w:val="false"/>
          <w:smallCaps w:val="false"/>
          <w:sz w:val="20"/>
        </w:rPr>
        <w:t>19. To secure the lease payments, the Company issued a bank guarantee of $</w:t>
      </w:r>
      <w:bookmarkStart w:id="554" w:name="xdx_905_ecustom--BankGuaranteeIssued_pn3"/>
      <w:bookmarkEnd w:id="554"/>
      <w:r>
        <w:rPr>
          <w:rFonts w:ascii="Times New Roman;Times;Serif" w:hAnsi="Times New Roman;Times;Serif"/>
          <w:b w:val="false"/>
          <w:i w:val="false"/>
          <w:caps w:val="false"/>
          <w:smallCaps w:val="false"/>
          <w:sz w:val="20"/>
        </w:rPr>
        <w:t>54 in favor of the facility’s lessor.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has several agreements for car 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55" w:name="xdx_89A_eus-gaap--LesseeOperatingLeaseLi"/>
      <w:bookmarkEnd w:id="555"/>
      <w:r>
        <w:rPr>
          <w:rFonts w:ascii="Times New Roman;Times;Serif" w:hAnsi="Times New Roman;Times;Serif"/>
          <w:b w:val="false"/>
          <w:i w:val="false"/>
          <w:caps w:val="false"/>
          <w:smallCaps w:val="false"/>
          <w:sz w:val="20"/>
        </w:rPr>
        <w:t>Future minimum lease obligations under our non-cancelable lease agreements as of September 30, 2025 were as follows:</w:t>
      </w:r>
    </w:p>
    <w:p>
      <w:pPr>
        <w:pStyle w:val="TextBody"/>
        <w:bidi w:val="0"/>
        <w:spacing w:before="0" w:after="0"/>
        <w:jc w:val="both"/>
        <w:rPr>
          <w:caps w:val="false"/>
          <w:smallCaps w:val="false"/>
        </w:rPr>
      </w:pPr>
      <w:r>
        <w:rPr>
          <w:caps w:val="false"/>
          <w:smallCaps w:val="false"/>
        </w:rPr>
        <w:t> </w:t>
      </w:r>
      <w:bookmarkStart w:id="556" w:name="xdx_8B6_zY1C1zC83ibh"/>
      <w:bookmarkEnd w:id="556"/>
      <w:r>
        <w:rPr>
          <w:rFonts w:ascii="Times New Roman;Times;Serif" w:hAnsi="Times New Roman;Times;Serif"/>
          <w:b w:val="false"/>
          <w:i w:val="false"/>
          <w:caps w:val="false"/>
          <w:smallCaps w:val="false"/>
          <w:sz w:val="20"/>
        </w:rPr>
        <w:t>SCHEDULE OF MINIMUM LEASE OBLIGATION</w:t>
      </w:r>
    </w:p>
    <w:tbl>
      <w:tblPr>
        <w:tblW w:w="3500" w:type="dxa"/>
        <w:jc w:val="left"/>
        <w:tblInd w:w="0" w:type="dxa"/>
        <w:tblLayout w:type="fixed"/>
        <w:tblCellMar>
          <w:top w:w="0" w:type="dxa"/>
          <w:left w:w="0" w:type="dxa"/>
          <w:bottom w:w="0" w:type="dxa"/>
          <w:right w:w="0" w:type="dxa"/>
        </w:tblCellMar>
      </w:tblPr>
      <w:tblGrid>
        <w:gridCol w:w="2630"/>
        <w:gridCol w:w="60"/>
        <w:gridCol w:w="140"/>
        <w:gridCol w:w="560"/>
        <w:gridCol w:w="110"/>
      </w:tblGrid>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57" w:name="xdx_49D_20250930_zDB5DZP2Srid"/>
            <w:bookmarkEnd w:id="557"/>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58" w:name="xdx_406_eus-gaap--LesseeOperatingLeaseLi"/>
            <w:bookmarkEnd w:id="558"/>
          </w:p>
        </w:tc>
      </w:tr>
      <w:tr>
        <w:trPr/>
        <w:tc>
          <w:tcPr>
            <w:tcW w:w="2630"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81</w:t>
            </w:r>
          </w:p>
        </w:tc>
        <w:tc>
          <w:tcPr>
            <w:tcW w:w="110" w:type="dxa"/>
            <w:tcBorders/>
            <w:shd w:fill="CCEEFF" w:val="clear"/>
            <w:vAlign w:val="center"/>
          </w:tcPr>
          <w:p>
            <w:pPr>
              <w:pStyle w:val="TableContents"/>
              <w:bidi w:val="0"/>
              <w:spacing w:before="0" w:after="283"/>
              <w:jc w:val="left"/>
              <w:rPr/>
            </w:pPr>
            <w:r>
              <w:rPr/>
              <w:t> </w:t>
            </w:r>
            <w:bookmarkStart w:id="559" w:name="xdx_409_eus-gaap--LesseeOperatingLeaseLi"/>
            <w:bookmarkEnd w:id="559"/>
          </w:p>
        </w:tc>
      </w:tr>
      <w:tr>
        <w:trPr/>
        <w:tc>
          <w:tcPr>
            <w:tcW w:w="263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298</w:t>
            </w:r>
          </w:p>
        </w:tc>
        <w:tc>
          <w:tcPr>
            <w:tcW w:w="110" w:type="dxa"/>
            <w:tcBorders/>
            <w:shd w:fill="FFFFFF" w:val="clear"/>
            <w:vAlign w:val="center"/>
          </w:tcPr>
          <w:p>
            <w:pPr>
              <w:pStyle w:val="TableContents"/>
              <w:bidi w:val="0"/>
              <w:spacing w:before="0" w:after="283"/>
              <w:jc w:val="left"/>
              <w:rPr/>
            </w:pPr>
            <w:r>
              <w:rPr/>
              <w:t> </w:t>
            </w:r>
            <w:bookmarkStart w:id="560" w:name="xdx_40C_eus-gaap--LesseeOperatingLeaseLi"/>
            <w:bookmarkEnd w:id="560"/>
          </w:p>
        </w:tc>
      </w:tr>
      <w:tr>
        <w:trPr/>
        <w:tc>
          <w:tcPr>
            <w:tcW w:w="263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247</w:t>
            </w:r>
          </w:p>
        </w:tc>
        <w:tc>
          <w:tcPr>
            <w:tcW w:w="110" w:type="dxa"/>
            <w:tcBorders/>
            <w:shd w:fill="CCEEFF" w:val="clear"/>
            <w:vAlign w:val="center"/>
          </w:tcPr>
          <w:p>
            <w:pPr>
              <w:pStyle w:val="TableContents"/>
              <w:bidi w:val="0"/>
              <w:spacing w:before="0" w:after="283"/>
              <w:jc w:val="left"/>
              <w:rPr/>
            </w:pPr>
            <w:r>
              <w:rPr/>
              <w:t> </w:t>
            </w:r>
            <w:bookmarkStart w:id="561" w:name="xdx_406_eus-gaap--LesseeOperatingLeaseLi"/>
            <w:bookmarkEnd w:id="561"/>
          </w:p>
        </w:tc>
      </w:tr>
      <w:tr>
        <w:trPr/>
        <w:tc>
          <w:tcPr>
            <w:tcW w:w="2630"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229</w:t>
            </w:r>
          </w:p>
        </w:tc>
        <w:tc>
          <w:tcPr>
            <w:tcW w:w="110" w:type="dxa"/>
            <w:tcBorders/>
            <w:shd w:fill="FFFFFF" w:val="clear"/>
            <w:vAlign w:val="center"/>
          </w:tcPr>
          <w:p>
            <w:pPr>
              <w:pStyle w:val="TableContents"/>
              <w:bidi w:val="0"/>
              <w:spacing w:before="0" w:after="283"/>
              <w:jc w:val="left"/>
              <w:rPr/>
            </w:pPr>
            <w:r>
              <w:rPr/>
              <w:t> </w:t>
            </w:r>
            <w:bookmarkStart w:id="562" w:name="xdx_407_eus-gaap--LesseeOperatingLeaseLi"/>
            <w:bookmarkEnd w:id="562"/>
          </w:p>
        </w:tc>
      </w:tr>
      <w:tr>
        <w:trPr/>
        <w:tc>
          <w:tcPr>
            <w:tcW w:w="2630"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189</w:t>
            </w:r>
          </w:p>
        </w:tc>
        <w:tc>
          <w:tcPr>
            <w:tcW w:w="110" w:type="dxa"/>
            <w:tcBorders/>
            <w:shd w:fill="CCEEFF" w:val="clear"/>
            <w:vAlign w:val="center"/>
          </w:tcPr>
          <w:p>
            <w:pPr>
              <w:pStyle w:val="TableContents"/>
              <w:bidi w:val="0"/>
              <w:spacing w:before="0" w:after="283"/>
              <w:jc w:val="left"/>
              <w:rPr/>
            </w:pPr>
            <w:r>
              <w:rPr/>
              <w:t> </w:t>
            </w:r>
            <w:bookmarkStart w:id="563" w:name="xdx_407_eus-gaap--LesseeOperatingLeaseLi"/>
            <w:bookmarkEnd w:id="563"/>
          </w:p>
        </w:tc>
      </w:tr>
      <w:tr>
        <w:trPr/>
        <w:tc>
          <w:tcPr>
            <w:tcW w:w="2630" w:type="dxa"/>
            <w:tcBorders/>
            <w:shd w:fill="FFFFFF" w:val="clear"/>
            <w:vAlign w:val="center"/>
          </w:tcPr>
          <w:p>
            <w:pPr>
              <w:pStyle w:val="TableContents"/>
              <w:bidi w:val="0"/>
              <w:spacing w:before="0" w:after="283"/>
              <w:jc w:val="left"/>
              <w:rPr/>
            </w:pPr>
            <w:r>
              <w:rPr/>
              <w:t>Total future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1,044</w:t>
            </w:r>
          </w:p>
        </w:tc>
        <w:tc>
          <w:tcPr>
            <w:tcW w:w="110" w:type="dxa"/>
            <w:tcBorders/>
            <w:shd w:fill="FFFFFF" w:val="clear"/>
            <w:vAlign w:val="center"/>
          </w:tcPr>
          <w:p>
            <w:pPr>
              <w:pStyle w:val="TableContents"/>
              <w:bidi w:val="0"/>
              <w:spacing w:before="0" w:after="283"/>
              <w:jc w:val="left"/>
              <w:rPr/>
            </w:pPr>
            <w:r>
              <w:rPr/>
              <w:t> </w:t>
            </w:r>
            <w:bookmarkStart w:id="564" w:name="xdx_40D_eus-gaap--LesseeOperatingLeaseLi"/>
            <w:bookmarkEnd w:id="564"/>
          </w:p>
        </w:tc>
      </w:tr>
      <w:tr>
        <w:trPr/>
        <w:tc>
          <w:tcPr>
            <w:tcW w:w="263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w:t>
            </w:r>
            <w:bookmarkStart w:id="565" w:name="xdx_403_eus-gaap--OperatingLeaseLiabilit"/>
            <w:bookmarkEnd w:id="565"/>
          </w:p>
        </w:tc>
      </w:tr>
      <w:tr>
        <w:trPr/>
        <w:tc>
          <w:tcPr>
            <w:tcW w:w="263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899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66" w:name="xdx_8A5_z209vA5TXyH2"/>
      <w:bookmarkEnd w:id="56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67" w:name="xdx_892_eus-gaap--LeaseCostTableTextBloc"/>
      <w:bookmarkEnd w:id="567"/>
      <w:r>
        <w:rPr>
          <w:rFonts w:ascii="Times New Roman;Times;Serif" w:hAnsi="Times New Roman;Times;Serif"/>
          <w:b w:val="false"/>
          <w:i w:val="false"/>
          <w:caps w:val="false"/>
          <w:smallCaps w:val="false"/>
          <w:sz w:val="20"/>
        </w:rPr>
        <w:t>The following table includes the weighted-average lease terms and discount rates for operating leases as of September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68" w:name="xdx_8B8_zhna2wON7SH"/>
      <w:bookmarkEnd w:id="568"/>
      <w:r>
        <w:rPr>
          <w:rFonts w:ascii="Times New Roman;Times;Serif" w:hAnsi="Times New Roman;Times;Serif"/>
          <w:b w:val="false"/>
          <w:i w:val="false"/>
          <w:caps w:val="false"/>
          <w:smallCaps w:val="false"/>
          <w:sz w:val="20"/>
        </w:rPr>
        <w:t>SCHEDULE OF SUPPLEMENTAL INFORMATION RELATED TO LEASES</w:t>
      </w:r>
    </w:p>
    <w:tbl>
      <w:tblPr>
        <w:tblW w:w="7065" w:type="dxa"/>
        <w:jc w:val="left"/>
        <w:tblInd w:w="0" w:type="dxa"/>
        <w:tblLayout w:type="fixed"/>
        <w:tblCellMar>
          <w:top w:w="0" w:type="dxa"/>
          <w:left w:w="0" w:type="dxa"/>
          <w:bottom w:w="0" w:type="dxa"/>
          <w:right w:w="0" w:type="dxa"/>
        </w:tblCellMar>
      </w:tblPr>
      <w:tblGrid>
        <w:gridCol w:w="6275"/>
        <w:gridCol w:w="60"/>
        <w:gridCol w:w="60"/>
        <w:gridCol w:w="440"/>
        <w:gridCol w:w="230"/>
      </w:tblGrid>
      <w:tr>
        <w:trPr/>
        <w:tc>
          <w:tcPr>
            <w:tcW w:w="6275" w:type="dxa"/>
            <w:tcBorders/>
            <w:shd w:fill="CCEEFF" w:val="clear"/>
            <w:vAlign w:val="center"/>
          </w:tcPr>
          <w:p>
            <w:pPr>
              <w:pStyle w:val="TableContents"/>
              <w:bidi w:val="0"/>
              <w:spacing w:before="0" w:after="283"/>
              <w:jc w:val="left"/>
              <w:rPr/>
            </w:pPr>
            <w:r>
              <w:rPr/>
              <w:t>Operating leases 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569" w:name="xdx_90A_eus-gaap--LesseeOperatingLeaseRe"/>
            <w:bookmarkEnd w:id="569"/>
            <w:r>
              <w:rPr/>
              <w:t>3.82</w:t>
            </w:r>
          </w:p>
        </w:tc>
        <w:tc>
          <w:tcPr>
            <w:tcW w:w="23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Operating leases weighted 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70" w:name="xdx_98B_eus-gaap--OperatingLeaseWeighted"/>
            <w:bookmarkEnd w:id="570"/>
          </w:p>
        </w:tc>
        <w:tc>
          <w:tcPr>
            <w:tcW w:w="440" w:type="dxa"/>
            <w:tcBorders/>
            <w:shd w:fill="FFFFFF" w:val="clear"/>
            <w:vAlign w:val="center"/>
          </w:tcPr>
          <w:p>
            <w:pPr>
              <w:pStyle w:val="TableContents"/>
              <w:bidi w:val="0"/>
              <w:spacing w:before="0" w:after="283"/>
              <w:jc w:val="right"/>
              <w:rPr/>
            </w:pPr>
            <w:r>
              <w:rPr/>
              <w:t>8.13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bookmarkStart w:id="571" w:name="xdx_8A7_zVEgpFOHvfr5"/>
      <w:bookmarkEnd w:id="571"/>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72" w:name="xdx_890_eus-gaap--ScheduleOfComprehensiv"/>
      <w:bookmarkEnd w:id="572"/>
      <w:r>
        <w:rPr>
          <w:rFonts w:ascii="Times New Roman;Times;Serif" w:hAnsi="Times New Roman;Times;Serif"/>
          <w:b w:val="false"/>
          <w:i w:val="false"/>
          <w:caps w:val="false"/>
          <w:smallCaps w:val="false"/>
          <w:sz w:val="20"/>
        </w:rPr>
        <w:t>The following table presents the components of the Company’s lease cost and the classification of such costs in the Company’s consolidated statements of comprehensive loss for the nine and three months ended September 30, 2025:</w:t>
      </w:r>
    </w:p>
    <w:p>
      <w:pPr>
        <w:pStyle w:val="TextBody"/>
        <w:bidi w:val="0"/>
        <w:spacing w:before="0" w:after="0"/>
        <w:jc w:val="both"/>
        <w:rPr>
          <w:rFonts w:ascii="Times New Roman;Times;Serif" w:hAnsi="Times New Roman;Times;Serif"/>
          <w:b w:val="false"/>
          <w:i w:val="false"/>
          <w:caps w:val="false"/>
          <w:smallCaps w:val="false"/>
          <w:sz w:val="20"/>
        </w:rPr>
      </w:pPr>
      <w:bookmarkStart w:id="573" w:name="xdx_8B6_zWAZ8j1wsDg2"/>
      <w:bookmarkEnd w:id="573"/>
      <w:r>
        <w:rPr>
          <w:rFonts w:ascii="Times New Roman;Times;Serif" w:hAnsi="Times New Roman;Times;Serif"/>
          <w:b w:val="false"/>
          <w:i w:val="false"/>
          <w:caps w:val="false"/>
          <w:smallCaps w:val="false"/>
          <w:sz w:val="20"/>
        </w:rPr>
        <w:t>SCHEDULE OF STATEMENTS OF COMPREHENSIVE LOSS</w:t>
      </w:r>
    </w:p>
    <w:tbl>
      <w:tblPr>
        <w:tblW w:w="6808" w:type="dxa"/>
        <w:jc w:val="left"/>
        <w:tblInd w:w="0" w:type="dxa"/>
        <w:tblLayout w:type="fixed"/>
        <w:tblCellMar>
          <w:top w:w="0" w:type="dxa"/>
          <w:left w:w="0" w:type="dxa"/>
          <w:bottom w:w="0" w:type="dxa"/>
          <w:right w:w="0" w:type="dxa"/>
        </w:tblCellMar>
      </w:tblPr>
      <w:tblGrid>
        <w:gridCol w:w="2420"/>
        <w:gridCol w:w="60"/>
        <w:gridCol w:w="740"/>
        <w:gridCol w:w="1379"/>
        <w:gridCol w:w="60"/>
        <w:gridCol w:w="60"/>
        <w:gridCol w:w="541"/>
        <w:gridCol w:w="1473"/>
        <w:gridCol w:w="75"/>
      </w:tblGrid>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74" w:name="xdx_496_20250701__20250930_zn60RCjVem0d"/>
            <w:bookmarkEnd w:id="574"/>
          </w:p>
        </w:tc>
        <w:tc>
          <w:tcPr>
            <w:tcW w:w="2119" w:type="dxa"/>
            <w:gridSpan w:val="2"/>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5" w:name="xdx_491_20250101__20250930_zThYvPDtj526"/>
            <w:bookmarkEnd w:id="575"/>
          </w:p>
        </w:tc>
        <w:tc>
          <w:tcPr>
            <w:tcW w:w="2014" w:type="dxa"/>
            <w:gridSpan w:val="2"/>
            <w:tcBorders/>
            <w:vAlign w:val="center"/>
          </w:tcPr>
          <w:p>
            <w:pPr>
              <w:pStyle w:val="TableContents"/>
              <w:bidi w:val="0"/>
              <w:spacing w:before="0" w:after="283"/>
              <w:jc w:val="center"/>
              <w:rPr>
                <w:b/>
              </w:rPr>
            </w:pPr>
            <w:r>
              <w:rPr>
                <w:b/>
              </w:rPr>
              <w:t>Nine months ended</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bookmarkStart w:id="576" w:name="xdx_40F_eus-gaap--OperatingLeaseCost_pn3"/>
            <w:bookmarkEnd w:id="576"/>
          </w:p>
        </w:tc>
      </w:tr>
      <w:tr>
        <w:trPr/>
        <w:tc>
          <w:tcPr>
            <w:tcW w:w="2420" w:type="dxa"/>
            <w:tcBorders/>
            <w:shd w:fill="CCEEFF" w:val="clear"/>
            <w:vAlign w:val="center"/>
          </w:tcPr>
          <w:p>
            <w:pPr>
              <w:pStyle w:val="TableContents"/>
              <w:bidi w:val="0"/>
              <w:spacing w:before="0" w:after="283"/>
              <w:jc w:val="left"/>
              <w:rPr/>
            </w:pPr>
            <w:r>
              <w:rPr/>
              <w:t>Operating lease expenses</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w:t>
            </w:r>
          </w:p>
        </w:tc>
        <w:tc>
          <w:tcPr>
            <w:tcW w:w="1379"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t>$</w:t>
            </w:r>
          </w:p>
        </w:tc>
        <w:tc>
          <w:tcPr>
            <w:tcW w:w="1473" w:type="dxa"/>
            <w:tcBorders/>
            <w:shd w:fill="CCEEFF" w:val="clear"/>
            <w:vAlign w:val="center"/>
          </w:tcPr>
          <w:p>
            <w:pPr>
              <w:pStyle w:val="TableContents"/>
              <w:bidi w:val="0"/>
              <w:spacing w:before="0" w:after="283"/>
              <w:jc w:val="right"/>
              <w:rPr/>
            </w:pPr>
            <w:r>
              <w:rPr/>
              <w:t>191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77" w:name="xdx_8A3_zAWDR7tAAAH5"/>
      <w:bookmarkEnd w:id="577"/>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78" w:name="xdx_89F_eus-gaap--ScheduleOfCashFlowSupp"/>
      <w:bookmarkEnd w:id="578"/>
      <w:r>
        <w:rPr>
          <w:rFonts w:ascii="Times New Roman;Times;Serif" w:hAnsi="Times New Roman;Times;Serif"/>
          <w:b w:val="false"/>
          <w:i w:val="false"/>
          <w:caps w:val="false"/>
          <w:smallCaps w:val="false"/>
          <w:sz w:val="20"/>
        </w:rPr>
        <w:t>Supplemental cash flow information related to operating leases for the nine months ended September 30, 2025 as follows:</w:t>
      </w:r>
    </w:p>
    <w:p>
      <w:pPr>
        <w:pStyle w:val="TextBody"/>
        <w:bidi w:val="0"/>
        <w:spacing w:before="0" w:after="0"/>
        <w:jc w:val="both"/>
        <w:rPr>
          <w:caps w:val="false"/>
          <w:smallCaps w:val="false"/>
        </w:rPr>
      </w:pPr>
      <w:r>
        <w:rPr>
          <w:caps w:val="false"/>
          <w:smallCaps w:val="false"/>
        </w:rPr>
        <w:t> </w:t>
      </w:r>
      <w:bookmarkStart w:id="579" w:name="xdx_8BE_zHqv3pyKwVa9"/>
      <w:bookmarkEnd w:id="579"/>
      <w:r>
        <w:rPr>
          <w:rFonts w:ascii="Times New Roman;Times;Serif" w:hAnsi="Times New Roman;Times;Serif"/>
          <w:b w:val="false"/>
          <w:i w:val="false"/>
          <w:caps w:val="false"/>
          <w:smallCaps w:val="false"/>
          <w:sz w:val="20"/>
        </w:rPr>
        <w:t>SCHEDULE OF SUPPLEMENTAL CASH FLOW INFORMATION RELATED TO OPERATING LEASES</w:t>
      </w:r>
    </w:p>
    <w:tbl>
      <w:tblPr>
        <w:tblW w:w="6300" w:type="dxa"/>
        <w:jc w:val="left"/>
        <w:tblInd w:w="0" w:type="dxa"/>
        <w:tblLayout w:type="fixed"/>
        <w:tblCellMar>
          <w:top w:w="0" w:type="dxa"/>
          <w:left w:w="0" w:type="dxa"/>
          <w:bottom w:w="0" w:type="dxa"/>
          <w:right w:w="0" w:type="dxa"/>
        </w:tblCellMar>
      </w:tblPr>
      <w:tblGrid>
        <w:gridCol w:w="5645"/>
        <w:gridCol w:w="60"/>
        <w:gridCol w:w="140"/>
        <w:gridCol w:w="380"/>
        <w:gridCol w:w="75"/>
      </w:tblGrid>
      <w:tr>
        <w:trPr/>
        <w:tc>
          <w:tcPr>
            <w:tcW w:w="5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80" w:name="xdx_493_20250101__20250930_zYId5cHBXgn2"/>
            <w:bookmarkEnd w:id="580"/>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81" w:name="xdx_403_eus-gaap--OperatingLeasePayments"/>
            <w:bookmarkEnd w:id="581"/>
          </w:p>
        </w:tc>
      </w:tr>
      <w:tr>
        <w:trPr/>
        <w:tc>
          <w:tcPr>
            <w:tcW w:w="5645" w:type="dxa"/>
            <w:tcBorders/>
            <w:shd w:fill="CCEEFF" w:val="clear"/>
            <w:vAlign w:val="center"/>
          </w:tcPr>
          <w:p>
            <w:pPr>
              <w:pStyle w:val="TableContents"/>
              <w:bidi w:val="0"/>
              <w:spacing w:before="0" w:after="283"/>
              <w:jc w:val="left"/>
              <w:rPr/>
            </w:pPr>
            <w:r>
              <w:rPr/>
              <w:t>Cash paid under operating lease agreements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129</w:t>
            </w:r>
          </w:p>
        </w:tc>
        <w:tc>
          <w:tcPr>
            <w:tcW w:w="75" w:type="dxa"/>
            <w:tcBorders/>
            <w:shd w:fill="CCEEFF" w:val="clear"/>
            <w:vAlign w:val="center"/>
          </w:tcPr>
          <w:p>
            <w:pPr>
              <w:pStyle w:val="TableContents"/>
              <w:bidi w:val="0"/>
              <w:spacing w:before="0" w:after="283"/>
              <w:jc w:val="left"/>
              <w:rPr/>
            </w:pPr>
            <w:r>
              <w:rPr/>
              <w:t> </w:t>
            </w:r>
            <w:bookmarkStart w:id="582" w:name="xdx_403_eus-gaap--RightOfUseAssetObtaine"/>
            <w:bookmarkEnd w:id="582"/>
          </w:p>
        </w:tc>
      </w:tr>
      <w:tr>
        <w:trPr/>
        <w:tc>
          <w:tcPr>
            <w:tcW w:w="5645" w:type="dxa"/>
            <w:tcBorders/>
            <w:shd w:fill="FFFFFF" w:val="clear"/>
            <w:vAlign w:val="center"/>
          </w:tcPr>
          <w:p>
            <w:pPr>
              <w:pStyle w:val="TableContents"/>
              <w:bidi w:val="0"/>
              <w:spacing w:before="0" w:after="283"/>
              <w:jc w:val="left"/>
              <w:rPr/>
            </w:pPr>
            <w:r>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380" w:type="dxa"/>
            <w:tcBorders/>
            <w:shd w:fill="FFFFFF" w:val="clear"/>
            <w:vAlign w:val="center"/>
          </w:tcPr>
          <w:p>
            <w:pPr>
              <w:pStyle w:val="TableContents"/>
              <w:bidi w:val="0"/>
              <w:spacing w:before="0" w:after="283"/>
              <w:jc w:val="right"/>
              <w:rPr/>
            </w:pPr>
            <w:r>
              <w:rPr/>
              <w:t>893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83" w:name="xdx_8A2_zYHjDbmT3j8l"/>
      <w:bookmarkEnd w:id="583"/>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84" w:name="xdx_801_eus-gaap--SubsequentEventsTextBl"/>
      <w:bookmarkEnd w:id="584"/>
      <w:r>
        <w:rPr>
          <w:rFonts w:ascii="Times New Roman;Times;Serif" w:hAnsi="Times New Roman;Times;Serif"/>
          <w:b/>
          <w:i w:val="false"/>
          <w:caps w:val="false"/>
          <w:smallCaps w:val="false"/>
          <w:sz w:val="20"/>
        </w:rPr>
        <w:t xml:space="preserve">NOTE 7– </w:t>
      </w:r>
      <w:bookmarkStart w:id="585" w:name="xdx_823_zQL95K9vqmx5"/>
      <w:bookmarkEnd w:id="585"/>
      <w:r>
        <w:rPr>
          <w:rFonts w:ascii="Times New Roman;Times;Serif" w:hAnsi="Times New Roman;Times;Serif"/>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2025, in connection with the third closing of the Inducement Transaction, the Company received aggregate gross proceeds of approximately $</w:t>
      </w:r>
      <w:bookmarkStart w:id="586" w:name="xdx_905_eus-gaap--PaymentsForProceedsFro"/>
      <w:bookmarkEnd w:id="586"/>
      <w:r>
        <w:rPr>
          <w:rFonts w:ascii="Times New Roman;Times;Serif" w:hAnsi="Times New Roman;Times;Serif"/>
          <w:b w:val="false"/>
          <w:i w:val="false"/>
          <w:caps w:val="false"/>
          <w:smallCaps w:val="false"/>
          <w:sz w:val="20"/>
        </w:rPr>
        <w:t xml:space="preserve">2,781 from the exercise of </w:t>
      </w:r>
      <w:bookmarkStart w:id="587" w:name="xdx_90D_eus-gaap--StockIssuedDuringPerio"/>
      <w:bookmarkEnd w:id="587"/>
      <w:r>
        <w:rPr>
          <w:rFonts w:ascii="Times New Roman;Times;Serif" w:hAnsi="Times New Roman;Times;Serif"/>
          <w:b w:val="false"/>
          <w:i w:val="false"/>
          <w:caps w:val="false"/>
          <w:smallCaps w:val="false"/>
          <w:sz w:val="20"/>
        </w:rPr>
        <w:t xml:space="preserve">1,324,488 Existing Preferred Investment Options and issued an aggregate of </w:t>
      </w:r>
      <w:bookmarkStart w:id="588" w:name="xdx_90B_eus-gaap--StockIssuedDuringPerio"/>
      <w:bookmarkEnd w:id="588"/>
      <w:r>
        <w:rPr>
          <w:rFonts w:ascii="Times New Roman;Times;Serif" w:hAnsi="Times New Roman;Times;Serif"/>
          <w:b w:val="false"/>
          <w:i w:val="false"/>
          <w:caps w:val="false"/>
          <w:smallCaps w:val="false"/>
          <w:sz w:val="20"/>
        </w:rPr>
        <w:t xml:space="preserve">1,324,488 New Preferred Investment Options to purchase up to an aggregate of </w:t>
      </w:r>
      <w:bookmarkStart w:id="589" w:name="xdx_903_eus-gaap--StockIssuedDuringPerio"/>
      <w:bookmarkEnd w:id="589"/>
      <w:r>
        <w:rPr>
          <w:rFonts w:ascii="Times New Roman;Times;Serif" w:hAnsi="Times New Roman;Times;Serif"/>
          <w:b w:val="false"/>
          <w:i w:val="false"/>
          <w:caps w:val="false"/>
          <w:smallCaps w:val="false"/>
          <w:sz w:val="20"/>
        </w:rPr>
        <w:t>1,324,488 shares of the Company’s common stock.</w:t>
      </w:r>
    </w:p>
    <w:p>
      <w:pPr>
        <w:pStyle w:val="TextBody"/>
        <w:bidi w:val="0"/>
        <w:spacing w:before="0" w:after="0"/>
        <w:jc w:val="both"/>
        <w:rPr>
          <w:caps w:val="false"/>
          <w:smallCaps w:val="false"/>
        </w:rPr>
      </w:pPr>
      <w:bookmarkStart w:id="590" w:name="xdx_815_zF5J8FVuJSZ1"/>
      <w:bookmarkEnd w:id="59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1" w:name="sk_006"/>
      <w:bookmarkEnd w:id="591"/>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2024.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2024.</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technological platform, we have developed the first-ever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w:t>
      </w:r>
      <w:r>
        <w:rPr>
          <w:rFonts w:ascii="Times New Roman;Times;Serif" w:hAnsi="Times New Roman;Times;Serif"/>
          <w:b w:val="false"/>
          <w:i/>
          <w:caps w:val="false"/>
          <w:smallCaps w:val="false"/>
          <w:position w:val="7"/>
          <w:sz w:val="16"/>
          <w:sz w:val="20"/>
        </w:rPr>
        <w:t xml:space="preserve">® </w:t>
      </w:r>
      <w:r>
        <w:rPr>
          <w:rFonts w:ascii="Times New Roman;Times;Serif" w:hAnsi="Times New Roman;Times;Serif"/>
          <w:b w:val="false"/>
          <w:i/>
          <w:caps w:val="false"/>
          <w:smallCaps w:val="false"/>
          <w:sz w:val="20"/>
        </w:rPr>
        <w:t>Endovascular Robotic Surgical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FDA-cleared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features a unique compact, single-use design with the capability to be operated remotely, reduce radiation exposure and physical strain to the physician, as well as the potential to reduce the use of consumables.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its current version includes the peripheral interventional radiology market, with future versions expected to include the Interventional Cardiology and Interventional Neuroradiology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also may open the opportunity of expanding telerobotic interventions to patients with limited access to life-saving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has been designed to have the following attributes: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our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products or possibly other instruments that combine guidewire and microcatheter into a single device. We are currently evaluating this combination in different applications.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(“over-the-wire”) device.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A remote control designed to be intuitive aims to simplify advanced procedures while shortening the physician’s learning curve.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Our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System between separate and remote facilities in a coronary simulation model. The project assesses the feasibility of using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perform simulated cardiovascular interventional procedures across two sites within the Corewell Health™ system located 5 miles apart. The telesurgery feature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still being evaluated and is not covered under the Company’s 510(k) clearance with the FDA.</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ultimately allowing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with an imaging system to create an autonomous robotic system for endovascular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we announced that the FDA has granted 510(k) clearance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NovaCross</w:t>
      </w:r>
      <w:r>
        <w:rPr>
          <w:rFonts w:ascii="Times New Roman;Times;Serif" w:hAnsi="Times New Roman;Times;Serif"/>
          <w:b w:val="false"/>
          <w:i/>
          <w:caps w:val="false"/>
          <w:smallCaps w:val="false"/>
          <w:position w:val="7"/>
          <w:sz w:val="16"/>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Israel-Hamas War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escalation of military operations by and against the Houthis in Yemen and the Iranian regime, are on-going as of the issuance date of these financial statements, although there have been cease fires and lulls in military operations from time to time, including the most recent cease-fire with Hamas on October 10,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various ongoing risks relating to the military operations and related matters, including: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may not be fully active and operational, as instructed by the relevant authorities;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decreasing international regard for Israeli-based companies in certain quarters, including as a result of the Israeli government’s policies in Gaza and the West Bank;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and actual boycotts of Israel and Israeli-based companies, which may adversely affect our ability to do business in certain jurisdictions or with certain industry groups or potential customers, among others.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our devices and to ship them outside of Israel. As of the issuance date of this Quarterly Report on Form 10-Q, we have determined that there have not been any materially adverse effects on its business or operations, but we continue to monitor the situation, as any collapse of a cease-fire with any nation or group hostile to Israel from time to time, or any future escalation or change could result in a material adverse effect on the ability of our Israeli office to support our clinical and regulatory activities. We do not have any specific contingency plans in the event of any such escalation or change.</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 net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General and Administrative Expenses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general and administrative expenses consist primarily of the costs associated with management salaries and benefits, professional fees for accounting, auditing, consulting, legal services, and insurance expenses.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that its sales, general and administrative expenses will increase over the long-term,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pStyle w:val="TextBody"/>
        <w:shd w:fill="FFFFFF" w:val="clear"/>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Accounting Policies and Significant Judgments and Estimates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condensed consolidated financial statements, which have been prepared in accordance with U.S. generally accepted accounting principles, or GAAP. The preparation of these condensed consolidated financial statements requires Microbot to make estimates and judgments that affect the reported amounts of assets, liabilities, and expenses and the disclosure of contingent assets and liabilities at the date of the condensed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Accounting Standards Codification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and Nine Months Ended September 30, 2025 and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three and nine month periods ended September 30, 2025 and 2024 (in thousands):</w:t>
      </w:r>
    </w:p>
    <w:p>
      <w:pPr>
        <w:pStyle w:val="TextBody"/>
        <w:bidi w:val="0"/>
        <w:spacing w:before="0" w:after="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3185"/>
        <w:gridCol w:w="60"/>
        <w:gridCol w:w="181"/>
        <w:gridCol w:w="823"/>
        <w:gridCol w:w="123"/>
        <w:gridCol w:w="77"/>
        <w:gridCol w:w="181"/>
        <w:gridCol w:w="823"/>
        <w:gridCol w:w="95"/>
        <w:gridCol w:w="60"/>
        <w:gridCol w:w="147"/>
        <w:gridCol w:w="668"/>
        <w:gridCol w:w="95"/>
        <w:gridCol w:w="60"/>
        <w:gridCol w:w="170"/>
        <w:gridCol w:w="772"/>
        <w:gridCol w:w="115"/>
        <w:gridCol w:w="73"/>
        <w:gridCol w:w="170"/>
        <w:gridCol w:w="772"/>
        <w:gridCol w:w="95"/>
        <w:gridCol w:w="60"/>
        <w:gridCol w:w="147"/>
        <w:gridCol w:w="668"/>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(1,171</w:t>
            </w:r>
          </w:p>
        </w:tc>
        <w:tc>
          <w:tcPr>
            <w:tcW w:w="123"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(2,060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(4,741</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(4,646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(95</w:t>
            </w:r>
          </w:p>
        </w:tc>
        <w:tc>
          <w:tcPr>
            <w:tcW w:w="11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Sales, General and administrative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(2,690</w:t>
            </w:r>
          </w:p>
        </w:tc>
        <w:tc>
          <w:tcPr>
            <w:tcW w:w="123"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(1,450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(5,864</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(3,549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(2,315</w:t>
            </w:r>
          </w:p>
        </w:tc>
        <w:tc>
          <w:tcPr>
            <w:tcW w:w="11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2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316</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316</w:t>
            </w:r>
          </w:p>
        </w:tc>
        <w:tc>
          <w:tcPr>
            <w:tcW w:w="11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Financing income, net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284</w:t>
            </w:r>
          </w:p>
        </w:tc>
        <w:tc>
          <w:tcPr>
            <w:tcW w:w="12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pPr>
            <w:r>
              <w:rPr/>
              <w:t>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611</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467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 net</w:t>
      </w:r>
      <w:r>
        <w:rPr>
          <w:rFonts w:ascii="Times New Roman;Times;Serif" w:hAnsi="Times New Roman;Times;Serif"/>
          <w:b w:val="false"/>
          <w:i w:val="false"/>
          <w:caps w:val="false"/>
          <w:smallCaps w:val="false"/>
          <w:sz w:val="20"/>
        </w:rPr>
        <w:t>. The decrease for the three months ended September 30, 2025, compared to the same periods in 2024, was primarily due to the recognition of the new IIA grant in the third quarter of 2025 and reversal of provision related to clinical trial costs following a revised lower charge, the decrease is offset by increase in costs associated with outsourcing the manufacturing of the Company’s LIBERTY product and increase in payroll and related expenses due to salary adjustments and bonuses during 2025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for the nine months ended September 30, 2025, compared to the same periods in 2024, was primarily due to increased payroll and bonuses and higher costs associated with outsourcing the manufacturing of the Company’s LIBERTY product, offset by the recognition of the new IIA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 General and Administrative Expenses</w:t>
      </w:r>
      <w:r>
        <w:rPr>
          <w:rFonts w:ascii="Times New Roman;Times;Serif" w:hAnsi="Times New Roman;Times;Serif"/>
          <w:b w:val="false"/>
          <w:i w:val="false"/>
          <w:caps w:val="false"/>
          <w:smallCaps w:val="false"/>
          <w:sz w:val="20"/>
        </w:rPr>
        <w:t>. The increase in sales, general and administrative expenses for the three and nine months ended September 30, 2025, compared to the same periods in 2024, was primarily due to higher payroll expenses resulting from new hires to support commercialization readiness, as well as salary increases and bonuses. Additional contributing factors included higher recruitment fees, conference expenses, and costs related to marketing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Income, net</w:t>
      </w:r>
      <w:r>
        <w:rPr>
          <w:rFonts w:ascii="Times New Roman;Times;Serif" w:hAnsi="Times New Roman;Times;Serif"/>
          <w:b w:val="false"/>
          <w:i w:val="false"/>
          <w:caps w:val="false"/>
          <w:smallCaps w:val="false"/>
          <w:sz w:val="20"/>
        </w:rPr>
        <w:t>. The increase in financing income, net, for the three and nine months ended September 30, 2025, compared to same periods in 2024, was primarily due to interest income earned on marketable securities, following the investments of capital raised during the 2025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not generated revenues from operations. Microbot has incurred losses since inception and negative cash flows from operating activities for all periods presented. As of September 30, 2025, Microbot had a net working capital of approximately $77.9 million, consisting primarily of cash and cash equivalents and marketable securities. This compares to net working capital of approximately $3.4 million as of December 31, 2024. Microbot anticipates that it will continue to incur net losses for the foreseeable future as it continues increasing its commercialization capabilities, continues research and development efforts for future versions or applications of its primary product candidate, and continues to incur costs associated with being a public company.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September 30, 2025, Microbot has raised cash proceeds of approximately $165.2 million and incurred a total cumulative loss of approximately $100.6 million . In addition, subsequent to the balance sheet date in October 2025, Microbot raised an additional approximately $2.8 million in cash proceeds.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2025, we have raised the following amounts :</w:t>
      </w:r>
    </w:p>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approximately $1.1 million in January 2025, before fees and expenses of $65,452, through our ATM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an aggregate of approximately $15.6 million in gross proceeds, before fees and expenses of approximately $1.4 million, from institutional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approximately $916,000 in gross proceeds from the exercise of certain outstanding Series E preferred investment options, before fees and expenses of $64,164;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an aggregate of approximately $13.0 million in gross proceeds, before fees and expenses of approximately $1.2 million, from institutional investors;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approximately $2.3 million in gross proceeds from the exercise of outstanding Series E and Series F preferred investment options, before fees and expenses of approximately $161,000;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approximately $1.4 million in gross proceeds from the exercise of outstanding Series F preferred investment options, before fees and expenses of approximately $98,000;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approximately $1.3 million in gross proceeds from the exercise of outstanding Series E, F and G preferred investment options, before fees and expenses of approximately $93,000;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approximately $12.2 million in gross proceeds from the exercise of outstanding Series F and G preferred investment options, before fees and expenses of approximately $706,000;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approximately $15.2 million in gross proceeds from the exercise of outstanding Series E, G, H, I preferred investment options, before fees and expenses of approximately $1.1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approximately $472,500 in gross proceeds from the exercise of outstanding Series H preferred investment options, before fees and expenses of $33,075;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approximately $895,744 in gross proceeds from the exercise of placement agent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an aggregate of approximately $26.5 million in gross proceeds from the inducement transaction exercise of outstanding preferred investment options, before fees and expenses of approximately $2.2 million, from institutional investors;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an aggregate of approximately $2.8 million in gross proceeds from the inducement transaction exercise of outstanding preferred investment options, before fees and expenses of approximately $223,000, from institutional investors. </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September 30, 2025, in the total amount of approximately $2.2 million. In July 2025 the IIA approved a new grant in the amount of approximately NIS 2.2 million (approximately $630,000) to further finance the development of the manufacturing process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The financial risk is assumed completely by the IIA.</w:t>
      </w:r>
    </w:p>
    <w:p>
      <w:pPr>
        <w:pStyle w:val="TextBody"/>
        <w:shd w:fill="FFFFFF" w:val="clear"/>
        <w:bidi w:val="0"/>
        <w:spacing w:before="0" w:after="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Microbot Israel received a grant from the Ministry of Economy, in the amount of approximately $50,000 for participation in expenses related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the U.S. market.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Ministry of Economy grant, the Company is obligated to pay royalties amounting to 3% of future sales of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up to the grant amount plus interest.</w:t>
      </w:r>
    </w:p>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available, Microbot may continue to raise capital through future public and private issuances of debt and/or equity securities, including pursuant to a possible At-the-Market offering and upon the cash exercise of its outstanding investment options, to further fund its commercial activities and working capital and general business purposes. The capital raises from issuances of equity securities or equity-linked securities could result in additional dilution to Microbot’s shareholders. In addition, to the extent Microbot determines to incur indebtedness, Microbot’s incurrence of debt could result in debt service obligations and operating and financing covenants that would restrict its operations. Microbot can provide no assurance that financing will be available in the amounts it may need, at the times it needs it or on terms acceptable to it, if at all.</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filing date of this Quarterly Report on Form 10-Q, management believes we have sufficient funds for our operations for in excess of one year.</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periods presented (in thousands):</w:t>
      </w:r>
    </w:p>
    <w:p>
      <w:pPr>
        <w:pStyle w:val="TextBody"/>
        <w:shd w:fill="FFFFFF" w:val="clear"/>
        <w:bidi w:val="0"/>
        <w:spacing w:before="0" w:after="0"/>
        <w:jc w:val="both"/>
        <w:rPr>
          <w:caps w:val="false"/>
          <w:smallCaps w:val="false"/>
        </w:rPr>
      </w:pPr>
      <w:r>
        <w:rPr>
          <w:caps w:val="false"/>
          <w:smallCaps w:val="false"/>
        </w:rPr>
        <w:t> </w:t>
      </w:r>
    </w:p>
    <w:tbl>
      <w:tblPr>
        <w:tblW w:w="8015" w:type="dxa"/>
        <w:jc w:val="left"/>
        <w:tblInd w:w="0" w:type="dxa"/>
        <w:tblLayout w:type="fixed"/>
        <w:tblCellMar>
          <w:top w:w="0" w:type="dxa"/>
          <w:left w:w="0" w:type="dxa"/>
          <w:bottom w:w="0" w:type="dxa"/>
          <w:right w:w="0" w:type="dxa"/>
        </w:tblCellMar>
      </w:tblPr>
      <w:tblGrid>
        <w:gridCol w:w="6020"/>
        <w:gridCol w:w="60"/>
        <w:gridCol w:w="140"/>
        <w:gridCol w:w="755"/>
        <w:gridCol w:w="95"/>
        <w:gridCol w:w="60"/>
        <w:gridCol w:w="140"/>
        <w:gridCol w:w="635"/>
        <w:gridCol w:w="11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(7,136</w:t>
            </w:r>
          </w:p>
        </w:tc>
        <w:tc>
          <w:tcPr>
            <w:tcW w:w="110" w:type="dxa"/>
            <w:tcBorders/>
            <w:shd w:fill="CCEEFF" w:val="clear"/>
            <w:vAlign w:val="center"/>
          </w:tcPr>
          <w:p>
            <w:pPr>
              <w:pStyle w:val="TableContents"/>
              <w:bidi w:val="0"/>
              <w:spacing w:before="0" w:after="283"/>
              <w:jc w:val="left"/>
              <w:rPr/>
            </w:pPr>
            <w:r>
              <w:rPr/>
              <w:t>)</w:t>
            </w:r>
          </w:p>
        </w:tc>
      </w:tr>
      <w:tr>
        <w:trPr/>
        <w:tc>
          <w:tcPr>
            <w:tcW w:w="6020" w:type="dxa"/>
            <w:tcBorders/>
            <w:shd w:fill="FFFFFF" w:val="clear"/>
            <w:vAlign w:val="center"/>
          </w:tcPr>
          <w:p>
            <w:pPr>
              <w:pStyle w:val="TableContents"/>
              <w:bidi w:val="0"/>
              <w:spacing w:before="0" w:after="283"/>
              <w:jc w:val="left"/>
              <w:rPr/>
            </w:pPr>
            <w:r>
              <w:rPr/>
              <w:t>Net cash flows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42</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83,734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5,104</w:t>
            </w:r>
          </w:p>
        </w:tc>
        <w:tc>
          <w:tcPr>
            <w:tcW w:w="11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(1,990</w:t>
            </w:r>
          </w:p>
        </w:tc>
        <w:tc>
          <w:tcPr>
            <w:tcW w:w="110" w:type="dxa"/>
            <w:tcBorders/>
            <w:shd w:fill="CCEEFF" w:val="clear"/>
            <w:vAlign w:val="center"/>
          </w:tcPr>
          <w:p>
            <w:pPr>
              <w:pStyle w:val="TableContents"/>
              <w:bidi w:val="0"/>
              <w:spacing w:before="0" w:after="283"/>
              <w:jc w:val="left"/>
              <w:rPr/>
            </w:pPr>
            <w:r>
              <w:rPr/>
              <w:t>)</w:t>
            </w:r>
          </w:p>
        </w:tc>
      </w:tr>
    </w:tbl>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net cash flows used in operating activities in 2025 compared with 2024 was primarily from an increase in research and development expenses relating to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as we shift to commercialization of the product and due to an increase in salary and bonus expenses.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net cash flows provided (used) in investing activities in 2025 compared with 2024 was mainly due to an increase in the purchases of marketable securities.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2025 in net cash flows provided by financing activities in 2025 compared with 2024 was due to increased capital raising activities.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2" w:name="sk_007"/>
      <w:bookmarkEnd w:id="592"/>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September 30, 2025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research and development expenses. Microbot does not believe that inflation and changing prices had a significant impact on its results of operations for any periods presented herein.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93" w:name="sk_008"/>
      <w:bookmarkEnd w:id="593"/>
      <w:r>
        <w:rPr>
          <w:rFonts w:ascii="Times New Roman;Times;Serif" w:hAnsi="Times New Roman;Times;Serif"/>
          <w:b/>
          <w:i w:val="false"/>
          <w:caps w:val="false"/>
          <w:smallCaps w:val="false"/>
          <w:sz w:val="20"/>
        </w:rPr>
        <w:t>Item 4. Controls and Procedures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Controls and Procedures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2025. Based on that review and evaluation, the Chief Executive Officer and Chief Financial Officer, along with the management of the Company, have determined that as of September 30, 2025,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94" w:name="sk_009"/>
      <w:bookmarkEnd w:id="594"/>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5" w:name="sk_010"/>
      <w:bookmarkEnd w:id="595"/>
      <w:r>
        <w:rPr>
          <w:rFonts w:ascii="Times New Roman;Times;Serif" w:hAnsi="Times New Roman;Times;Serif"/>
          <w:b/>
          <w:i w:val="false"/>
          <w:caps w:val="false"/>
          <w:smallCaps w:val="false"/>
          <w:sz w:val="20"/>
        </w:rPr>
        <w:t>Item 1. 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3H to the unaudited financial statements for the fiscal quarter ended September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6" w:name="sk_011"/>
      <w:bookmarkEnd w:id="596"/>
      <w:r>
        <w:rPr>
          <w:rFonts w:ascii="Times New Roman;Times;Serif" w:hAnsi="Times New Roman;Times;Serif"/>
          <w:b/>
          <w:i w:val="false"/>
          <w:caps w:val="false"/>
          <w:smallCaps w:val="false"/>
          <w:sz w:val="20"/>
        </w:rPr>
        <w:t>Item 1A. 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for a smaller reporting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7" w:name="sk_012"/>
      <w:bookmarkEnd w:id="597"/>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have any share repurchase activity for the three months ended September 30,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2025, the Company issued 47,218 shares of its common stock upon the exercise of outstanding stock options, at an exercise price per share of $0.005. The shares were issued pursuant to an exemption from registration provided in Section 4(a)(2) under the Securities Act of 1933, as amended, as a transaction by an issuer not involving any public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or as previously disclosed in the Company’s Current Reports on Form 8-K filed from time to time with the Securities and Exchange Commission, the Company did not have any unregistered sales of its equity securities during the three months ended September 30,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8" w:name="sk_013"/>
      <w:bookmarkEnd w:id="598"/>
      <w:r>
        <w:rPr>
          <w:rFonts w:ascii="Times New Roman;Times;Serif" w:hAnsi="Times New Roman;Times;Serif"/>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9" w:name="sk_014"/>
      <w:bookmarkEnd w:id="599"/>
      <w:r>
        <w:rPr>
          <w:rFonts w:ascii="Times New Roman;Times;Serif" w:hAnsi="Times New Roman;Times;Serif"/>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00" w:name="sk_015"/>
      <w:bookmarkEnd w:id="600"/>
      <w:r>
        <w:rPr>
          <w:rFonts w:ascii="Times New Roman;Times;Serif" w:hAnsi="Times New Roman;Times;Serif"/>
          <w:b/>
          <w:i w:val="false"/>
          <w:caps w:val="false"/>
          <w:smallCaps w:val="false"/>
          <w:sz w:val="20"/>
        </w:rPr>
        <w:t>Item 5.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nine months ended September 30, 2025, no director or officer, as defined in Rule 16a-1(f) under the Securities Exchange Act of 1934, as amended, of the Company </w:t>
      </w:r>
      <w:bookmarkStart w:id="601" w:name="xdx_901_eecd--NonRule10b51ArrAdoptedFlag"/>
      <w:bookmarkStart w:id="602" w:name="xdx_909_eecd--Rule10b51ArrAdoptedFlag_db"/>
      <w:bookmarkStart w:id="603" w:name="xdx_905_eecd--NonRule10b51ArrAdoptedFlag"/>
      <w:bookmarkStart w:id="604" w:name="xdx_90E_eecd--Rule10b51ArrAdoptedFlag_db"/>
      <w:bookmarkEnd w:id="601"/>
      <w:bookmarkEnd w:id="602"/>
      <w:bookmarkEnd w:id="603"/>
      <w:bookmarkEnd w:id="604"/>
      <w:r>
        <w:rPr>
          <w:rFonts w:ascii="Times New Roman;Times;Serif" w:hAnsi="Times New Roman;Times;Serif"/>
          <w:b w:val="false"/>
          <w:i w:val="false"/>
          <w:caps w:val="false"/>
          <w:smallCaps w:val="false"/>
          <w:sz w:val="20"/>
        </w:rPr>
        <w:t xml:space="preserve">adopted or </w:t>
      </w:r>
      <w:bookmarkStart w:id="605" w:name="xdx_90D_eecd--NonRule10b51ArrTrmntdFlag_"/>
      <w:bookmarkStart w:id="606" w:name="xdx_90B_eecd--Rule10b51ArrTrmntdFlag_dbF"/>
      <w:bookmarkStart w:id="607" w:name="xdx_905_eecd--NonRule10b51ArrTrmntdFlag_"/>
      <w:bookmarkStart w:id="608" w:name="xdx_903_eecd--Rule10b51ArrTrmntdFlag_dbF"/>
      <w:bookmarkEnd w:id="605"/>
      <w:bookmarkEnd w:id="606"/>
      <w:bookmarkEnd w:id="607"/>
      <w:bookmarkEnd w:id="608"/>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09" w:name="sk_016"/>
      <w:bookmarkEnd w:id="609"/>
      <w:r>
        <w:rPr>
          <w:rFonts w:ascii="Times New Roman;Times;Serif" w:hAnsi="Times New Roman;Times;Serif"/>
          <w:b/>
          <w:i w:val="false"/>
          <w:caps w:val="false"/>
          <w:smallCaps w:val="false"/>
          <w:sz w:val="20"/>
        </w:rPr>
        <w:t>Item 6. Exhibits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
        <w:gridCol w:w="9586"/>
      </w:tblGrid>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p>
        </w:tc>
        <w:tc>
          <w:tcPr>
            <w:tcW w:w="9586"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9586"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p>
        </w:tc>
        <w:tc>
          <w:tcPr>
            <w:tcW w:w="9586"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p>
        </w:tc>
        <w:tc>
          <w:tcPr>
            <w:tcW w:w="9586"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9586"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p>
        </w:tc>
        <w:tc>
          <w:tcPr>
            <w:tcW w:w="9586"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p>
        </w:tc>
        <w:tc>
          <w:tcPr>
            <w:tcW w:w="9586"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p>
        </w:tc>
        <w:tc>
          <w:tcPr>
            <w:tcW w:w="9586"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586"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Amendment to Section 2.5 of the Amended and Restated By-Laws (incorporated by reference to the Company’s Current Report on Form 8-K filed on April 14,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86"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Amendment to Certificate of Incorporation (incorporated by reference to the Registrant’s Current Report on Form 8-K filed on June 11,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586"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Description of the Company’s Securities (incorporated by reference to the Registrant’s Quarterly Report on Form 10-Q for the fiscal quarter ended June 30,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9586"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p>
        </w:tc>
        <w:tc>
          <w:tcPr>
            <w:tcW w:w="9586"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p>
        </w:tc>
        <w:tc>
          <w:tcPr>
            <w:tcW w:w="9586"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9586"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p>
        </w:tc>
        <w:tc>
          <w:tcPr>
            <w:tcW w:w="9586"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86"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586"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86"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586"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9586"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586"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Series I Preferred Investment Option (incorporated by reference to the Registrant’s Current Report on Form 8-K filed on February 11,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9586"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9586"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September 16,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586"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Letter Agreement, dated as of September 14, 2025, by and among Microbot Medical Inc. and the holders party thereto (incorporated by reference to the Registrant’s Current Report on Form 8-K filed on September 16, 2025)</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586"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Harel Gadot, Chairman, President and Chief Executive Officer</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586"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Rachel Vaknin, Chief Financial Officer</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586"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Harel Gadot, Chairman, President and Chief Executive Officer, pursuant to 18 U.S.C. Section 1350, as adopted pursuant to Section 906 of the Sarbanes-Oxley Act of 2002</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86"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Rachel Vaknin, Chief Financial Officer, pursuant to 18 U.S.C. Section 1350, as adopted pursuant to Section 906 of the Sarbanes-Oxley Act of 2002</w:t>
              </w:r>
            </w:hyperlink>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 The instance document does not appear in the Interactive Data File because its XBRL tags are embedded within the Inline XBRL document.</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w:t>
            </w:r>
          </w:p>
        </w:tc>
      </w:tr>
      <w:tr>
        <w:trPr/>
        <w:tc>
          <w:tcPr>
            <w:tcW w:w="6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5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10" w:name="sk_017"/>
      <w:bookmarkEnd w:id="610"/>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 this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2025.</w:t>
      </w:r>
    </w:p>
    <w:p>
      <w:pPr>
        <w:pStyle w:val="TextBody"/>
        <w:bidi w:val="0"/>
        <w:spacing w:before="0" w:after="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jc w:val="both"/>
        <w:rPr>
          <w:caps w:val="false"/>
          <w:smallCaps w:val="false"/>
        </w:rPr>
      </w:pPr>
      <w:bookmarkStart w:id="611" w:name="ex31-1.htm"/>
      <w:bookmarkStart w:id="612" w:name="ksex311"/>
      <w:bookmarkEnd w:id="611"/>
      <w:bookmarkEnd w:id="61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certify that: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Microbot Medical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3980"/>
        <w:gridCol w:w="75"/>
      </w:tblGrid>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12,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bookmarkStart w:id="613" w:name="ex31-2.htm"/>
      <w:bookmarkStart w:id="614" w:name="ksex312"/>
      <w:bookmarkEnd w:id="613"/>
      <w:bookmarkEnd w:id="61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of Principal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certify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quarterly report on Form 10-Q of Microbot Medical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99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controls over financial reporting.</w:t>
            </w:r>
          </w:p>
        </w:tc>
      </w:tr>
    </w:tbl>
    <w:p>
      <w:pPr>
        <w:pStyle w:val="TextBody"/>
        <w:bidi w:val="0"/>
        <w:spacing w:before="0" w:after="0"/>
        <w:jc w:val="center"/>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695"/>
        <w:gridCol w:w="75"/>
      </w:tblGrid>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12,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bookmarkStart w:id="615" w:name="ex32-1.htm"/>
      <w:bookmarkStart w:id="616" w:name="ksex321"/>
      <w:bookmarkEnd w:id="615"/>
      <w:bookmarkEnd w:id="61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2025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spacing w:before="0" w:after="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225"/>
        <w:gridCol w:w="3980"/>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12, 2025</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President and Chief Executive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bookmarkStart w:id="617" w:name="ex32-2.htm"/>
      <w:bookmarkStart w:id="618" w:name="ksex322"/>
      <w:bookmarkEnd w:id="617"/>
      <w:bookmarkEnd w:id="61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Rachel Vaknin, Chief Financial Officer of Microbot Medical Inc., hereby certify, pursuant to 18 U.S.C. Section 1350, as adopted pursuant to Section 906 of the Sarbanes-Oxley Act of 2002, that to my knowledge, the quarterly report on Form 10-Q for the period ending September 30, 2025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pStyle w:val="TextBody"/>
        <w:bidi w:val="0"/>
        <w:spacing w:before="0" w:after="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2225"/>
        <w:gridCol w:w="3650"/>
      </w:tblGrid>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12, 2025</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Rachel Vaknin</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Vaknin</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3975/000119312516682077/d161430dex21.htm" TargetMode="External"/><Relationship Id="rId3" Type="http://schemas.openxmlformats.org/officeDocument/2006/relationships/hyperlink" Target="https://www.sec.gov/Archives/edgar/data/883975/000095013407005808/f27726exv3w1.htm" TargetMode="External"/><Relationship Id="rId4" Type="http://schemas.openxmlformats.org/officeDocument/2006/relationships/hyperlink" Target="https://www.sec.gov/Archives/edgar/data/883975/000119312516779729/d296933dex31.htm" TargetMode="External"/><Relationship Id="rId5" Type="http://schemas.openxmlformats.org/officeDocument/2006/relationships/hyperlink" Target="https://www.sec.gov/Archives/edgar/data/883975/000149315218012872/ex3-1.htm" TargetMode="External"/><Relationship Id="rId6" Type="http://schemas.openxmlformats.org/officeDocument/2006/relationships/hyperlink" Target="https://www.sec.gov/Archives/edgar/data/883975/000129993316002374/exhibit1.htm" TargetMode="External"/><Relationship Id="rId7" Type="http://schemas.openxmlformats.org/officeDocument/2006/relationships/hyperlink" Target="https://www.sec.gov/Archives/edgar/data/883975/000149315218017395/ex3-1.htm" TargetMode="External"/><Relationship Id="rId8" Type="http://schemas.openxmlformats.org/officeDocument/2006/relationships/hyperlink" Target="https://www.sec.gov/Archives/edgar/data/883975/000149315219013998/ex3-1.htm" TargetMode="External"/><Relationship Id="rId9" Type="http://schemas.openxmlformats.org/officeDocument/2006/relationships/hyperlink" Target="https://www.sec.gov/Archives/edgar/data/883975/000149315221010347/ex3-1.htm" TargetMode="External"/><Relationship Id="rId10" Type="http://schemas.openxmlformats.org/officeDocument/2006/relationships/hyperlink" Target="https://www.sec.gov/Archives/edgar/data/883975/000164117225004707/ex3-1.htm" TargetMode="External"/><Relationship Id="rId11" Type="http://schemas.openxmlformats.org/officeDocument/2006/relationships/hyperlink" Target="https://www.sec.gov/Archives/edgar/data/883975/000164117225014622/ex3-1.htm" TargetMode="External"/><Relationship Id="rId12" Type="http://schemas.openxmlformats.org/officeDocument/2006/relationships/hyperlink" Target="https://www.sec.gov/Archives/edgar/data/883975/000164117225023206/ex4-1.htm" TargetMode="External"/><Relationship Id="rId13" Type="http://schemas.openxmlformats.org/officeDocument/2006/relationships/hyperlink" Target="https://www.sec.gov/Archives/edgar/data/883975/000149315222029541/ex4-4.htm" TargetMode="External"/><Relationship Id="rId14" Type="http://schemas.openxmlformats.org/officeDocument/2006/relationships/hyperlink" Target="https://www.sec.gov/Archives/edgar/data/883975/000149315223018718/ex4-1.htm" TargetMode="External"/><Relationship Id="rId15" Type="http://schemas.openxmlformats.org/officeDocument/2006/relationships/hyperlink" Target="https://www.sec.gov/Archives/edgar/data/883975/000149315223018932/ex4-2.htm" TargetMode="External"/><Relationship Id="rId16" Type="http://schemas.openxmlformats.org/officeDocument/2006/relationships/hyperlink" Target="https://www.sec.gov/Archives/edgar/data/883975/000149315223018932/ex10-2.htm" TargetMode="External"/><Relationship Id="rId17" Type="http://schemas.openxmlformats.org/officeDocument/2006/relationships/hyperlink" Target="https://www.sec.gov/Archives/edgar/data/883975/000149315223020309/ex4-2.htm" TargetMode="External"/><Relationship Id="rId18" Type="http://schemas.openxmlformats.org/officeDocument/2006/relationships/hyperlink" Target="https://www.sec.gov/Archives/edgar/data/883975/000149315223022814/ex4-2.htm" TargetMode="External"/><Relationship Id="rId19" Type="http://schemas.openxmlformats.org/officeDocument/2006/relationships/hyperlink" Target="https://www.sec.gov/Archives/edgar/data/883975/000149315224000109/ex4-2.htm" TargetMode="External"/><Relationship Id="rId20" Type="http://schemas.openxmlformats.org/officeDocument/2006/relationships/hyperlink" Target="https://www.sec.gov/Archives/edgar/data/883975/000149315224022560/ex4-2.htm" TargetMode="External"/><Relationship Id="rId21" Type="http://schemas.openxmlformats.org/officeDocument/2006/relationships/hyperlink" Target="https://www.sec.gov/Archives/edgar/data/883975/000149315225001133/ex4-1.htm" TargetMode="External"/><Relationship Id="rId22" Type="http://schemas.openxmlformats.org/officeDocument/2006/relationships/hyperlink" Target="https://www.sec.gov/Archives/edgar/data/883975/000149315225001559/ex4-2.htm" TargetMode="External"/><Relationship Id="rId23" Type="http://schemas.openxmlformats.org/officeDocument/2006/relationships/hyperlink" Target="https://www.sec.gov/Archives/edgar/data/883975/000149315225005820/ex4-1.htm" TargetMode="External"/><Relationship Id="rId24" Type="http://schemas.openxmlformats.org/officeDocument/2006/relationships/hyperlink" Target="https://www.sec.gov/Archives/edgar/data/883975/000149315225005820/ex4-2.htm" TargetMode="External"/><Relationship Id="rId25" Type="http://schemas.openxmlformats.org/officeDocument/2006/relationships/hyperlink" Target="https://www.sec.gov/Archives/edgar/data/883975/000149315225013743/ex4-2.htm" TargetMode="External"/><Relationship Id="rId26" Type="http://schemas.openxmlformats.org/officeDocument/2006/relationships/hyperlink" Target="https://www.sec.gov/Archives/edgar/data/883975/000149315225013743/ex10-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15886</Words>
  <Characters>87146</Characters>
  <CharactersWithSpaces>103969</CharactersWithSpaces>
  <Paragraphs>4056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