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1</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403" w:right="1440" w:bottom="864" w:gutter="0" w:footer="0" w:header="0"/>
        </w:sectPr>
      </w:pPr>
    </w:p>
    <w:p>
      <w:pPr>
        <w:spacing w:after="0" w:line="200" w:lineRule="exact"/>
        <w:rPr>
          <w:sz w:val="24"/>
          <w:szCs w:val="24"/>
          <w:color w:val="auto"/>
        </w:rPr>
      </w:pPr>
    </w:p>
    <w:p>
      <w:pPr>
        <w:spacing w:after="0" w:line="315" w:lineRule="exact"/>
        <w:rPr>
          <w:sz w:val="24"/>
          <w:szCs w:val="24"/>
          <w:color w:val="auto"/>
        </w:rPr>
      </w:pPr>
    </w:p>
    <w:p>
      <w:pPr>
        <w:ind w:left="269"/>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ectPr>
          <w:pgSz w:w="11900" w:h="16838" w:orient="portrait"/>
          <w:cols w:equalWidth="0" w:num="2">
            <w:col w:w="529" w:space="440"/>
            <w:col w:w="9259"/>
          </w:cols>
          <w:pgMar w:left="231" w:top="403" w:right="1440" w:bottom="864" w:gutter="0" w:footer="0" w:header="0"/>
          <w:type w:val="continuous"/>
        </w:sectPr>
      </w:pPr>
    </w:p>
    <w:p>
      <w:pPr>
        <w:spacing w:after="0" w:line="145"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9"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8"/>
          </w:cols>
          <w:pgMar w:left="231" w:top="403" w:right="1440" w:bottom="864" w:gutter="0" w:footer="0" w:header="0"/>
          <w:type w:val="continuous"/>
        </w:sectPr>
      </w:pPr>
    </w:p>
    <w:p>
      <w:pPr>
        <w:spacing w:after="0" w:line="200" w:lineRule="exact"/>
        <w:rPr>
          <w:sz w:val="24"/>
          <w:szCs w:val="24"/>
          <w:color w:val="auto"/>
        </w:rPr>
      </w:pPr>
    </w:p>
    <w:p>
      <w:pPr>
        <w:spacing w:after="0" w:line="315" w:lineRule="exact"/>
        <w:rPr>
          <w:sz w:val="24"/>
          <w:szCs w:val="24"/>
          <w:color w:val="auto"/>
        </w:rPr>
      </w:pPr>
    </w:p>
    <w:p>
      <w:pPr>
        <w:ind w:left="969" w:right="4279" w:hanging="703"/>
        <w:spacing w:after="0" w:line="238" w:lineRule="auto"/>
        <w:tabs>
          <w:tab w:leader="none" w:pos="43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343"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COMMISSION FILE NUMBER 0-19871</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8"/>
          </w:cols>
          <w:pgMar w:left="231" w:top="403" w:right="1440" w:bottom="864"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4"/>
          <w:szCs w:val="14"/>
          <w:color w:val="auto"/>
        </w:rPr>
        <w:t>94-3078125</w:t>
      </w:r>
    </w:p>
    <w:p>
      <w:pPr>
        <w:spacing w:after="0" w:line="182" w:lineRule="exact"/>
        <w:rPr>
          <w:sz w:val="24"/>
          <w:szCs w:val="24"/>
          <w:color w:val="auto"/>
        </w:rPr>
      </w:pPr>
    </w:p>
    <w:p>
      <w:pPr>
        <w:sectPr>
          <w:pgSz w:w="11900" w:h="16838" w:orient="portrait"/>
          <w:cols w:equalWidth="0" w:num="2">
            <w:col w:w="4969" w:space="720"/>
            <w:col w:w="4539"/>
          </w:cols>
          <w:pgMar w:left="231" w:top="403" w:right="1440" w:bottom="864" w:gutter="0" w:footer="0" w:header="0"/>
          <w:type w:val="continuous"/>
        </w:sectPr>
      </w:pPr>
    </w:p>
    <w:p>
      <w:pPr>
        <w:ind w:left="709"/>
        <w:spacing w:after="0"/>
        <w:rPr>
          <w:sz w:val="20"/>
          <w:szCs w:val="20"/>
          <w:color w:val="auto"/>
        </w:rPr>
      </w:pPr>
      <w:r>
        <w:rPr>
          <w:rFonts w:ascii="Courier New" w:cs="Courier New" w:eastAsia="Courier New" w:hAnsi="Courier New"/>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9" w:lineRule="exact"/>
        <w:rPr>
          <w:sz w:val="24"/>
          <w:szCs w:val="24"/>
          <w:color w:val="auto"/>
        </w:rPr>
      </w:pPr>
    </w:p>
    <w:p>
      <w:pPr>
        <w:sectPr>
          <w:pgSz w:w="11900" w:h="16838" w:orient="portrait"/>
          <w:cols w:equalWidth="0" w:num="2">
            <w:col w:w="3809" w:space="720"/>
            <w:col w:w="5699"/>
          </w:cols>
          <w:pgMar w:left="231" w:top="403" w:right="1440" w:bottom="864" w:gutter="0" w:footer="0" w:header="0"/>
          <w:type w:val="continuous"/>
        </w:sectPr>
      </w:pPr>
    </w:p>
    <w:p>
      <w:pPr>
        <w:ind w:left="529"/>
        <w:spacing w:after="0"/>
        <w:rPr>
          <w:sz w:val="20"/>
          <w:szCs w:val="20"/>
          <w:color w:val="auto"/>
        </w:rPr>
      </w:pPr>
      <w:r>
        <w:rPr>
          <w:rFonts w:ascii="Courier New" w:cs="Courier New" w:eastAsia="Courier New" w:hAnsi="Courier New"/>
          <w:sz w:val="15"/>
          <w:szCs w:val="15"/>
          <w:color w:val="auto"/>
        </w:rPr>
        <w:t>of incorporation or organization)</w:t>
      </w:r>
    </w:p>
    <w:p>
      <w:pPr>
        <w:spacing w:after="0" w:line="342"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525 DEL REY AVENUE, SUITE C, SUNNYVALE, CA 94086</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(Address of principal offices) (zip code)</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701 GEORGE WASHINGTON HIGHWAY, LINCOLN, RI 02865</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(Former address of principal executive offices) (zip code)</w:t>
      </w:r>
    </w:p>
    <w:p>
      <w:pPr>
        <w:spacing w:after="0" w:line="17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Registrant's telephone number, including area code: (408) 731-8670</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COMMON STOCK, $.01 PAR VALUE</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JUNIOR PREFERRED STOCK PURCHASE RIGHTS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Aggregate market value of Common Stock held by non-affiliates at March 20, 2000: $140,213,189.22.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20, 2000: 19,506,565 shares.</w:t>
      </w:r>
    </w:p>
    <w:p>
      <w:pPr>
        <w:spacing w:after="0" w:line="16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Portions of the Registrant's Definitive Proxy Statement for its 2000 Annual Meeting of Shareholders are incorporated by reference into Part III of this Report.</w:t>
      </w:r>
    </w:p>
    <w:p>
      <w:pPr>
        <w:spacing w:after="0" w:line="175"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403" w:right="1440" w:bottom="864"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FORWARD LOOKING STATEMENTS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forward-looking statements attributable to us or persons acting on our behalf are expressly qualified in their entirety by the cautionary statements and risk factors contained throughout this prospectus. We are under no duty to update any of the forward-looking statements after the date of this prospectus or to conform these statements to actual results.</w:t>
      </w:r>
    </w:p>
    <w:p>
      <w:pPr>
        <w:spacing w:after="0" w:line="359"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SEE "CAUTIONARY FACTORS RELEVANT TO FORWARD-LOOKING INFORMATION" FILED HEREWITH AS EXHIBIT 99 AND INCORPORATED HEREIN BY REFERENCE.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2" w:name="page3"/>
    <w:bookmarkEnd w:id="2"/>
    <w:p>
      <w:pPr>
        <w:ind w:left="3180"/>
        <w:spacing w:after="0"/>
        <w:rPr>
          <w:sz w:val="20"/>
          <w:szCs w:val="20"/>
          <w:color w:val="auto"/>
        </w:rPr>
      </w:pPr>
      <w:r>
        <w:rPr>
          <w:rFonts w:ascii="Courier New" w:cs="Courier New" w:eastAsia="Courier New" w:hAnsi="Courier New"/>
          <w:sz w:val="15"/>
          <w:szCs w:val="15"/>
          <w:color w:val="auto"/>
        </w:rPr>
        <w:t>BUSINESS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200" w:lineRule="exact"/>
        <w:rPr>
          <w:sz w:val="20"/>
          <w:szCs w:val="20"/>
          <w:color w:val="auto"/>
        </w:rPr>
      </w:pPr>
    </w:p>
    <w:p>
      <w:pPr>
        <w:spacing w:after="0" w:line="31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200" w:lineRule="exact"/>
        <w:rPr>
          <w:sz w:val="20"/>
          <w:szCs w:val="20"/>
          <w:color w:val="auto"/>
        </w:rPr>
      </w:pPr>
    </w:p>
    <w:p>
      <w:pPr>
        <w:spacing w:after="0" w:line="319"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200" w:lineRule="exact"/>
        <w:rPr>
          <w:sz w:val="20"/>
          <w:szCs w:val="20"/>
          <w:color w:val="auto"/>
        </w:rPr>
      </w:pPr>
    </w:p>
    <w:p>
      <w:pPr>
        <w:spacing w:after="0" w:line="31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200" w:lineRule="exact"/>
        <w:rPr>
          <w:sz w:val="20"/>
          <w:szCs w:val="20"/>
          <w:color w:val="auto"/>
        </w:rPr>
      </w:pPr>
    </w:p>
    <w:p>
      <w:pPr>
        <w:spacing w:after="0" w:line="30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200" w:lineRule="exact"/>
        <w:rPr>
          <w:sz w:val="20"/>
          <w:szCs w:val="20"/>
          <w:color w:val="auto"/>
        </w:rPr>
      </w:pPr>
    </w:p>
    <w:p>
      <w:pPr>
        <w:spacing w:after="0" w:line="30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286" w:gutter="0" w:footer="0" w:header="0"/>
        </w:sectPr>
      </w:pPr>
    </w:p>
    <w:bookmarkStart w:id="3" w:name="page4"/>
    <w:bookmarkEnd w:id="3"/>
    <w:p>
      <w:pPr>
        <w:spacing w:after="0" w:line="3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200" w:lineRule="exact"/>
        <w:rPr>
          <w:sz w:val="20"/>
          <w:szCs w:val="20"/>
          <w:color w:val="auto"/>
        </w:rPr>
      </w:pPr>
    </w:p>
    <w:p>
      <w:pPr>
        <w:spacing w:after="0" w:line="300" w:lineRule="exact"/>
        <w:rPr>
          <w:sz w:val="20"/>
          <w:szCs w:val="20"/>
          <w:color w:val="auto"/>
        </w:rPr>
      </w:pPr>
    </w:p>
    <w:p>
      <w:pPr>
        <w:ind w:left="700" w:hanging="354"/>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119" w:hanging="274"/>
        <w:spacing w:after="0" w:line="238" w:lineRule="auto"/>
        <w:tabs>
          <w:tab w:leader="none" w:pos="70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119" w:hanging="274"/>
        <w:spacing w:after="0" w:line="239" w:lineRule="auto"/>
        <w:tabs>
          <w:tab w:leader="none" w:pos="70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200" w:lineRule="exact"/>
        <w:rPr>
          <w:sz w:val="20"/>
          <w:szCs w:val="20"/>
          <w:color w:val="auto"/>
        </w:rPr>
      </w:pPr>
    </w:p>
    <w:p>
      <w:pPr>
        <w:spacing w:after="0" w:line="319"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200" w:lineRule="exact"/>
        <w:rPr>
          <w:sz w:val="20"/>
          <w:szCs w:val="20"/>
          <w:color w:val="auto"/>
        </w:rPr>
      </w:pPr>
    </w:p>
    <w:p>
      <w:pPr>
        <w:spacing w:after="0" w:line="30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200" w:lineRule="exact"/>
        <w:rPr>
          <w:sz w:val="20"/>
          <w:szCs w:val="20"/>
          <w:color w:val="auto"/>
        </w:rPr>
      </w:pPr>
    </w:p>
    <w:p>
      <w:pPr>
        <w:spacing w:after="0" w:line="315" w:lineRule="exact"/>
        <w:rPr>
          <w:sz w:val="20"/>
          <w:szCs w:val="20"/>
          <w:color w:val="auto"/>
        </w:rPr>
      </w:pPr>
    </w:p>
    <w:p>
      <w:pPr>
        <w:ind w:left="520" w:hanging="174"/>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70" w:orient="portrait"/>
          <w:cols w:equalWidth="0" w:num="1">
            <w:col w:w="10219"/>
          </w:cols>
          <w:pgMar w:left="240" w:top="628"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200" w:lineRule="exact"/>
        <w:rPr>
          <w:sz w:val="20"/>
          <w:szCs w:val="20"/>
          <w:color w:val="auto"/>
        </w:rPr>
      </w:pPr>
    </w:p>
    <w:p>
      <w:pPr>
        <w:spacing w:after="0" w:line="315" w:lineRule="exact"/>
        <w:rPr>
          <w:sz w:val="20"/>
          <w:szCs w:val="20"/>
          <w:color w:val="auto"/>
        </w:rPr>
      </w:pPr>
    </w:p>
    <w:p>
      <w:pPr>
        <w:ind w:left="520" w:right="3659" w:hanging="174"/>
        <w:spacing w:after="0" w:line="238"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99" w:hanging="174"/>
        <w:spacing w:after="0" w:line="239"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200" w:lineRule="exact"/>
        <w:rPr>
          <w:sz w:val="20"/>
          <w:szCs w:val="20"/>
          <w:color w:val="auto"/>
        </w:rPr>
      </w:pPr>
    </w:p>
    <w:p>
      <w:pPr>
        <w:spacing w:after="0" w:line="322"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628"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200" w:lineRule="exact"/>
        <w:rPr>
          <w:sz w:val="20"/>
          <w:szCs w:val="20"/>
          <w:color w:val="auto"/>
        </w:rPr>
      </w:pPr>
    </w:p>
    <w:p>
      <w:pPr>
        <w:spacing w:after="0" w:line="31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We have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devoted</w:t>
            </w: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substantial resources to our research programs to isolate</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and develop</w:t>
            </w:r>
          </w:p>
        </w:tc>
        <w:tc>
          <w:tcPr>
            <w:tcW w:w="6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 series of stem and progenitor cells that we believe can serve as a</w:t>
            </w: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basis for replacing</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w w:val="99"/>
              </w:rPr>
              <w:t>diseased or injured cells. Our efforts to date have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been</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directed at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methods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w w:val="99"/>
              </w:rPr>
              <w:t>to identify, isolate and culture large varieties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stem and</w:t>
            </w: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progenitor cells of</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w w:val="99"/>
              </w:rPr>
              <w:t>the human nervous system, liver and pancreas and 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develop</w:t>
            </w: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therapies utilizing</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these stem and progenitor cells.</w:t>
            </w: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6" w:name="page7"/>
    <w:bookmarkEnd w:id="6"/>
    <w:p>
      <w:pPr>
        <w:ind w:left="9" w:right="3579"/>
        <w:spacing w:after="0" w:line="239" w:lineRule="auto"/>
        <w:rPr>
          <w:sz w:val="20"/>
          <w:szCs w:val="20"/>
          <w:color w:val="auto"/>
        </w:rPr>
      </w:pPr>
      <w:r>
        <w:rPr>
          <w:rFonts w:ascii="Courier New" w:cs="Courier New" w:eastAsia="Courier New" w:hAnsi="Courier New"/>
          <w:sz w:val="15"/>
          <w:szCs w:val="15"/>
          <w:color w:val="auto"/>
        </w:rPr>
        <w:t>enhancement, as well as other factors. Our research and product development programs are at relatively early stages of development and will require substantial resources to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8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12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1" w:lineRule="exact"/>
        <w:rPr>
          <w:sz w:val="20"/>
          <w:szCs w:val="20"/>
          <w:color w:val="auto"/>
        </w:rPr>
      </w:pPr>
    </w:p>
    <w:p>
      <w:pPr>
        <w:ind w:left="9"/>
        <w:spacing w:after="0"/>
        <w:tabs>
          <w:tab w:leader="none" w:pos="33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tabs>
          <w:tab w:leader="none" w:pos="530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8"/>
          </w:cols>
          <w:pgMar w:left="231" w:top="631" w:right="1440" w:bottom="286" w:gutter="0" w:footer="0" w:header="0"/>
        </w:sectPr>
      </w:pPr>
    </w:p>
    <w:p>
      <w:pPr>
        <w:spacing w:after="0" w:line="174" w:lineRule="exact"/>
        <w:rPr>
          <w:sz w:val="20"/>
          <w:szCs w:val="20"/>
          <w:color w:val="auto"/>
        </w:rPr>
      </w:pPr>
    </w:p>
    <w:p>
      <w:pPr>
        <w:ind w:left="9" w:right="80"/>
        <w:spacing w:after="0" w:line="261"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PANCREAS ISLET STEM CELL</w:t>
      </w: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LIVER STEM CELL</w:t>
      </w:r>
    </w:p>
    <w:p>
      <w:pPr>
        <w:spacing w:after="0" w:line="174" w:lineRule="exact"/>
        <w:rPr>
          <w:sz w:val="20"/>
          <w:szCs w:val="20"/>
          <w:color w:val="auto"/>
        </w:rPr>
      </w:pPr>
    </w:p>
    <w:p>
      <w:pPr>
        <w:ind w:left="9" w:right="80"/>
        <w:spacing w:after="0" w:line="239"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74" w:right="1699" w:hanging="274"/>
        <w:spacing w:after="0" w:line="239" w:lineRule="auto"/>
        <w:tabs>
          <w:tab w:leader="none" w:pos="2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5" w:lineRule="exact"/>
        <w:rPr>
          <w:rFonts w:ascii="Courier New" w:cs="Courier New" w:eastAsia="Courier New" w:hAnsi="Courier New"/>
          <w:sz w:val="15"/>
          <w:szCs w:val="15"/>
          <w:color w:val="auto"/>
        </w:rPr>
      </w:pPr>
    </w:p>
    <w:p>
      <w:pPr>
        <w:ind w:left="274" w:right="1879" w:hanging="274"/>
        <w:spacing w:after="0" w:line="238" w:lineRule="auto"/>
        <w:tabs>
          <w:tab w:leader="none" w:pos="2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74" w:right="1979" w:hanging="274"/>
        <w:spacing w:after="0" w:line="239" w:lineRule="auto"/>
        <w:tabs>
          <w:tab w:leader="none" w:pos="2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3" w:lineRule="exact"/>
        <w:rPr>
          <w:sz w:val="20"/>
          <w:szCs w:val="20"/>
          <w:color w:val="auto"/>
        </w:rPr>
      </w:pPr>
    </w:p>
    <w:p>
      <w:pPr>
        <w:ind w:left="2314"/>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left="274" w:right="1879" w:hanging="274"/>
        <w:spacing w:after="0" w:line="258" w:lineRule="auto"/>
        <w:tabs>
          <w:tab w:leader="none" w:pos="27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74" w:hanging="274"/>
        <w:spacing w:after="0"/>
        <w:tabs>
          <w:tab w:leader="none" w:pos="27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 w:lineRule="exact"/>
        <w:rPr>
          <w:sz w:val="20"/>
          <w:szCs w:val="20"/>
          <w:color w:val="auto"/>
        </w:rPr>
      </w:pPr>
    </w:p>
    <w:p>
      <w:pPr>
        <w:ind w:left="2314"/>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left="274" w:right="1799" w:hanging="274"/>
        <w:spacing w:after="0" w:line="238"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74" w:right="2059" w:hanging="274"/>
        <w:spacing w:after="0" w:line="239"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74" w:right="1799" w:hanging="274"/>
        <w:spacing w:after="0" w:line="238"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883" w:lineRule="exact"/>
        <w:rPr>
          <w:sz w:val="20"/>
          <w:szCs w:val="20"/>
          <w:color w:val="auto"/>
        </w:rPr>
      </w:pPr>
    </w:p>
    <w:p>
      <w:pPr>
        <w:sectPr>
          <w:pgSz w:w="11900" w:h="16838" w:orient="portrait"/>
          <w:cols w:equalWidth="0" w:num="2">
            <w:col w:w="3009" w:space="186"/>
            <w:col w:w="7033"/>
          </w:cols>
          <w:pgMar w:left="231" w:top="631" w:right="1440" w:bottom="286" w:gutter="0" w:footer="0" w:header="0"/>
          <w:type w:val="continuous"/>
        </w:sectPr>
      </w:pPr>
    </w:p>
    <w:p>
      <w:pPr>
        <w:spacing w:after="0" w:line="145" w:lineRule="exact"/>
        <w:rPr>
          <w:sz w:val="20"/>
          <w:szCs w:val="20"/>
          <w:color w:val="auto"/>
        </w:rPr>
      </w:pPr>
    </w:p>
    <w:p>
      <w:pPr>
        <w:ind w:left="349" w:right="3119" w:hanging="349"/>
        <w:spacing w:after="0" w:line="262" w:lineRule="auto"/>
        <w:tabs>
          <w:tab w:leader="none" w:pos="34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200" w:lineRule="exact"/>
        <w:rPr>
          <w:sz w:val="20"/>
          <w:szCs w:val="20"/>
          <w:color w:val="auto"/>
        </w:rPr>
      </w:pPr>
    </w:p>
    <w:p>
      <w:pPr>
        <w:spacing w:after="0" w:line="29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200" w:lineRule="exact"/>
        <w:rPr>
          <w:sz w:val="20"/>
          <w:szCs w:val="20"/>
          <w:color w:val="auto"/>
        </w:rPr>
      </w:pPr>
    </w:p>
    <w:p>
      <w:pPr>
        <w:spacing w:after="0" w:line="31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200" w:lineRule="exact"/>
        <w:rPr>
          <w:sz w:val="20"/>
          <w:szCs w:val="20"/>
          <w:color w:val="auto"/>
        </w:rPr>
      </w:pPr>
    </w:p>
    <w:p>
      <w:pPr>
        <w:spacing w:after="0" w:line="31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200" w:lineRule="exact"/>
        <w:rPr>
          <w:sz w:val="20"/>
          <w:szCs w:val="20"/>
          <w:color w:val="auto"/>
        </w:rPr>
      </w:pPr>
    </w:p>
    <w:p>
      <w:pPr>
        <w:spacing w:after="0" w:line="317"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286" w:gutter="0" w:footer="0" w:header="0"/>
          <w:type w:val="continuous"/>
        </w:sectPr>
      </w:pPr>
    </w:p>
    <w:bookmarkStart w:id="7" w:name="page8"/>
    <w:bookmarkEnd w:id="7"/>
    <w:p>
      <w:pPr>
        <w:jc w:val="both"/>
        <w:ind w:right="3119"/>
        <w:spacing w:after="0" w:line="258" w:lineRule="auto"/>
        <w:rPr>
          <w:sz w:val="20"/>
          <w:szCs w:val="20"/>
          <w:color w:val="auto"/>
        </w:rPr>
      </w:pPr>
      <w:r>
        <w:rPr>
          <w:rFonts w:ascii="Courier New" w:cs="Courier New" w:eastAsia="Courier New" w:hAnsi="Courier New"/>
          <w:sz w:val="14"/>
          <w:szCs w:val="14"/>
          <w:color w:val="auto"/>
        </w:rPr>
        <w:t>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w:t>
      </w:r>
    </w:p>
    <w:p>
      <w:pPr>
        <w:spacing w:after="0" w:line="1"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4"/>
          <w:szCs w:val="14"/>
          <w:color w:val="auto"/>
        </w:rPr>
        <w:t>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200" w:lineRule="exact"/>
        <w:rPr>
          <w:sz w:val="20"/>
          <w:szCs w:val="20"/>
          <w:color w:val="auto"/>
        </w:rPr>
      </w:pPr>
    </w:p>
    <w:p>
      <w:pPr>
        <w:spacing w:after="0" w:line="30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200" w:lineRule="exact"/>
        <w:rPr>
          <w:sz w:val="20"/>
          <w:szCs w:val="20"/>
          <w:color w:val="auto"/>
        </w:rPr>
      </w:pPr>
    </w:p>
    <w:p>
      <w:pPr>
        <w:spacing w:after="0" w:line="317"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200" w:lineRule="exact"/>
        <w:rPr>
          <w:sz w:val="20"/>
          <w:szCs w:val="20"/>
          <w:color w:val="auto"/>
        </w:rPr>
      </w:pPr>
    </w:p>
    <w:p>
      <w:pPr>
        <w:spacing w:after="0" w:line="30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200" w:lineRule="exact"/>
        <w:rPr>
          <w:sz w:val="20"/>
          <w:szCs w:val="20"/>
          <w:color w:val="auto"/>
        </w:rPr>
      </w:pPr>
    </w:p>
    <w:p>
      <w:pPr>
        <w:spacing w:after="0" w:line="31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200" w:lineRule="exact"/>
        <w:rPr>
          <w:sz w:val="20"/>
          <w:szCs w:val="20"/>
          <w:color w:val="auto"/>
        </w:rPr>
      </w:pPr>
    </w:p>
    <w:p>
      <w:pPr>
        <w:spacing w:after="0" w:line="317" w:lineRule="exact"/>
        <w:rPr>
          <w:sz w:val="20"/>
          <w:szCs w:val="20"/>
          <w:color w:val="auto"/>
        </w:rPr>
      </w:pPr>
    </w:p>
    <w:p>
      <w:pPr>
        <w:ind w:right="3479" w:firstLine="355"/>
        <w:spacing w:after="0" w:line="262"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200" w:lineRule="exact"/>
        <w:rPr>
          <w:sz w:val="20"/>
          <w:szCs w:val="20"/>
          <w:color w:val="auto"/>
        </w:rPr>
      </w:pPr>
    </w:p>
    <w:p>
      <w:pPr>
        <w:spacing w:after="0" w:line="30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200" w:lineRule="exact"/>
        <w:rPr>
          <w:sz w:val="20"/>
          <w:szCs w:val="20"/>
          <w:color w:val="auto"/>
        </w:rPr>
      </w:pPr>
    </w:p>
    <w:p>
      <w:pPr>
        <w:spacing w:after="0" w:line="318"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457" w:gutter="0" w:footer="0" w:header="0"/>
        </w:sectPr>
      </w:pPr>
    </w:p>
    <w:bookmarkStart w:id="8" w:name="page9"/>
    <w:bookmarkEnd w:id="8"/>
    <w:p>
      <w:pPr>
        <w:spacing w:after="0" w:line="3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200" w:lineRule="exact"/>
        <w:rPr>
          <w:sz w:val="20"/>
          <w:szCs w:val="20"/>
          <w:color w:val="auto"/>
        </w:rPr>
      </w:pPr>
    </w:p>
    <w:p>
      <w:pPr>
        <w:spacing w:after="0" w:line="316" w:lineRule="exact"/>
        <w:rPr>
          <w:sz w:val="20"/>
          <w:szCs w:val="20"/>
          <w:color w:val="auto"/>
        </w:rPr>
      </w:pPr>
    </w:p>
    <w:p>
      <w:pPr>
        <w:ind w:left="520" w:right="3299" w:hanging="174"/>
        <w:spacing w:after="0" w:line="239"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200" w:lineRule="exact"/>
        <w:rPr>
          <w:sz w:val="20"/>
          <w:szCs w:val="20"/>
          <w:color w:val="auto"/>
        </w:rPr>
      </w:pPr>
    </w:p>
    <w:p>
      <w:pPr>
        <w:spacing w:after="0" w:line="319"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200" w:lineRule="exact"/>
        <w:rPr>
          <w:sz w:val="20"/>
          <w:szCs w:val="20"/>
          <w:color w:val="auto"/>
        </w:rPr>
      </w:pPr>
    </w:p>
    <w:p>
      <w:pPr>
        <w:spacing w:after="0" w:line="31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70" w:orient="portrait"/>
          <w:cols w:equalWidth="0" w:num="1">
            <w:col w:w="10219"/>
          </w:cols>
          <w:pgMar w:left="240" w:top="631" w:right="1440" w:bottom="0" w:gutter="0" w:footer="0" w:header="0"/>
        </w:sectPr>
      </w:pPr>
    </w:p>
    <w:bookmarkStart w:id="9" w:name="page10"/>
    <w:bookmarkEnd w:id="9"/>
    <w:p>
      <w:pPr>
        <w:ind w:right="3299" w:firstLine="355"/>
        <w:spacing w:after="0" w:line="238"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200" w:lineRule="exact"/>
        <w:rPr>
          <w:sz w:val="20"/>
          <w:szCs w:val="20"/>
          <w:color w:val="auto"/>
        </w:rPr>
      </w:pPr>
    </w:p>
    <w:p>
      <w:pPr>
        <w:spacing w:after="0" w:line="31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200" w:lineRule="exact"/>
        <w:rPr>
          <w:sz w:val="20"/>
          <w:szCs w:val="20"/>
          <w:color w:val="auto"/>
        </w:rPr>
      </w:pPr>
    </w:p>
    <w:p>
      <w:pPr>
        <w:spacing w:after="0" w:line="31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200" w:lineRule="exact"/>
        <w:rPr>
          <w:sz w:val="20"/>
          <w:szCs w:val="20"/>
          <w:color w:val="auto"/>
        </w:rPr>
      </w:pPr>
    </w:p>
    <w:p>
      <w:pPr>
        <w:spacing w:after="0" w:line="31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200" w:lineRule="exact"/>
        <w:rPr>
          <w:sz w:val="20"/>
          <w:szCs w:val="20"/>
          <w:color w:val="auto"/>
        </w:rPr>
      </w:pPr>
    </w:p>
    <w:p>
      <w:pPr>
        <w:spacing w:after="0" w:line="30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200" w:lineRule="exact"/>
        <w:rPr>
          <w:sz w:val="20"/>
          <w:szCs w:val="20"/>
          <w:color w:val="auto"/>
        </w:rPr>
      </w:pPr>
    </w:p>
    <w:p>
      <w:pPr>
        <w:spacing w:after="0" w:line="317" w:lineRule="exact"/>
        <w:rPr>
          <w:sz w:val="20"/>
          <w:szCs w:val="20"/>
          <w:color w:val="auto"/>
        </w:rPr>
      </w:pPr>
    </w:p>
    <w:p>
      <w:pPr>
        <w:ind w:right="3299" w:firstLine="355"/>
        <w:spacing w:after="0" w:line="260"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SUBSIDIARY</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1996, we, together with certain founding scientists, established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Modex Therapeutics SA, a Swiss biotherapeutics company, to pursue extensions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former technology of ECT for certain applications outside the central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nervous system. Modex, headquartered in Lausanne, Switzerland, was formed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 technologies developed by us and by several other institutions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 products to treat diseases such as diabetes, obesity and anemia.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disposition of the encapsulated cell technology in December 1999, we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longer had common research or development interests with Modex, but we held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 17% of its stock. Modex completed an initial public offering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in the course of which we realized a gain of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million from the sale of certain shares. We now own 126,193 shares,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9%, of Modex's equity, subject to a lockup until December 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The closing market price of Modex stock on the Swiss Neue Market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October 31, 2000, was 329.5 Swiss Francs, or approximately $183, per share.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ASTRAZENECA PLC</w:t>
      </w:r>
    </w:p>
    <w:p>
      <w:pPr>
        <w:spacing w:after="0" w:line="200" w:lineRule="exact"/>
        <w:rPr>
          <w:sz w:val="20"/>
          <w:szCs w:val="20"/>
          <w:color w:val="auto"/>
        </w:rPr>
      </w:pPr>
    </w:p>
    <w:p>
      <w:pPr>
        <w:spacing w:after="0" w:line="31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Under the agreement, we conducted research and development and received approximately $42 million, including research and development funding, through June 1999 when, as noted above (SEE</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WIND-DOWN OF ENCAPSULATED CELL TECHNOLOGY RESEARCH AND DEVELOPMENT PROGRAM), AstraZeneca exercised its right to terminate the agreement. (SEE ALSO LIQUIDITY AND CAPITAL RESOURCES UNDER MANAGEMENT'S DISCUSSION AND ANALYSIS OF FINANCIAL CONDITION AND RESULTS OF OPERATIONS AND NOTE 17--"RESEARCH AGREEMENTS" TO THE ACCOMPANYING FINANCIAL STATEMENTS.)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GENENTECH, INC.</w:t>
      </w:r>
    </w:p>
    <w:p>
      <w:pPr>
        <w:spacing w:after="0" w:line="200" w:lineRule="exact"/>
        <w:rPr>
          <w:sz w:val="20"/>
          <w:szCs w:val="20"/>
          <w:color w:val="auto"/>
        </w:rPr>
      </w:pPr>
    </w:p>
    <w:p>
      <w:pPr>
        <w:spacing w:after="0" w:line="31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In November 1996, we signed collaborative development and licensing agreements with Genentech relating to the development of products using the Company's ECT technology to deliver certain of Genentech's proprietary growth factors to treat Parkinson's disease, Huntington's disease and amyotrophic lateral sclerosis.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Under the terms of the agreement for Parkinson's disease, Genentech had the right, at its discretion, to terminate the program at specified milestones. On May 21, 1998, Genentech exercised its right to</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16" w:gutter="0" w:footer="0" w:header="0"/>
        </w:sectPr>
      </w:pPr>
    </w:p>
    <w:bookmarkStart w:id="11" w:name="page12"/>
    <w:bookmarkEnd w:id="11"/>
    <w:p>
      <w:pPr>
        <w:ind w:right="3119"/>
        <w:spacing w:after="0" w:line="258" w:lineRule="auto"/>
        <w:rPr>
          <w:sz w:val="20"/>
          <w:szCs w:val="20"/>
          <w:color w:val="auto"/>
        </w:rPr>
      </w:pPr>
      <w:r>
        <w:rPr>
          <w:rFonts w:ascii="Courier New" w:cs="Courier New" w:eastAsia="Courier New" w:hAnsi="Courier New"/>
          <w:sz w:val="14"/>
          <w:szCs w:val="14"/>
          <w:color w:val="auto"/>
        </w:rPr>
        <w:t>terminate the Parkinson's collaboration. Pursuant to the terms of the agreement, Genentech demanded that we redeem certain shares of the Company's redeemable common stock held by them for approximately $3.1 million, at a price of $10.01 per share. This amount, per the agreement, was equal to the funds invested by Genentech to acquire such stock less the amount we expended on the terminated program. In March 2000, we announced a settlement of this claim at no cost to us, and also terminated the Huntington's disease and ALS agreements. (FOR</w:t>
      </w:r>
    </w:p>
    <w:p>
      <w:pPr>
        <w:spacing w:after="0" w:line="1"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FURTHER DETAILS AND INFORMATION REGARDING THIS SETTLEMENT, SEE LIQUIDITY AND CAPITAL RESOURCES UNDER MANAGEMENT'S DISCUSSION AND ANALYSIS OF FINANCIAL CONDITION AND RESULTS OF OPERATIONS.)</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STATE OF RHODE ISLAND</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1989 we entered into an agreement with the Rhode Island Partnership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Science and Technology, or RIPSAT, for reimbursement of $1,172,000 for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activities we funded at Brown University. Under the terms of this grant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were obligated to pay royalties ranging from three to five percent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products developed under the agreement, to a maximum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$1,758,000. In July 1999, when we announced our plans to terminate ECT research,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 down operations in Rhode Island and relocate research activities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headquarters to Sunnyvale, California, RIPSAT alleged that we were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this funding agreement. While we believed that we were not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in March 2000, we entered into a settlement of the claim. (FOR FURTHER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DETAILS AND INFORMATION REGARDING THIS SETTLEMENT, SEE LIQUIDITY AND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 UNDER MANAGEMENT'S DISCUSSION AND ANALYSIS OF FINANCIAL CONDITION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 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2" w:name="page13"/>
    <w:bookmarkEnd w:id="12"/>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When we decided to abandon further research and development of our 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in July 1999, we terminated our academic collaborations with Brown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and Dr. Patrick Aebischer at the Centre Hospitalier Universitaire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Vaudois in Switzerland. Research and development expenses paid in connection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these collaborations aggregated approximately $156,600, $701,000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$1,326,000 for the years ended December 31, 1999, 1998, and 1997, respectively.</w:t>
      </w:r>
    </w:p>
    <w:p>
      <w:pPr>
        <w:spacing w:after="0" w:line="200" w:lineRule="exact"/>
        <w:rPr>
          <w:sz w:val="20"/>
          <w:szCs w:val="20"/>
          <w:color w:val="auto"/>
        </w:rPr>
      </w:pPr>
    </w:p>
    <w:p>
      <w:pPr>
        <w:spacing w:after="0" w:line="32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 We paid Scripps and Oregon respectively approximately $77,000 and $28,000 in 1997, $307,000 and $251,000 in 1998, and $309,000 and $172,000 in 1999 under these agreements.</w:t>
      </w:r>
    </w:p>
    <w:p>
      <w:pPr>
        <w:spacing w:after="0" w:line="200" w:lineRule="exact"/>
        <w:rPr>
          <w:sz w:val="20"/>
          <w:szCs w:val="20"/>
          <w:color w:val="auto"/>
        </w:rPr>
      </w:pPr>
    </w:p>
    <w:p>
      <w:pPr>
        <w:spacing w:after="0" w:line="30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research agreement with Scripps expires on November 14, 2000 and we are negotiating with Scripps to extend the term of this agreement or to enter into a new agreement. As of the date of this report, we have not yet completed our negotiations with Scripps and we cannot give any assurance that our negotiations will be successful.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MARKETING</w:t>
      </w:r>
    </w:p>
    <w:p>
      <w:pPr>
        <w:spacing w:after="0" w:line="200" w:lineRule="exact"/>
        <w:rPr>
          <w:sz w:val="20"/>
          <w:szCs w:val="20"/>
          <w:color w:val="auto"/>
        </w:rPr>
      </w:pPr>
    </w:p>
    <w:p>
      <w:pPr>
        <w:spacing w:after="0" w:line="31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200" w:lineRule="exact"/>
        <w:rPr>
          <w:sz w:val="20"/>
          <w:szCs w:val="20"/>
          <w:color w:val="auto"/>
        </w:rPr>
      </w:pPr>
    </w:p>
    <w:p>
      <w:pPr>
        <w:spacing w:after="0" w:line="31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200" w:lineRule="exact"/>
        <w:rPr>
          <w:sz w:val="20"/>
          <w:szCs w:val="20"/>
          <w:color w:val="auto"/>
        </w:rPr>
      </w:pPr>
    </w:p>
    <w:p>
      <w:pPr>
        <w:spacing w:after="0" w:line="318"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 progenitor to liver cells and pancreatic cells).</w:t>
      </w:r>
    </w:p>
    <w:p>
      <w:pPr>
        <w:spacing w:after="0" w:line="200" w:lineRule="exact"/>
        <w:rPr>
          <w:sz w:val="20"/>
          <w:szCs w:val="20"/>
          <w:color w:val="auto"/>
        </w:rPr>
      </w:pPr>
    </w:p>
    <w:p>
      <w:pPr>
        <w:spacing w:after="0" w:line="316"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We have licensed the following patents or pending patent applications from Neurospheres Holdings Ltd.: Patent Number 5,851,832 (In vitro proliferation); Patent Number 5,750,376 (In vitro genetic modification); Patent</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w:t>
      </w:r>
    </w:p>
    <w:p>
      <w:pPr>
        <w:spacing w:after="0" w:line="200" w:lineRule="exact"/>
        <w:rPr>
          <w:sz w:val="20"/>
          <w:szCs w:val="20"/>
          <w:color w:val="auto"/>
        </w:rPr>
      </w:pPr>
    </w:p>
    <w:p>
      <w:pPr>
        <w:spacing w:after="0" w:line="32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licensed the following patents or pending patent applications from the University of California, San Diego: Patent Number 5,776,948 (Method of production of neuroblasts); Patent Number 6,013,521 (Method of production of neuroblasts); Patent Number 6,020,197 (Method of production of neuroblasts); and Application Number WO 94/16059 (Method of production of neuroblasts).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licensed the following patents or pending patent applications from the California Institute of Technology: Patent Number 5,629,159 (Immortalization and disimmortalization of cells); Application Number WO 96/40877 (Immortalization and disimmortalization of cells); Patent Number 5,935,811 (Neuron restrictive silencer factor proteins); Application Number WO 96/27665 (Neuron restrictive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140" w:gutter="0" w:footer="0" w:header="0"/>
        </w:sectPr>
      </w:pPr>
    </w:p>
    <w:bookmarkStart w:id="14" w:name="page15"/>
    <w:bookmarkEnd w:id="14"/>
    <w:p>
      <w:pPr>
        <w:ind w:right="3119"/>
        <w:spacing w:after="0" w:line="259" w:lineRule="auto"/>
        <w:rPr>
          <w:sz w:val="20"/>
          <w:szCs w:val="20"/>
          <w:color w:val="auto"/>
        </w:rPr>
      </w:pPr>
      <w:r>
        <w:rPr>
          <w:rFonts w:ascii="Courier New" w:cs="Courier New" w:eastAsia="Courier New" w:hAnsi="Courier New"/>
          <w:sz w:val="14"/>
          <w:szCs w:val="14"/>
          <w:color w:val="auto"/>
        </w:rPr>
        <w:t>silencer factor proteins); Patent Number 5,589,376 (Mammalian neural crest stem cells); Patent Number 5,824,489 (Methods for isolating mammalian multipotent neural crest stem cells); Application Number WO 94/02593 (Mammalian neural crest stem cells); Patent Number 5,654,183 (Genetically engineered mammalian neural crest stem cells); Patent Number 5,928,947 (Mammalian multipotent neural crest stem cells); Patent Number 5,693,482 (In vitro neural crest stem cell assay); Patent 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200" w:lineRule="exact"/>
        <w:rPr>
          <w:sz w:val="20"/>
          <w:szCs w:val="20"/>
          <w:color w:val="auto"/>
        </w:rPr>
      </w:pPr>
    </w:p>
    <w:p>
      <w:pPr>
        <w:spacing w:after="0" w:line="306"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200" w:lineRule="exact"/>
        <w:rPr>
          <w:sz w:val="20"/>
          <w:szCs w:val="20"/>
          <w:color w:val="auto"/>
        </w:rPr>
      </w:pPr>
    </w:p>
    <w:p>
      <w:pPr>
        <w:spacing w:after="0" w:line="32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969" w:gutter="0" w:footer="0" w:header="0"/>
        </w:sectPr>
      </w:pPr>
    </w:p>
    <w:bookmarkStart w:id="15" w:name="page16"/>
    <w:bookmarkEnd w:id="15"/>
    <w:p>
      <w:pPr>
        <w:ind w:left="9" w:right="3299"/>
        <w:spacing w:after="0" w:line="239" w:lineRule="auto"/>
        <w:rPr>
          <w:sz w:val="20"/>
          <w:szCs w:val="20"/>
          <w:color w:val="auto"/>
        </w:rPr>
      </w:pPr>
      <w:r>
        <w:rPr>
          <w:rFonts w:ascii="Courier New" w:cs="Courier New" w:eastAsia="Courier New" w:hAnsi="Courier New"/>
          <w:sz w:val="15"/>
          <w:szCs w:val="15"/>
          <w:color w:val="auto"/>
        </w:rPr>
        <w:t>that all of these products will compete with our potential stem and progenitor cell products based on efficacy, safety, cost and intellectual property positions.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200" w:lineRule="exact"/>
        <w:rPr>
          <w:sz w:val="20"/>
          <w:szCs w:val="20"/>
          <w:color w:val="auto"/>
        </w:rPr>
      </w:pPr>
    </w:p>
    <w:p>
      <w:pPr>
        <w:spacing w:after="0" w:line="31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00" w:lineRule="exact"/>
        <w:rPr>
          <w:sz w:val="20"/>
          <w:szCs w:val="20"/>
          <w:color w:val="auto"/>
        </w:rPr>
      </w:pPr>
    </w:p>
    <w:p>
      <w:pPr>
        <w:spacing w:after="0" w:line="31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200" w:lineRule="exact"/>
        <w:rPr>
          <w:sz w:val="20"/>
          <w:szCs w:val="20"/>
          <w:color w:val="auto"/>
        </w:rPr>
      </w:pPr>
    </w:p>
    <w:p>
      <w:pPr>
        <w:spacing w:after="0" w:line="31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200" w:lineRule="exact"/>
        <w:rPr>
          <w:sz w:val="20"/>
          <w:szCs w:val="20"/>
          <w:color w:val="auto"/>
        </w:rPr>
      </w:pPr>
    </w:p>
    <w:p>
      <w:pPr>
        <w:spacing w:after="0" w:line="318" w:lineRule="exact"/>
        <w:rPr>
          <w:sz w:val="20"/>
          <w:szCs w:val="20"/>
          <w:color w:val="auto"/>
        </w:rPr>
      </w:pPr>
    </w:p>
    <w:p>
      <w:pPr>
        <w:ind w:left="9" w:right="3299" w:firstLine="355"/>
        <w:spacing w:after="0" w:line="260"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200" w:lineRule="exact"/>
        <w:rPr>
          <w:sz w:val="20"/>
          <w:szCs w:val="20"/>
          <w:color w:val="auto"/>
        </w:rPr>
      </w:pPr>
    </w:p>
    <w:p>
      <w:pPr>
        <w:spacing w:after="0" w:line="30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200" w:lineRule="exact"/>
        <w:rPr>
          <w:sz w:val="20"/>
          <w:szCs w:val="20"/>
          <w:color w:val="auto"/>
        </w:rPr>
      </w:pPr>
    </w:p>
    <w:p>
      <w:pPr>
        <w:spacing w:after="0" w:line="315"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FDA APPROVAL</w:t>
      </w:r>
    </w:p>
    <w:p>
      <w:pPr>
        <w:spacing w:after="0" w:line="200" w:lineRule="exact"/>
        <w:rPr>
          <w:sz w:val="20"/>
          <w:szCs w:val="20"/>
          <w:color w:val="auto"/>
        </w:rPr>
      </w:pPr>
    </w:p>
    <w:p>
      <w:pPr>
        <w:spacing w:after="0" w:line="31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69"/>
        <w:spacing w:after="0"/>
        <w:tabs>
          <w:tab w:leader="none" w:pos="54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4149"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3" w:lineRule="exact"/>
        <w:rPr>
          <w:sz w:val="20"/>
          <w:szCs w:val="20"/>
          <w:color w:val="auto"/>
        </w:rPr>
      </w:pPr>
    </w:p>
    <w:p>
      <w:pPr>
        <w:ind w:left="4169"/>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8"/>
          </w:cols>
          <w:pgMar w:left="231" w:top="631" w:right="1440" w:bottom="306" w:gutter="0" w:footer="0" w:header="0"/>
        </w:sectPr>
      </w:pPr>
    </w:p>
    <w:p>
      <w:pPr>
        <w:spacing w:after="0" w:line="180" w:lineRule="exact"/>
        <w:rPr>
          <w:sz w:val="20"/>
          <w:szCs w:val="20"/>
          <w:color w:val="auto"/>
        </w:rPr>
      </w:pPr>
    </w:p>
    <w:p>
      <w:pPr>
        <w:ind w:left="269" w:hanging="269"/>
        <w:spacing w:after="0"/>
        <w:tabs>
          <w:tab w:leader="none" w:pos="2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159"/>
        <w:spacing w:after="0"/>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989" w:space="180"/>
            <w:col w:w="6059"/>
          </w:cols>
          <w:pgMar w:left="231" w:top="631" w:right="1440" w:bottom="306" w:gutter="0" w:footer="0" w:header="0"/>
          <w:type w:val="continuous"/>
        </w:sectPr>
      </w:pPr>
    </w:p>
    <w:p>
      <w:pPr>
        <w:spacing w:after="0" w:line="31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28"/>
          </w:cols>
          <w:pgMar w:left="231" w:top="631" w:right="1440" w:bottom="306" w:gutter="0" w:footer="0" w:header="0"/>
          <w:type w:val="continuous"/>
        </w:sectPr>
      </w:pPr>
    </w:p>
    <w:bookmarkStart w:id="16" w:name="page17"/>
    <w:bookmarkEnd w:id="16"/>
    <w:p>
      <w:pPr>
        <w:ind w:left="9" w:hanging="9"/>
        <w:spacing w:after="0" w:line="239" w:lineRule="auto"/>
        <w:tabs>
          <w:tab w:leader="none" w:pos="2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 w:right="520" w:hanging="9"/>
        <w:spacing w:after="0" w:line="238" w:lineRule="auto"/>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right="2239"/>
        <w:spacing w:after="0" w:line="239"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5" w:lineRule="exact"/>
        <w:rPr>
          <w:sz w:val="20"/>
          <w:szCs w:val="20"/>
          <w:color w:val="auto"/>
        </w:rPr>
      </w:pPr>
    </w:p>
    <w:p>
      <w:pPr>
        <w:ind w:right="2059" w:firstLine="2"/>
        <w:spacing w:after="0"/>
        <w:tabs>
          <w:tab w:leader="none" w:pos="2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75" w:lineRule="exact"/>
        <w:rPr>
          <w:rFonts w:ascii="Courier New" w:cs="Courier New" w:eastAsia="Courier New" w:hAnsi="Courier New"/>
          <w:sz w:val="15"/>
          <w:szCs w:val="15"/>
          <w:color w:val="auto"/>
        </w:rPr>
      </w:pPr>
    </w:p>
    <w:p>
      <w:pPr>
        <w:ind w:right="2059" w:firstLine="2"/>
        <w:spacing w:after="0" w:line="259" w:lineRule="auto"/>
        <w:tabs>
          <w:tab w:leader="none" w:pos="26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65" w:lineRule="exact"/>
        <w:rPr>
          <w:rFonts w:ascii="Courier New" w:cs="Courier New" w:eastAsia="Courier New" w:hAnsi="Courier New"/>
          <w:sz w:val="14"/>
          <w:szCs w:val="14"/>
          <w:color w:val="auto"/>
        </w:rPr>
      </w:pPr>
    </w:p>
    <w:p>
      <w:pPr>
        <w:ind w:right="2339" w:firstLine="2"/>
        <w:spacing w:after="0"/>
        <w:tabs>
          <w:tab w:leader="none" w:pos="2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 trials are undertaken to conclusively demonstrate clinical efficacy and to test further for safety within an expanded patient population, generally at multiple study sites.</w:t>
      </w:r>
    </w:p>
    <w:p>
      <w:pPr>
        <w:spacing w:after="0" w:line="174" w:lineRule="exact"/>
        <w:rPr>
          <w:sz w:val="20"/>
          <w:szCs w:val="20"/>
          <w:color w:val="auto"/>
        </w:rPr>
      </w:pPr>
    </w:p>
    <w:p>
      <w:pPr>
        <w:ind w:right="2159"/>
        <w:spacing w:after="0"/>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4" w:lineRule="exact"/>
        <w:rPr>
          <w:sz w:val="20"/>
          <w:szCs w:val="20"/>
          <w:color w:val="auto"/>
        </w:rPr>
      </w:pPr>
    </w:p>
    <w:p>
      <w:pPr>
        <w:ind w:right="2159"/>
        <w:spacing w:after="0" w:line="239"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ectPr>
          <w:pgSz w:w="11900" w:h="16838" w:orient="portrait"/>
          <w:cols w:equalWidth="0" w:num="2">
            <w:col w:w="3809" w:space="360"/>
            <w:col w:w="6059"/>
          </w:cols>
          <w:pgMar w:left="231" w:top="972" w:right="1440" w:bottom="1440" w:gutter="0" w:footer="0" w:header="0"/>
        </w:sectPr>
      </w:pPr>
    </w:p>
    <w:bookmarkStart w:id="17" w:name="page18"/>
    <w:bookmarkEnd w:id="17"/>
    <w:p>
      <w:pPr>
        <w:ind w:left="9" w:hanging="9"/>
        <w:spacing w:after="0"/>
        <w:tabs>
          <w:tab w:leader="none" w:pos="27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3989" w:space="180"/>
            <w:col w:w="6059"/>
          </w:cols>
          <w:pgMar w:left="231" w:top="972" w:right="1440" w:bottom="0" w:gutter="0" w:footer="0" w:header="0"/>
        </w:sectPr>
      </w:pPr>
    </w:p>
    <w:p>
      <w:pPr>
        <w:spacing w:after="0" w:line="200" w:lineRule="exact"/>
        <w:rPr>
          <w:sz w:val="20"/>
          <w:szCs w:val="20"/>
          <w:color w:val="auto"/>
        </w:rPr>
      </w:pPr>
    </w:p>
    <w:p>
      <w:pPr>
        <w:spacing w:after="0" w:line="29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200" w:lineRule="exact"/>
        <w:rPr>
          <w:sz w:val="20"/>
          <w:szCs w:val="20"/>
          <w:color w:val="auto"/>
        </w:rPr>
      </w:pPr>
    </w:p>
    <w:p>
      <w:pPr>
        <w:spacing w:after="0" w:line="314"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FDA MANUFACTURING REQUIREMENTS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200" w:lineRule="exact"/>
        <w:rPr>
          <w:sz w:val="20"/>
          <w:szCs w:val="20"/>
          <w:color w:val="auto"/>
        </w:rPr>
      </w:pPr>
    </w:p>
    <w:p>
      <w:pPr>
        <w:spacing w:after="0" w:line="31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ORPHAN DRUG ACT</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w:t>
      </w:r>
    </w:p>
    <w:p>
      <w:pPr>
        <w:spacing w:after="0" w:line="200" w:lineRule="exact"/>
        <w:rPr>
          <w:sz w:val="20"/>
          <w:szCs w:val="20"/>
          <w:color w:val="auto"/>
        </w:rPr>
      </w:pPr>
    </w:p>
    <w:p>
      <w:pPr>
        <w:spacing w:after="0" w:line="317"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200" w:lineRule="exact"/>
        <w:rPr>
          <w:sz w:val="20"/>
          <w:szCs w:val="20"/>
          <w:color w:val="auto"/>
        </w:rPr>
      </w:pPr>
    </w:p>
    <w:p>
      <w:pPr>
        <w:spacing w:after="0" w:line="300"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PROPOSED FDA REGULATIONS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200" w:lineRule="exact"/>
        <w:rPr>
          <w:sz w:val="20"/>
          <w:szCs w:val="20"/>
          <w:color w:val="auto"/>
        </w:rPr>
      </w:pPr>
    </w:p>
    <w:p>
      <w:pPr>
        <w:spacing w:after="0" w:line="318"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972" w:right="1440" w:bottom="0" w:gutter="0" w:footer="0" w:header="0"/>
          <w:type w:val="continuous"/>
        </w:sectPr>
      </w:pPr>
    </w:p>
    <w:bookmarkStart w:id="18" w:name="page19"/>
    <w:bookmarkEnd w:id="18"/>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200" w:lineRule="exact"/>
        <w:rPr>
          <w:sz w:val="20"/>
          <w:szCs w:val="20"/>
          <w:color w:val="auto"/>
        </w:rPr>
      </w:pPr>
    </w:p>
    <w:p>
      <w:pPr>
        <w:spacing w:after="0" w:line="31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w:t>
      </w:r>
    </w:p>
    <w:p>
      <w:pPr>
        <w:spacing w:after="0" w:line="200" w:lineRule="exact"/>
        <w:rPr>
          <w:sz w:val="20"/>
          <w:szCs w:val="20"/>
          <w:color w:val="auto"/>
        </w:rPr>
      </w:pPr>
    </w:p>
    <w:p>
      <w:pPr>
        <w:spacing w:after="0" w:line="30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1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in assessing the appropriateness of moving our projects to more advanced stages.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persons are members of our Scientific Advisory Board:</w:t>
      </w:r>
    </w:p>
    <w:p>
      <w:pPr>
        <w:spacing w:after="0" w:line="200" w:lineRule="exact"/>
        <w:rPr>
          <w:sz w:val="20"/>
          <w:szCs w:val="20"/>
          <w:color w:val="auto"/>
        </w:rPr>
      </w:pPr>
    </w:p>
    <w:p>
      <w:pPr>
        <w:spacing w:after="0" w:line="315" w:lineRule="exact"/>
        <w:rPr>
          <w:sz w:val="20"/>
          <w:szCs w:val="20"/>
          <w:color w:val="auto"/>
        </w:rPr>
      </w:pPr>
    </w:p>
    <w:p>
      <w:pPr>
        <w:ind w:left="520" w:right="3299"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 and we have certain renewal options. Our current facilities are expected to be sufficient to accommodate our needs at least through the end of 2000.</w:t>
      </w:r>
    </w:p>
    <w:p>
      <w:pPr>
        <w:spacing w:after="0" w:line="200" w:lineRule="exact"/>
        <w:rPr>
          <w:sz w:val="20"/>
          <w:szCs w:val="20"/>
          <w:color w:val="auto"/>
        </w:rPr>
      </w:pPr>
    </w:p>
    <w:p>
      <w:pPr>
        <w:spacing w:after="0" w:line="31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continue to be contractually obligated with respect to two facilities in Lincoln, Rhode Island obtained in connection with our former encapsulated cell technology. We leased our former research laboratory and corporate headquarters building which contains 65,000 square feet of wet labs, specialty research areas and administrative offices on a fifteen-year lease agreement which expires October 2012. We also own a 21,000 square-foot pilot manufacturing facility and a 3,000 square-foot cell processing facility financed by bonds issued by the Rhode Island Industrial Facilities Corporation. We are actively seeking to sublease, assign or sell our interests in these properties.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0" w:name="page21"/>
    <w:bookmarkEnd w:id="20"/>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34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Common Stock of CytoTherapeutics is traded on the National Market System of NASDAQ under the Symbol STEM (formerly CTII). The quarterly ranges of high and low sales prices since January 1, 1997 are shown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 (through March 20, 2000)......................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3/8</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$ 11/16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$ 17/32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25/32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5/32</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17/32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$ 26/32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19/32</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$ 29/32</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$1 1/16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$2 1/2</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$3 7/16</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$4 5/8</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$4 3/4</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$7 1/2</w:t>
            </w:r>
          </w:p>
        </w:tc>
      </w:tr>
    </w:tbl>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No cash dividends have been declared on the Common Stock since the Company's inception.</w:t>
      </w:r>
    </w:p>
    <w:p>
      <w:pPr>
        <w:spacing w:after="0" w:line="346"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As of August 15, 2000, there were approximately 249 holders of record of the Common Stock.</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7"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4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5"/>
          </w:tcPr>
          <w:p>
            <w:pPr>
              <w:jc w:val="center"/>
              <w:ind w:right="6"/>
              <w:spacing w:after="0"/>
              <w:rPr>
                <w:sz w:val="20"/>
                <w:szCs w:val="20"/>
                <w:color w:val="auto"/>
              </w:rPr>
            </w:pPr>
            <w:r>
              <w:rPr>
                <w:rFonts w:ascii="Courier New" w:cs="Courier New" w:eastAsia="Courier New" w:hAnsi="Courier New"/>
                <w:sz w:val="15"/>
                <w:szCs w:val="15"/>
                <w:color w:val="auto"/>
                <w:w w:val="98"/>
              </w:rPr>
              <w:t>(IN THOUSANDS, EXCEPT PER SHARE AMOUNTS)</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8,803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$ 10,617</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7,104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$11,761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18,604</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17,130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14,730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8,344</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6,048</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(15,709)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(18,114)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18,291</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16,704</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15,430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12,799</w:t>
            </w:r>
          </w:p>
        </w:tc>
      </w:tr>
      <w:tr>
        <w:trPr>
          <w:trHeight w:val="1195"/>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31,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4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$ 17,386</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$ 29,050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$ 42,607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$44,192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15,781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32,866</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44,301</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58,397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56,808</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4,108</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8,223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5,249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5,583</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8,159</w:t>
            </w: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17,897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28,900</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34,747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45,391</w:t>
            </w:r>
          </w:p>
        </w:tc>
      </w:tr>
      <w:tr>
        <w:trPr>
          <w:trHeight w:val="683"/>
        </w:trPr>
        <w:tc>
          <w:tcPr>
            <w:tcW w:w="3980" w:type="dxa"/>
            <w:vAlign w:val="bottom"/>
          </w:tcPr>
          <w:p>
            <w:pPr>
              <w:ind w:left="3460"/>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22" w:name="page23"/>
    <w:bookmarkEnd w:id="22"/>
    <w:p>
      <w:pPr>
        <w:ind w:left="620" w:right="3299" w:hanging="620"/>
        <w:spacing w:after="0" w:line="238" w:lineRule="auto"/>
        <w:rPr>
          <w:sz w:val="20"/>
          <w:szCs w:val="20"/>
          <w:color w:val="auto"/>
        </w:rPr>
      </w:pPr>
      <w:r>
        <w:rPr>
          <w:rFonts w:ascii="Courier New" w:cs="Courier New" w:eastAsia="Courier New" w:hAnsi="Courier New"/>
          <w:sz w:val="15"/>
          <w:szCs w:val="15"/>
          <w:color w:val="auto"/>
        </w:rPr>
        <w:t>ITEM 7.MANAGEMENT'S DISCUSSION AND ANALYSIS OF FINANCIAL CONDITION AND RESULTS OF OPERATIONS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years ended December 31, 1999, 1998, and 1997 should be read in conjunction with our consolidated financial statements and their related footnotes.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development of the Company's stem cell programs, the Company's ability to sell, assign or sublease its interest in its facilities related to its encapsulated cell technology program,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technology, or ECT. Since that time, we terminated a clinical trial of the ECT then in progress, we wound down our other operations relating to the ECT, we terminated the employment of those who worked on the ECT, sold the ECT and we relocated from Rhode Island to Sunnyvale, California. Comparisons with last year's results are correspondingly less meaningful than they may be under other circumstances.</w:t>
      </w:r>
    </w:p>
    <w:p>
      <w:pPr>
        <w:spacing w:after="0" w:line="200" w:lineRule="exact"/>
        <w:rPr>
          <w:sz w:val="20"/>
          <w:szCs w:val="20"/>
          <w:color w:val="auto"/>
        </w:rPr>
      </w:pPr>
    </w:p>
    <w:p>
      <w:pPr>
        <w:spacing w:after="0" w:line="32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00" w:lineRule="exact"/>
        <w:rPr>
          <w:sz w:val="20"/>
          <w:szCs w:val="20"/>
          <w:color w:val="auto"/>
        </w:rPr>
      </w:pPr>
    </w:p>
    <w:p>
      <w:pPr>
        <w:spacing w:after="0" w:line="321"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140" w:gutter="0" w:footer="0" w:header="0"/>
        </w:sectPr>
      </w:pPr>
    </w:p>
    <w:bookmarkStart w:id="23" w:name="page24"/>
    <w:bookmarkEnd w:id="23"/>
    <w:p>
      <w:pPr>
        <w:ind w:right="3219"/>
        <w:spacing w:after="0" w:line="238" w:lineRule="auto"/>
        <w:rPr>
          <w:sz w:val="20"/>
          <w:szCs w:val="20"/>
          <w:color w:val="auto"/>
        </w:rPr>
      </w:pPr>
      <w:r>
        <w:rPr>
          <w:rFonts w:ascii="Courier New" w:cs="Courier New" w:eastAsia="Courier New" w:hAnsi="Courier New"/>
          <w:sz w:val="15"/>
          <w:szCs w:val="15"/>
          <w:color w:val="auto"/>
        </w:rPr>
        <w:t>research collaborations, in addition to the winding-down of terminated research and development programs referred to above.</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were earned primarily from a Development, Marketing and License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AstraZeneca Group plc, which we signed in March 1995.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in revenues from 1998 to 1999 resulted primarily from the June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AstraZeneca Agreement. 1997 revenues included a $3,000,000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payment from AstraZeneca related to the Phase II clinical trials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ECT product.</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technologies, which encompasses the technology acquired upon the acquisition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General and administrative expenses were $4,927,303 for the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compared with $4,603,000 in 1998 and $6,158,000 in 1997.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General and Administrative expenses were positively impacted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facility costs that were included in the wind-down ($239,000),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amortization of patents and intangible assets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$338,000, as well as reduced activities and related personnel costs estimated at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$500,000 that were not incurred. This was due to the wind-down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ECT programs and relocation of our headquarters in October 1999.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of $1,555,000, or 25%, from 1997 to 1998 was primarily attributable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reduction in legal fees, recruiting and relocation expenses, as well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employees.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other Rhode Island operations and the transfer of our corporate headquarters to Sunnyvale, California.</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estimate of the costs of settlement of a 1989 funding agreement with the Rhode Island Partnership for Science and Technology, $702,000 of estimated additional carrying costs through an expected June 30, 2000 disposition of the Rhode Island facilities, and other related expenses totaling $762,000.</w:t>
      </w:r>
    </w:p>
    <w:p>
      <w:pPr>
        <w:spacing w:after="0" w:line="200" w:lineRule="exact"/>
        <w:rPr>
          <w:sz w:val="20"/>
          <w:szCs w:val="20"/>
          <w:color w:val="auto"/>
        </w:rPr>
      </w:pPr>
    </w:p>
    <w:p>
      <w:pPr>
        <w:spacing w:after="0" w:line="31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457" w:gutter="0" w:footer="0" w:header="0"/>
        </w:sectPr>
      </w:pPr>
    </w:p>
    <w:bookmarkStart w:id="24" w:name="page25"/>
    <w:bookmarkEnd w:id="24"/>
    <w:p>
      <w:pPr>
        <w:ind w:right="3119" w:firstLine="355"/>
        <w:spacing w:after="0" w:line="271" w:lineRule="auto"/>
        <w:rPr>
          <w:sz w:val="20"/>
          <w:szCs w:val="20"/>
          <w:color w:val="auto"/>
        </w:rPr>
      </w:pPr>
      <w:r>
        <w:rPr>
          <w:rFonts w:ascii="Courier New" w:cs="Courier New" w:eastAsia="Courier New" w:hAnsi="Courier New"/>
          <w:sz w:val="14"/>
          <w:szCs w:val="14"/>
          <w:color w:val="auto"/>
        </w:rPr>
        <w:t>In October 1997, we recognized a gain in the amount of $3,387,000 related to the sale of 50 percent of the Company's interest in Modex Therapeutics, Ltd.</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1999, 1998 and 1997 was $15,709,000, $12,628,000,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$18,114,000, respectively. The loss per share was $0.84, $0.69 and $1.08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1998 and 1997, respectively. The increase from 1998 to 1999 is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elimination of revenue from the AstraZeneca agreement, which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terminated in June 1999, as well as expenses related to the wind-down of our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ECT research and our other Rhode Island operations, the transfer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headquarters to Sunnyvale, California and an accrual of approximately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$1,172,000 for our estimate of the costs of settlement of the funding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decrease from 1997 to 1998 was attributable to a one-time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$8,344,000 for acquired research and development related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StemCells California, Inc. offset by the $3,387,000 gain on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 sale of the Company's interest in Modex in 1997.</w:t>
      </w:r>
    </w:p>
    <w:p>
      <w:pPr>
        <w:spacing w:after="0" w:line="200" w:lineRule="exact"/>
        <w:rPr>
          <w:sz w:val="20"/>
          <w:szCs w:val="20"/>
          <w:color w:val="auto"/>
        </w:rPr>
      </w:pPr>
    </w:p>
    <w:p>
      <w:pPr>
        <w:spacing w:after="0" w:line="315" w:lineRule="exact"/>
        <w:rPr>
          <w:sz w:val="20"/>
          <w:szCs w:val="20"/>
          <w:color w:val="auto"/>
        </w:rPr>
      </w:pPr>
    </w:p>
    <w:p>
      <w:pPr>
        <w:jc w:val="both"/>
        <w:ind w:right="3399" w:firstLine="355"/>
        <w:spacing w:after="0" w:line="262"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200" w:lineRule="exact"/>
        <w:rPr>
          <w:sz w:val="20"/>
          <w:szCs w:val="20"/>
          <w:color w:val="auto"/>
        </w:rPr>
      </w:pPr>
    </w:p>
    <w:p>
      <w:pPr>
        <w:spacing w:after="0" w:line="302"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for the estimated lease payments and operating costs of the Rhode Island facilities through an expected disposal date of June 30, 2000.</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spacing w:after="0" w:line="318" w:lineRule="exact"/>
        <w:rPr>
          <w:sz w:val="20"/>
          <w:szCs w:val="20"/>
          <w:color w:val="auto"/>
        </w:rPr>
      </w:pPr>
    </w:p>
    <w:p>
      <w:pPr>
        <w:ind w:right="3119" w:firstLine="355"/>
        <w:spacing w:after="0" w:line="271" w:lineRule="auto"/>
        <w:rPr>
          <w:sz w:val="20"/>
          <w:szCs w:val="20"/>
          <w:color w:val="auto"/>
        </w:rPr>
      </w:pPr>
      <w:r>
        <w:rPr>
          <w:rFonts w:ascii="Courier New" w:cs="Courier New" w:eastAsia="Courier New" w:hAnsi="Courier New"/>
          <w:sz w:val="14"/>
          <w:szCs w:val="14"/>
          <w:color w:val="auto"/>
        </w:rPr>
        <w:t>We had unrestricted cash and cash equivalents totaling $4,760,000 at December 31, 1999. Cash and cash equivalents are invested in money market funds.</w:t>
      </w:r>
    </w:p>
    <w:p>
      <w:pPr>
        <w:spacing w:after="0" w:line="200" w:lineRule="exact"/>
        <w:rPr>
          <w:sz w:val="20"/>
          <w:szCs w:val="20"/>
          <w:color w:val="auto"/>
        </w:rPr>
      </w:pPr>
    </w:p>
    <w:p>
      <w:pPr>
        <w:spacing w:after="0" w:line="295"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We also hold 126,193 shares of Modex stock, which is publicly traded on the Swiss Neue Market exchange. While our Modex stock had an estimated fair market value of $27,204,333 on September 30, 2000 (and $23,128,598 on October 31,</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 Modex stock, and if we were to attempt to sell any significant portion of our Modex holdings, we would likely be able to do so only at a significant discount to the then market price, if at all.</w:t>
      </w:r>
    </w:p>
    <w:p>
      <w:pPr>
        <w:spacing w:after="0" w:line="200" w:lineRule="exact"/>
        <w:rPr>
          <w:sz w:val="20"/>
          <w:szCs w:val="20"/>
          <w:color w:val="auto"/>
        </w:rPr>
      </w:pPr>
    </w:p>
    <w:p>
      <w:pPr>
        <w:spacing w:after="0" w:line="319"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technologies.</w:t>
      </w:r>
    </w:p>
    <w:p>
      <w:pPr>
        <w:spacing w:after="0" w:line="200" w:lineRule="exact"/>
        <w:rPr>
          <w:sz w:val="20"/>
          <w:szCs w:val="20"/>
          <w:color w:val="auto"/>
        </w:rPr>
      </w:pPr>
    </w:p>
    <w:p>
      <w:pPr>
        <w:spacing w:after="0" w:line="302"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we incurred under the plan. Subject to the successful development of such products and obtaining necessary regulatory approvals, AstraZeneca was obligated to conduct all clinical trials of products arising from the collaboration and to</w:t>
      </w:r>
    </w:p>
    <w:p>
      <w:pPr>
        <w:spacing w:after="0" w:line="200" w:lineRule="exact"/>
        <w:rPr>
          <w:sz w:val="20"/>
          <w:szCs w:val="20"/>
          <w:color w:val="auto"/>
        </w:rPr>
      </w:pPr>
    </w:p>
    <w:p>
      <w:pPr>
        <w:spacing w:after="0" w:line="30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286"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their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16 --"Research Agreements" to the Accompanying Consolidated Financial Statements.)</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of our platform of proprietary stem cell technologies.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in wind-down expenses including employee separation and relocation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200" w:lineRule="exact"/>
        <w:rPr>
          <w:sz w:val="20"/>
          <w:szCs w:val="20"/>
          <w:color w:val="auto"/>
        </w:rPr>
      </w:pPr>
    </w:p>
    <w:p>
      <w:pPr>
        <w:spacing w:after="0" w:line="315"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200" w:lineRule="exact"/>
        <w:rPr>
          <w:sz w:val="20"/>
          <w:szCs w:val="20"/>
          <w:color w:val="auto"/>
        </w:rPr>
      </w:pPr>
    </w:p>
    <w:p>
      <w:pPr>
        <w:spacing w:after="0" w:line="30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believed we were not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certain shares of our redeemable common stock held by Genentech for approximately $3,100,000. Genentech's claim was based on provisions in the agreement requiring us to redeem, at the price of $10.01 per share, the shares representing the difference between the funds invested by Genentech to acquire such stock, and the amount expended by us on the terminated program less an</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6" w:name="page27"/>
    <w:bookmarkEnd w:id="26"/>
    <w:p>
      <w:pPr>
        <w:ind w:right="3119"/>
        <w:spacing w:after="0"/>
        <w:rPr>
          <w:sz w:val="20"/>
          <w:szCs w:val="20"/>
          <w:color w:val="auto"/>
        </w:rPr>
      </w:pPr>
      <w:r>
        <w:rPr>
          <w:rFonts w:ascii="Courier New" w:cs="Courier New" w:eastAsia="Courier New" w:hAnsi="Courier New"/>
          <w:sz w:val="15"/>
          <w:szCs w:val="15"/>
          <w:color w:val="auto"/>
        </w:rPr>
        <w:t>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the Company's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bank to retire this loan facility rather than seek a waiver by the bank of our violation of a loan covenant requiring us to maintain unrestricted liquidity in an amount equal to or in excess of $10 million.</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200" w:lineRule="exact"/>
        <w:rPr>
          <w:sz w:val="20"/>
          <w:szCs w:val="20"/>
          <w:color w:val="auto"/>
        </w:rPr>
      </w:pPr>
    </w:p>
    <w:p>
      <w:pPr>
        <w:spacing w:after="0" w:line="319"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April 13, 2000 we sold 1,500 shares of our 6% cumulative convertible preferred stock plus a warrant for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expires on April 13, 2005.</w:t>
      </w:r>
    </w:p>
    <w:p>
      <w:pPr>
        <w:spacing w:after="0" w:line="200" w:lineRule="exact"/>
        <w:rPr>
          <w:sz w:val="20"/>
          <w:szCs w:val="20"/>
          <w:color w:val="auto"/>
        </w:rPr>
      </w:pPr>
    </w:p>
    <w:p>
      <w:pPr>
        <w:spacing w:after="0" w:line="31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addition, the Fund has the option for twelve months to purchase up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million of additional common stock. On August 23, 2000 the Fund exercised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 of its option to purchase additional common stock at $5.53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paid $750,000 of the purchase price in connection with the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7" w:name="page28"/>
    <w:bookmarkEnd w:id="27"/>
    <w:p>
      <w:pPr>
        <w:ind w:right="3119"/>
        <w:spacing w:after="0" w:line="260" w:lineRule="auto"/>
        <w:rPr>
          <w:sz w:val="20"/>
          <w:szCs w:val="20"/>
          <w:color w:val="auto"/>
        </w:rPr>
      </w:pPr>
      <w:r>
        <w:rPr>
          <w:rFonts w:ascii="Courier New" w:cs="Courier New" w:eastAsia="Courier New" w:hAnsi="Courier New"/>
          <w:sz w:val="14"/>
          <w:szCs w:val="14"/>
          <w:color w:val="auto"/>
        </w:rPr>
        <w:t>closing on August 30, 2000, and will pay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200" w:lineRule="exact"/>
        <w:rPr>
          <w:sz w:val="20"/>
          <w:szCs w:val="20"/>
          <w:color w:val="auto"/>
        </w:rPr>
      </w:pPr>
    </w:p>
    <w:p>
      <w:pPr>
        <w:spacing w:after="0" w:line="30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adverse effect on the Company's liquidity and capital resources. Until our operations generate significant revenues from product sales, we must rely on cash reserves and proceeds from equity and debt offerings, proceeds from the transfer or sale of our intellectual property rights, equipment or facilities, government grants and funding from collaborative arrangements, if obtainable, to fund our operations.</w:t>
      </w:r>
    </w:p>
    <w:p>
      <w:pPr>
        <w:spacing w:after="0" w:line="200" w:lineRule="exact"/>
        <w:rPr>
          <w:sz w:val="20"/>
          <w:szCs w:val="20"/>
          <w:color w:val="auto"/>
        </w:rPr>
      </w:pPr>
    </w:p>
    <w:p>
      <w:pPr>
        <w:spacing w:after="0" w:line="30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the Company.</w:t>
      </w:r>
    </w:p>
    <w:p>
      <w:pPr>
        <w:spacing w:after="0" w:line="200" w:lineRule="exact"/>
        <w:rPr>
          <w:sz w:val="20"/>
          <w:szCs w:val="20"/>
          <w:color w:val="auto"/>
        </w:rPr>
      </w:pPr>
    </w:p>
    <w:p>
      <w:pPr>
        <w:spacing w:after="0" w:line="30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200" w:lineRule="exact"/>
        <w:rPr>
          <w:sz w:val="20"/>
          <w:szCs w:val="20"/>
          <w:color w:val="auto"/>
        </w:rPr>
      </w:pPr>
    </w:p>
    <w:p>
      <w:pPr>
        <w:spacing w:after="0" w:line="31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tested its material software applications to determine whether each program was prepared to accommodate date information for the year 2000 and beyond, and found them to be year 2000 compliant. The Company also tested the status of its facilities systems such as phones, voice mail, heating/ air conditioning, electricity and security systems and its laboratory and manufacturing equipment, and polled its major suppliers and vendors, to determine if they are year 2000 compliant, again without identifying any problems. Company has not to date encountered any significant year 2000 problems, but is continuing to monitor for potential issues. The costs of testing and monitoring have been and are expected to continue to be immaterial to the Company's operating results, but there can be no assurance that no problem will reveal itself in the future, or that if a problem does occur it will not have an adverse effect on the Company's operations or financial results.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200" w:lineRule="exact"/>
        <w:rPr>
          <w:sz w:val="20"/>
          <w:szCs w:val="20"/>
          <w:color w:val="auto"/>
        </w:rPr>
      </w:pPr>
    </w:p>
    <w:p>
      <w:pPr>
        <w:spacing w:after="0" w:line="31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As of the year ended December 31, 1999, the Company did not maintain any investments that were exposed to market risk from changes in interest rates or the fair market value of such investments. Interest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28" w:name="page29"/>
    <w:bookmarkEnd w:id="28"/>
    <w:p>
      <w:pPr>
        <w:ind w:left="9" w:right="3299"/>
        <w:spacing w:after="0" w:line="239" w:lineRule="auto"/>
        <w:rPr>
          <w:sz w:val="20"/>
          <w:szCs w:val="20"/>
          <w:color w:val="auto"/>
        </w:rPr>
      </w:pPr>
      <w:r>
        <w:rPr>
          <w:rFonts w:ascii="Courier New" w:cs="Courier New" w:eastAsia="Courier New" w:hAnsi="Courier New"/>
          <w:sz w:val="15"/>
          <w:szCs w:val="15"/>
          <w:color w:val="auto"/>
        </w:rPr>
        <w:t>rate risk with respect to the Company's short and long-term debt is considered to be immaterial. As of the year ended December 31, 1999, the Company did not maintain any hedge positions.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Our investment in 126,193 shares of Modex Therapeutics Ltd. Stock was not exposed to market risk as of December 31, 1999, however Modex shares were offered in an IPO on the Swiss Neue Market on June 23, 2000 at a price of 168.00 Swiss francs. At June 30, 2000 our shares were valued at $19,220,165, based on the per share price of $152.31 which we converted from the market price of</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247.50 Swiss francs on June 30, 2000. The market price of the Modex stock on October 31, 2000 was 329.50 Swiss francs, which converts to $183.28 using exchange rates on that date, which represents an estimated fair market value of $23,128,598 for our holdings. Our value in this investment is subject to both equity price risk and foreign currency exchange risk. From the date of the Modex IPO to the date hereof, the Modex closing share price has fluctuated from a low of 200.00 Swiss francs on June 23, 2000 to a high of 390.00 Swiss francs on October 6, 2000. If we were to seek to liquidate all or part of our investment in Modex, our proceeds would depend on the share price and foreign currency exchange rates at the time of conversion. Additionally, if we sell a sizable portion of our holdings, we may have to sell these shares at a discount to market price. We are restricted from any sale of our shares in Modex until December 23, 2000.</w:t>
      </w:r>
    </w:p>
    <w:p>
      <w:pPr>
        <w:spacing w:after="0" w:line="200" w:lineRule="exact"/>
        <w:rPr>
          <w:sz w:val="20"/>
          <w:szCs w:val="20"/>
          <w:color w:val="auto"/>
        </w:rPr>
      </w:pPr>
    </w:p>
    <w:p>
      <w:pPr>
        <w:spacing w:after="0" w:line="31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ectPr>
          <w:pgSz w:w="11900" w:h="16838" w:orient="portrait"/>
          <w:cols w:equalWidth="0" w:num="1">
            <w:col w:w="10228"/>
          </w:cols>
          <w:pgMar w:left="231"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NO.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VALUE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EXPECTED</w:t>
      </w:r>
    </w:p>
    <w:p>
      <w:pPr>
        <w:spacing w:after="0" w:line="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FUTURE</w:t>
      </w:r>
    </w:p>
    <w:p>
      <w:pPr>
        <w:spacing w:after="0" w:line="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4"/>
          <w:szCs w:val="14"/>
          <w:color w:val="auto"/>
        </w:rPr>
        <w:t>CASH FLOWS</w:t>
      </w:r>
    </w:p>
    <w:p>
      <w:pPr>
        <w:spacing w:after="0" w:line="179" w:lineRule="exact"/>
        <w:rPr>
          <w:sz w:val="20"/>
          <w:szCs w:val="20"/>
          <w:color w:val="auto"/>
        </w:rPr>
      </w:pPr>
    </w:p>
    <w:p>
      <w:pPr>
        <w:sectPr>
          <w:pgSz w:w="11900" w:h="16838" w:orient="portrait"/>
          <w:cols w:equalWidth="0" w:num="5">
            <w:col w:w="1509" w:space="540"/>
            <w:col w:w="1140" w:space="720"/>
            <w:col w:w="880" w:space="620"/>
            <w:col w:w="1060" w:space="640"/>
            <w:col w:w="3119"/>
          </w:cols>
          <w:pgMar w:left="231" w:top="631" w:right="1440" w:bottom="1440" w:gutter="0" w:footer="0" w:header="0"/>
          <w:type w:val="continuous"/>
        </w:sectPr>
      </w:pPr>
    </w:p>
    <w:p>
      <w:pPr>
        <w:spacing w:after="0" w:line="3"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123,193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Modex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ectPr>
          <w:pgSz w:w="11900" w:h="16838" w:orient="portrait"/>
          <w:cols w:equalWidth="0" w:num="5">
            <w:col w:w="1589" w:space="720"/>
            <w:col w:w="600" w:space="720"/>
            <w:col w:w="1260" w:space="520"/>
            <w:col w:w="1320" w:space="720"/>
            <w:col w:w="2779"/>
          </w:cols>
          <w:pgMar w:left="231" w:top="631" w:right="1440" w:bottom="1440" w:gutter="0" w:footer="0" w:header="0"/>
          <w:type w:val="continuous"/>
        </w:sectPr>
      </w:pPr>
    </w:p>
    <w:p>
      <w:pPr>
        <w:spacing w:after="0" w:line="2"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Currency</w:t>
      </w:r>
    </w:p>
    <w:p>
      <w:pPr>
        <w:spacing w:after="0" w:line="3" w:lineRule="exact"/>
        <w:rPr>
          <w:sz w:val="20"/>
          <w:szCs w:val="20"/>
          <w:color w:val="auto"/>
        </w:rPr>
      </w:pPr>
    </w:p>
    <w:p>
      <w:pPr>
        <w:sectPr>
          <w:pgSz w:w="11900" w:h="16838" w:orient="portrait"/>
          <w:cols w:equalWidth="0" w:num="2">
            <w:col w:w="3009" w:space="620"/>
            <w:col w:w="6599"/>
          </w:cols>
          <w:pgMar w:left="231" w:top="631" w:right="1440" w:bottom="1440" w:gutter="0" w:footer="0" w:header="0"/>
          <w:type w:val="continuous"/>
        </w:sectPr>
      </w:pPr>
    </w:p>
    <w:p>
      <w:pPr>
        <w:ind w:left="3629"/>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0228"/>
          </w:cols>
          <w:pgMar w:left="231" w:top="631"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119"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has not formally adopted a liquidation plan for this investment, liquidation may be necessary to meet operating cash flow requirements. Under the agreement with Modex, the company is restricted from selling its holding through December 23, 2000.</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631"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conducted our audits in accordance with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7" w:right="1440" w:bottom="1440" w:gutter="0" w:footer="0" w:header="0"/>
        </w:sectPr>
      </w:pPr>
    </w:p>
    <w:bookmarkStart w:id="30" w:name="page31"/>
    <w:bookmarkEnd w:id="30"/>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9,520,939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841,674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18,434,010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8,356,009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710,622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317,083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5,547,824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222,673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122,861,606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17,897,408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8" w:right="1440" w:bottom="1440" w:gutter="0" w:footer="0" w:header="0"/>
        </w:sectPr>
      </w:pPr>
    </w:p>
    <w:bookmarkStart w:id="31" w:name="page32"/>
    <w:bookmarkEnd w:id="3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$ 10,617,443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18,603,523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6,158,410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33,105,617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1,931,260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4,374,594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16,704,144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8" w:right="1440" w:bottom="1440" w:gutter="0" w:footer="0" w:header="0"/>
        </w:sectPr>
      </w:pPr>
    </w:p>
    <w:bookmarkStart w:id="32" w:name="page33"/>
    <w:bookmarkEnd w:id="32"/>
    <w:p>
      <w:pPr>
        <w:jc w:val="center"/>
        <w:ind w:right="36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(FORMERLY CYTOTHERAPEUTICS, INC.)</w:t>
      </w:r>
    </w:p>
    <w:p>
      <w:pPr>
        <w:spacing w:after="0" w:line="3"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EQUITY (CONTINUED)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53"/>
        </w:trPr>
        <w:tc>
          <w:tcPr>
            <w:tcW w:w="3620" w:type="dxa"/>
            <w:vAlign w:val="bottom"/>
          </w:tcPr>
          <w:p>
            <w:pPr>
              <w:spacing w:after="0"/>
              <w:rPr>
                <w:sz w:val="24"/>
                <w:szCs w:val="2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REDEEMABLE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4"/>
                <w:szCs w:val="14"/>
                <w:color w:val="auto"/>
              </w:rPr>
            </w:pPr>
          </w:p>
        </w:tc>
        <w:tc>
          <w:tcPr>
            <w:tcW w:w="16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3620" w:type="dxa"/>
            <w:vAlign w:val="bottom"/>
          </w:tcPr>
          <w:p>
            <w:pPr>
              <w:spacing w:after="0"/>
              <w:rPr>
                <w:sz w:val="14"/>
                <w:szCs w:val="14"/>
                <w:color w:val="auto"/>
              </w:rPr>
            </w:pP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w:t>
            </w:r>
          </w:p>
        </w:tc>
        <w:tc>
          <w:tcPr>
            <w:tcW w:w="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SHARES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DEFICIT</w:t>
            </w:r>
          </w:p>
        </w:tc>
      </w:tr>
      <w:tr>
        <w:trPr>
          <w:trHeight w:val="171"/>
        </w:trPr>
        <w:tc>
          <w:tcPr>
            <w:tcW w:w="36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1996.............</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815,065</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$ 8,158,798</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15,614,333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$107,649,659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(72,922,674)</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307,548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1,552,432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 under the stock</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purchase plan.........................</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180,103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connection with the granting of stock</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1,750,000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Common stock issued pursuant to employee</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benefit plan..........................</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169,196</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Issuance of common stock--StemCells.....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1,219,381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7,381,206</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(2,575,688)</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2,573,115</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244,427</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(27,294)</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557,754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$ 5,583,110</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17,526,220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$121,472,844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(91,036,254)</w:t>
            </w:r>
          </w:p>
        </w:tc>
      </w:tr>
      <w:tr>
        <w:trPr>
          <w:trHeight w:val="512"/>
        </w:trPr>
        <w:tc>
          <w:tcPr>
            <w:tcW w:w="3620" w:type="dxa"/>
            <w:vAlign w:val="bottom"/>
          </w:tcPr>
          <w:p>
            <w:pPr>
              <w:spacing w:after="0"/>
              <w:rPr>
                <w:sz w:val="24"/>
                <w:szCs w:val="24"/>
                <w:color w:val="auto"/>
              </w:rPr>
            </w:pPr>
          </w:p>
        </w:tc>
        <w:tc>
          <w:tcPr>
            <w:tcW w:w="22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OTHER COMPREHENSIVE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INCOME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UNREALIZED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GAINS</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(LOSSES)</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CUMULATIVE</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ON MARKETABLE   TRANSLATION</w:t>
            </w:r>
          </w:p>
        </w:tc>
        <w:tc>
          <w:tcPr>
            <w:tcW w:w="16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DEFERRED</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w w:val="97"/>
              </w:rPr>
              <w:t>STOCKHOLDERS'</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SECURITIES</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EQUITY</w:t>
            </w:r>
          </w:p>
        </w:tc>
        <w:tc>
          <w:tcPr>
            <w:tcW w:w="13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w w:val="82"/>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Balances, December 31, 1996.............</w:t>
            </w:r>
          </w:p>
        </w:tc>
        <w:tc>
          <w:tcPr>
            <w:tcW w:w="10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$ 14,760</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$(60,416)</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(90,118)</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$ 34,747,355</w:t>
            </w:r>
          </w:p>
        </w:tc>
        <w:tc>
          <w:tcPr>
            <w:tcW w:w="134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1,555,506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purchase plan.........................</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180,422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connection with the granting of stock</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Common stock issued pursuant to employee</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benefit plan..........................</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169,452</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Issuance of common stock--StemCells.....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7,393,400</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Redeemable common stock lapses..........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2,575,688</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Exercise of stock options...............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cancellations.........................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137,298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marketable securities.................</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(23,637)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(23,637)</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60,416</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60,416</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loss................................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Comprehensive loss......................</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(18,076,081)</w:t>
            </w:r>
          </w:p>
        </w:tc>
      </w:tr>
      <w:tr>
        <w:trPr>
          <w:trHeight w:val="171"/>
        </w:trPr>
        <w:tc>
          <w:tcPr>
            <w:tcW w:w="372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Balances, December 31, 1997.............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(8,877)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$(1,702,820)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$ 28,900,155</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640"/>
          </w:cols>
          <w:pgMar w:left="240" w:top="628" w:right="1019" w:bottom="1440" w:gutter="0" w:footer="0" w:header="0"/>
        </w:sectPr>
      </w:pPr>
    </w:p>
    <w:bookmarkStart w:id="33" w:name="page34"/>
    <w:bookmarkEnd w:id="33"/>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(FORMERLY CYTOTHERAPEUTICS,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EQUITY (CONTINUED)</w:t>
      </w:r>
    </w:p>
    <w:p>
      <w:pPr>
        <w:sectPr>
          <w:pgSz w:w="11900" w:h="16838" w:orient="portrait"/>
          <w:cols w:equalWidth="0" w:num="1">
            <w:col w:w="11520"/>
          </w:cols>
          <w:pgMar w:left="240" w:top="62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REDEEMABLE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44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28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55"/>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ACCUMULATED DEFICIT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MARKETABLE</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5">
            <w:col w:w="5220" w:space="280"/>
            <w:col w:w="1860" w:space="260"/>
            <w:col w:w="1060" w:space="280"/>
            <w:col w:w="1140" w:space="280"/>
            <w:col w:w="11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43,542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436</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83,622</w:t>
      </w:r>
    </w:p>
    <w:p>
      <w:pPr>
        <w:spacing w:after="0" w:line="11" w:lineRule="exact"/>
        <w:rPr>
          <w:sz w:val="20"/>
          <w:szCs w:val="20"/>
          <w:color w:val="auto"/>
        </w:rPr>
      </w:pPr>
    </w:p>
    <w:p>
      <w:pPr>
        <w:sectPr>
          <w:pgSz w:w="11900" w:h="16838" w:orient="portrait"/>
          <w:cols w:equalWidth="0" w:num="7">
            <w:col w:w="3100" w:space="700"/>
            <w:col w:w="520" w:space="720"/>
            <w:col w:w="180" w:space="620"/>
            <w:col w:w="540" w:space="260"/>
            <w:col w:w="100" w:space="360"/>
            <w:col w:w="620" w:space="440"/>
            <w:col w:w="3360"/>
          </w:cols>
          <w:pgMar w:left="240" w:top="628"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628"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7">
            <w:col w:w="3100" w:space="700"/>
            <w:col w:w="520" w:space="720"/>
            <w:col w:w="440" w:space="720"/>
            <w:col w:w="1600" w:space="720"/>
            <w:col w:w="70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84,812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848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700"/>
            <w:col w:w="520" w:space="720"/>
            <w:col w:w="180" w:space="620"/>
            <w:col w:w="540" w:space="720"/>
            <w:col w:w="260" w:space="70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(33,417)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(334,500)</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101,320</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33,417</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1,013</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334</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505,587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334,166</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260"/>
            <w:col w:w="720" w:space="440"/>
            <w:col w:w="800" w:space="440"/>
            <w:col w:w="620" w:space="540"/>
            <w:col w:w="440" w:space="70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321,108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8">
            <w:col w:w="3100" w:space="700"/>
            <w:col w:w="520" w:space="720"/>
            <w:col w:w="440" w:space="720"/>
            <w:col w:w="260" w:space="720"/>
            <w:col w:w="180" w:space="70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(12,627,830)</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3,679</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7">
            <w:col w:w="3100" w:space="700"/>
            <w:col w:w="520" w:space="720"/>
            <w:col w:w="440" w:space="720"/>
            <w:col w:w="260" w:space="720"/>
            <w:col w:w="620" w:space="720"/>
            <w:col w:w="1680" w:space="620"/>
            <w:col w:w="70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loss.................</w:t>
      </w:r>
    </w:p>
    <w:p>
      <w:pPr>
        <w:sectPr>
          <w:pgSz w:w="11900" w:h="16838" w:orient="portrait"/>
          <w:cols w:equalWidth="0" w:num="1">
            <w:col w:w="11520"/>
          </w:cols>
          <w:pgMar w:left="240" w:top="628"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1998........</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-------- 524,337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$ 5,248,610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---------- 17,800,323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$178,003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$122,861,606 ============</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Courier New" w:cs="Courier New" w:eastAsia="Courier New" w:hAnsi="Courier New"/>
          <w:sz w:val="14"/>
          <w:szCs w:val="14"/>
          <w:color w:val="auto"/>
        </w:rPr>
        <w:t>------------- $(103,664,084) =============</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Courier New" w:cs="Courier New" w:eastAsia="Courier New" w:hAnsi="Courier New"/>
          <w:sz w:val="14"/>
          <w:szCs w:val="14"/>
          <w:color w:val="auto"/>
        </w:rPr>
        <w:t>-------- $ (5,198) ========</w:t>
      </w:r>
    </w:p>
    <w:p>
      <w:pPr>
        <w:spacing w:after="0" w:line="200" w:lineRule="exact"/>
        <w:rPr>
          <w:sz w:val="20"/>
          <w:szCs w:val="20"/>
          <w:color w:val="auto"/>
        </w:rPr>
      </w:pPr>
    </w:p>
    <w:p>
      <w:pPr>
        <w:sectPr>
          <w:pgSz w:w="11900" w:h="16838" w:orient="portrait"/>
          <w:cols w:equalWidth="0" w:num="8">
            <w:col w:w="3100" w:space="180"/>
            <w:col w:w="700" w:space="280"/>
            <w:col w:w="960" w:space="280"/>
            <w:col w:w="880" w:space="260"/>
            <w:col w:w="720" w:space="260"/>
            <w:col w:w="1060" w:space="280"/>
            <w:col w:w="1240" w:space="360"/>
            <w:col w:w="960"/>
          </w:cols>
          <w:pgMar w:left="240" w:top="628" w:right="1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420" w:space="280"/>
            <w:col w:w="682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3440" w:space="720"/>
            <w:col w:w="700" w:space="720"/>
            <w:col w:w="59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84,058</w:t>
      </w:r>
    </w:p>
    <w:p>
      <w:pPr>
        <w:spacing w:after="0" w:line="3" w:lineRule="exact"/>
        <w:rPr>
          <w:sz w:val="20"/>
          <w:szCs w:val="20"/>
          <w:color w:val="auto"/>
        </w:rPr>
      </w:pPr>
    </w:p>
    <w:p>
      <w:pPr>
        <w:sectPr>
          <w:pgSz w:w="11900" w:h="16838" w:orient="portrait"/>
          <w:cols w:equalWidth="0" w:num="3">
            <w:col w:w="3980" w:space="720"/>
            <w:col w:w="80" w:space="440"/>
            <w:col w:w="6300"/>
          </w:cols>
          <w:pgMar w:left="240" w:top="628"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628"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3440" w:space="720"/>
            <w:col w:w="736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143,873</w:t>
      </w:r>
    </w:p>
    <w:p>
      <w:pPr>
        <w:spacing w:after="0" w:line="12" w:lineRule="exact"/>
        <w:rPr>
          <w:sz w:val="20"/>
          <w:szCs w:val="20"/>
          <w:color w:val="auto"/>
        </w:rPr>
      </w:pPr>
    </w:p>
    <w:p>
      <w:pPr>
        <w:sectPr>
          <w:pgSz w:w="11900" w:h="16838" w:orient="portrait"/>
          <w:cols w:equalWidth="0" w:num="3">
            <w:col w:w="3440" w:space="720"/>
            <w:col w:w="26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5760"/>
        <w:spacing w:after="0"/>
        <w:rPr>
          <w:sz w:val="20"/>
          <w:szCs w:val="20"/>
          <w:color w:val="auto"/>
        </w:rPr>
      </w:pPr>
      <w:r>
        <w:rPr>
          <w:rFonts w:ascii="Courier New" w:cs="Courier New" w:eastAsia="Courier New" w:hAnsi="Courier New"/>
          <w:sz w:val="14"/>
          <w:szCs w:val="14"/>
          <w:color w:val="auto"/>
        </w:rPr>
        <w:t>506,600</w:t>
      </w:r>
    </w:p>
    <w:p>
      <w:pPr>
        <w:spacing w:after="0" w:line="12" w:lineRule="exact"/>
        <w:rPr>
          <w:sz w:val="20"/>
          <w:szCs w:val="20"/>
          <w:color w:val="auto"/>
        </w:rPr>
      </w:pPr>
    </w:p>
    <w:p>
      <w:pPr>
        <w:jc w:val="right"/>
        <w:ind w:right="5760"/>
        <w:spacing w:after="0"/>
        <w:rPr>
          <w:sz w:val="20"/>
          <w:szCs w:val="20"/>
          <w:color w:val="auto"/>
        </w:rPr>
      </w:pPr>
      <w:r>
        <w:rPr>
          <w:rFonts w:ascii="Courier New" w:cs="Courier New" w:eastAsia="Courier New" w:hAnsi="Courier New"/>
          <w:sz w:val="14"/>
          <w:szCs w:val="14"/>
          <w:color w:val="auto"/>
        </w:rPr>
        <w:t>334,500</w:t>
      </w:r>
    </w:p>
    <w:p>
      <w:pPr>
        <w:spacing w:after="0" w:line="9" w:lineRule="exact"/>
        <w:rPr>
          <w:sz w:val="20"/>
          <w:szCs w:val="20"/>
          <w:color w:val="auto"/>
        </w:rPr>
      </w:pPr>
    </w:p>
    <w:p>
      <w:pPr>
        <w:jc w:val="right"/>
        <w:ind w:right="5760"/>
        <w:spacing w:after="0"/>
        <w:rPr>
          <w:sz w:val="20"/>
          <w:szCs w:val="20"/>
          <w:color w:val="auto"/>
        </w:rPr>
      </w:pPr>
      <w:r>
        <w:rPr>
          <w:rFonts w:ascii="Courier New" w:cs="Courier New" w:eastAsia="Courier New" w:hAnsi="Courier New"/>
          <w:sz w:val="15"/>
          <w:szCs w:val="15"/>
          <w:color w:val="auto"/>
        </w:rPr>
        <w:t>1,364</w:t>
      </w:r>
    </w:p>
    <w:p>
      <w:pPr>
        <w:spacing w:after="0" w:line="3" w:lineRule="exact"/>
        <w:rPr>
          <w:sz w:val="20"/>
          <w:szCs w:val="20"/>
          <w:color w:val="auto"/>
        </w:rPr>
      </w:pPr>
    </w:p>
    <w:p>
      <w:pPr>
        <w:sectPr>
          <w:pgSz w:w="11900" w:h="16838" w:orient="portrait"/>
          <w:cols w:equalWidth="0" w:num="3">
            <w:col w:w="3440" w:space="720"/>
            <w:col w:w="26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229,901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551,009</w:t>
      </w:r>
    </w:p>
    <w:p>
      <w:pPr>
        <w:spacing w:after="0" w:line="12" w:lineRule="exact"/>
        <w:rPr>
          <w:sz w:val="20"/>
          <w:szCs w:val="20"/>
          <w:color w:val="auto"/>
        </w:rPr>
      </w:pPr>
    </w:p>
    <w:p>
      <w:pPr>
        <w:sectPr>
          <w:pgSz w:w="11900" w:h="16838" w:orient="portrait"/>
          <w:cols w:equalWidth="0" w:num="3">
            <w:col w:w="3100" w:space="620"/>
            <w:col w:w="70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1998........</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$(1,472,919)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3,679</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(12,627,830)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(12,624,151)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$ 17,897,408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100" w:space="260"/>
            <w:col w:w="1060" w:space="280"/>
            <w:col w:w="6820"/>
          </w:cols>
          <w:pgMar w:left="240" w:top="628" w:right="139"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1520"/>
          </w:cols>
          <w:pgMar w:left="240" w:top="628" w:right="139" w:bottom="1440" w:gutter="0" w:footer="0" w:header="0"/>
          <w:type w:val="continuous"/>
        </w:sectPr>
      </w:pPr>
    </w:p>
    <w:bookmarkStart w:id="34" w:name="page35"/>
    <w:bookmarkEnd w:id="34"/>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(FORMERLY, CYTOTHERAPEUTICS,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EQUITY (CONTINUED)</w:t>
      </w:r>
    </w:p>
    <w:p>
      <w:pPr>
        <w:sectPr>
          <w:pgSz w:w="11900" w:h="16838" w:orient="portrait"/>
          <w:cols w:equalWidth="0" w:num="1">
            <w:col w:w="11520"/>
          </w:cols>
          <w:pgMar w:left="240" w:top="62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REDEEMABLE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44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28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55"/>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ACCUMULATED DEFICIT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MARKETABLE</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5">
            <w:col w:w="5220" w:space="280"/>
            <w:col w:w="1860" w:space="260"/>
            <w:col w:w="1060" w:space="280"/>
            <w:col w:w="1140" w:space="280"/>
            <w:col w:w="1140"/>
          </w:cols>
          <w:pgMar w:left="240" w:top="628" w:right="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196,213</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1,962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318,221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9">
            <w:col w:w="3100" w:space="700"/>
            <w:col w:w="520" w:space="720"/>
            <w:col w:w="180" w:space="540"/>
            <w:col w:w="620" w:space="260"/>
            <w:col w:w="720" w:space="260"/>
            <w:col w:w="100" w:space="34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41,619</w:t>
      </w:r>
    </w:p>
    <w:p>
      <w:pPr>
        <w:spacing w:after="0" w:line="11" w:lineRule="exact"/>
        <w:rPr>
          <w:sz w:val="20"/>
          <w:szCs w:val="20"/>
          <w:color w:val="auto"/>
        </w:rPr>
      </w:pPr>
    </w:p>
    <w:p>
      <w:pPr>
        <w:sectPr>
          <w:pgSz w:w="11900" w:h="16838" w:orient="portrait"/>
          <w:cols w:equalWidth="0" w:num="6">
            <w:col w:w="3100" w:space="700"/>
            <w:col w:w="520" w:space="720"/>
            <w:col w:w="180" w:space="620"/>
            <w:col w:w="540" w:space="720"/>
            <w:col w:w="340" w:space="720"/>
            <w:col w:w="3360"/>
          </w:cols>
          <w:pgMar w:left="240" w:top="628"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628"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90,798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102,502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3100" w:space="700"/>
            <w:col w:w="520" w:space="720"/>
            <w:col w:w="180" w:space="620"/>
            <w:col w:w="540" w:space="720"/>
            <w:col w:w="260" w:space="70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440" w:space="720"/>
            <w:col w:w="260" w:space="720"/>
            <w:col w:w="620" w:space="720"/>
            <w:col w:w="70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 stock lapses.....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5">
            <w:col w:w="3100" w:space="700"/>
            <w:col w:w="520" w:space="720"/>
            <w:col w:w="440" w:space="720"/>
            <w:col w:w="260" w:space="720"/>
            <w:col w:w="43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490,833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513,534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3100" w:space="700"/>
            <w:col w:w="520" w:space="720"/>
            <w:col w:w="180" w:space="540"/>
            <w:col w:w="620" w:space="540"/>
            <w:col w:w="440" w:space="700"/>
            <w:col w:w="11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80,276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8">
            <w:col w:w="3100" w:space="700"/>
            <w:col w:w="520" w:space="720"/>
            <w:col w:w="440" w:space="720"/>
            <w:col w:w="260" w:space="720"/>
            <w:col w:w="260" w:space="720"/>
            <w:col w:w="1060" w:space="720"/>
            <w:col w:w="420" w:space="720"/>
            <w:col w:w="4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(15,708,626)</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4"/>
          <w:szCs w:val="14"/>
          <w:color w:val="auto"/>
        </w:rPr>
        <w:t>5,198</w:t>
      </w:r>
    </w:p>
    <w:p>
      <w:pPr>
        <w:spacing w:after="0" w:line="9"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7">
            <w:col w:w="3100" w:space="700"/>
            <w:col w:w="520" w:space="720"/>
            <w:col w:w="440" w:space="720"/>
            <w:col w:w="260" w:space="720"/>
            <w:col w:w="620" w:space="720"/>
            <w:col w:w="1680" w:space="620"/>
            <w:col w:w="70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loss.................</w:t>
      </w:r>
    </w:p>
    <w:p>
      <w:pPr>
        <w:sectPr>
          <w:pgSz w:w="11900" w:h="16838" w:orient="portrait"/>
          <w:cols w:equalWidth="0" w:num="1">
            <w:col w:w="11520"/>
          </w:cols>
          <w:pgMar w:left="240" w:top="628"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1999........</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-------- 524,337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$ 5,248,610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---------- 18,635,565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$186,355 ========</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Courier New" w:cs="Courier New" w:eastAsia="Courier New" w:hAnsi="Courier New"/>
          <w:sz w:val="14"/>
          <w:szCs w:val="14"/>
          <w:color w:val="auto"/>
        </w:rPr>
        <w:t>------------ $123,917,758 ============</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Courier New" w:cs="Courier New" w:eastAsia="Courier New" w:hAnsi="Courier New"/>
          <w:sz w:val="14"/>
          <w:szCs w:val="14"/>
          <w:color w:val="auto"/>
        </w:rPr>
        <w:t>------------- $(119,372,710) =============</w:t>
      </w:r>
    </w:p>
    <w:p>
      <w:pPr>
        <w:spacing w:after="0" w:line="20" w:lineRule="exact"/>
        <w:rPr>
          <w:sz w:val="20"/>
          <w:szCs w:val="20"/>
          <w:color w:val="auto"/>
        </w:rPr>
      </w:pPr>
      <w:r>
        <w:rPr>
          <w:sz w:val="20"/>
          <w:szCs w:val="20"/>
          <w:color w:val="auto"/>
        </w:rPr>
        <w:br w:type="column"/>
      </w:r>
    </w:p>
    <w:p>
      <w:pPr>
        <w:jc w:val="both"/>
        <w:ind w:right="260"/>
        <w:spacing w:after="0" w:line="264" w:lineRule="auto"/>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8">
            <w:col w:w="3100" w:space="180"/>
            <w:col w:w="700" w:space="280"/>
            <w:col w:w="960" w:space="280"/>
            <w:col w:w="880" w:space="260"/>
            <w:col w:w="720" w:space="260"/>
            <w:col w:w="1060" w:space="280"/>
            <w:col w:w="1240" w:space="360"/>
            <w:col w:w="960"/>
          </w:cols>
          <w:pgMar w:left="240" w:top="628" w:right="1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420" w:space="280"/>
            <w:col w:w="682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320,183</w:t>
      </w:r>
    </w:p>
    <w:p>
      <w:pPr>
        <w:spacing w:after="0" w:line="12" w:lineRule="exact"/>
        <w:rPr>
          <w:sz w:val="20"/>
          <w:szCs w:val="20"/>
          <w:color w:val="auto"/>
        </w:rPr>
      </w:pPr>
    </w:p>
    <w:p>
      <w:pPr>
        <w:sectPr>
          <w:pgSz w:w="11900" w:h="16838" w:orient="portrait"/>
          <w:cols w:equalWidth="0" w:num="3">
            <w:col w:w="3440" w:space="720"/>
            <w:col w:w="620" w:space="36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under the</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42,193</w:t>
      </w:r>
    </w:p>
    <w:p>
      <w:pPr>
        <w:spacing w:after="0" w:line="3" w:lineRule="exact"/>
        <w:rPr>
          <w:sz w:val="20"/>
          <w:szCs w:val="20"/>
          <w:color w:val="auto"/>
        </w:rPr>
      </w:pPr>
    </w:p>
    <w:p>
      <w:pPr>
        <w:sectPr>
          <w:pgSz w:w="11900" w:h="16838" w:orient="portrait"/>
          <w:cols w:equalWidth="0" w:num="2">
            <w:col w:w="3100" w:space="700"/>
            <w:col w:w="7720"/>
          </w:cols>
          <w:pgMar w:left="240" w:top="628" w:right="139" w:bottom="1440" w:gutter="0" w:footer="0" w:header="0"/>
          <w:type w:val="continuous"/>
        </w:sectPr>
      </w:pPr>
    </w:p>
    <w:p>
      <w:pPr>
        <w:jc w:val="right"/>
        <w:ind w:right="8600"/>
        <w:spacing w:after="0"/>
        <w:rPr>
          <w:sz w:val="20"/>
          <w:szCs w:val="20"/>
          <w:color w:val="auto"/>
        </w:rPr>
      </w:pPr>
      <w:r>
        <w:rPr>
          <w:rFonts w:ascii="Courier New" w:cs="Courier New" w:eastAsia="Courier New" w:hAnsi="Courier New"/>
          <w:sz w:val="14"/>
          <w:szCs w:val="14"/>
          <w:color w:val="auto"/>
        </w:rPr>
        <w:t>Deferred compensation recorded in</w:t>
      </w:r>
    </w:p>
    <w:p>
      <w:pPr>
        <w:spacing w:after="0" w:line="9" w:lineRule="exact"/>
        <w:rPr>
          <w:sz w:val="20"/>
          <w:szCs w:val="20"/>
          <w:color w:val="auto"/>
        </w:rPr>
      </w:pPr>
    </w:p>
    <w:p>
      <w:pPr>
        <w:jc w:val="right"/>
        <w:ind w:right="8600"/>
        <w:spacing w:after="0"/>
        <w:rPr>
          <w:sz w:val="20"/>
          <w:szCs w:val="20"/>
          <w:color w:val="auto"/>
        </w:rPr>
      </w:pPr>
      <w:r>
        <w:rPr>
          <w:rFonts w:ascii="Courier New" w:cs="Courier New" w:eastAsia="Courier New" w:hAnsi="Courier New"/>
          <w:sz w:val="15"/>
          <w:szCs w:val="15"/>
          <w:color w:val="auto"/>
        </w:rPr>
        <w:t>connection with the granting of</w:t>
      </w:r>
    </w:p>
    <w:p>
      <w:pPr>
        <w:sectPr>
          <w:pgSz w:w="11900" w:h="16838" w:orient="portrait"/>
          <w:cols w:equalWidth="0" w:num="1">
            <w:col w:w="11520"/>
          </w:cols>
          <w:pgMar w:left="240" w:top="628" w:right="139"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3440" w:space="720"/>
            <w:col w:w="700" w:space="720"/>
            <w:col w:w="594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 to</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103,410</w:t>
      </w:r>
    </w:p>
    <w:p>
      <w:pPr>
        <w:spacing w:after="0" w:line="9" w:lineRule="exact"/>
        <w:rPr>
          <w:sz w:val="20"/>
          <w:szCs w:val="20"/>
          <w:color w:val="auto"/>
        </w:rPr>
      </w:pPr>
    </w:p>
    <w:p>
      <w:pPr>
        <w:sectPr>
          <w:pgSz w:w="11900" w:h="16838" w:orient="portrait"/>
          <w:cols w:equalWidth="0" w:num="3">
            <w:col w:w="3440" w:space="720"/>
            <w:col w:w="26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Redeemable common stock lapses.....</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518,442</w:t>
      </w:r>
    </w:p>
    <w:p>
      <w:pPr>
        <w:spacing w:after="0" w:line="12" w:lineRule="exact"/>
        <w:rPr>
          <w:sz w:val="20"/>
          <w:szCs w:val="20"/>
          <w:color w:val="auto"/>
        </w:rPr>
      </w:pPr>
    </w:p>
    <w:p>
      <w:pPr>
        <w:sectPr>
          <w:pgSz w:w="11900" w:h="16838" w:orient="portrait"/>
          <w:cols w:equalWidth="0" w:num="3">
            <w:col w:w="3440" w:space="720"/>
            <w:col w:w="26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compensation--amortization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247,919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328,195</w:t>
      </w:r>
    </w:p>
    <w:p>
      <w:pPr>
        <w:spacing w:after="0" w:line="12" w:lineRule="exact"/>
        <w:rPr>
          <w:sz w:val="20"/>
          <w:szCs w:val="20"/>
          <w:color w:val="auto"/>
        </w:rPr>
      </w:pPr>
    </w:p>
    <w:p>
      <w:pPr>
        <w:sectPr>
          <w:pgSz w:w="11900" w:h="16838" w:orient="portrait"/>
          <w:cols w:equalWidth="0" w:num="3">
            <w:col w:w="3100" w:space="620"/>
            <w:col w:w="700" w:space="720"/>
            <w:col w:w="6380"/>
          </w:cols>
          <w:pgMar w:left="240" w:top="62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 on</w:t>
      </w:r>
    </w:p>
    <w:p>
      <w:pPr>
        <w:sectPr>
          <w:pgSz w:w="11900" w:h="16838" w:orient="portrait"/>
          <w:cols w:equalWidth="0" w:num="1">
            <w:col w:w="11520"/>
          </w:cols>
          <w:pgMar w:left="240" w:top="628" w:right="139"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loss.................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December 31, 1999........</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$(1,225,000)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5,198</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(15,708,626)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(15,703,428)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3,506,403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100" w:space="260"/>
            <w:col w:w="1060" w:space="280"/>
            <w:col w:w="6820"/>
          </w:cols>
          <w:pgMar w:left="240" w:top="628" w:right="1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520"/>
          </w:cols>
          <w:pgMar w:left="240" w:top="628" w:right="139" w:bottom="1440" w:gutter="0" w:footer="0" w:header="0"/>
          <w:type w:val="continuous"/>
        </w:sectPr>
      </w:pPr>
    </w:p>
    <w:bookmarkStart w:id="35" w:name="page36"/>
    <w:bookmarkEnd w:id="35"/>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8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4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312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1,968,234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2,958,199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23,736,242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8,003,926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10,315,812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1,905,380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19,921,584</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$ 15,941,701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436,461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Non-cash transaction:</w:t>
      </w:r>
    </w:p>
    <w:p>
      <w:pPr>
        <w:spacing w:after="0" w:line="200" w:lineRule="exact"/>
        <w:rPr>
          <w:sz w:val="20"/>
          <w:szCs w:val="20"/>
          <w:color w:val="auto"/>
        </w:rPr>
      </w:pPr>
    </w:p>
    <w:p>
      <w:pPr>
        <w:spacing w:after="0" w:line="31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34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8" w:right="1440" w:bottom="1440" w:gutter="0" w:footer="0" w:header="0"/>
        </w:sectPr>
      </w:pPr>
    </w:p>
    <w:bookmarkStart w:id="36" w:name="page37"/>
    <w:bookmarkEnd w:id="36"/>
    <w:p>
      <w:pPr>
        <w:spacing w:after="0" w:line="3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NATURE OF BUSINESS</w:t>
      </w:r>
    </w:p>
    <w:p>
      <w:pPr>
        <w:spacing w:after="0" w:line="200" w:lineRule="exact"/>
        <w:rPr>
          <w:sz w:val="20"/>
          <w:szCs w:val="20"/>
          <w:color w:val="auto"/>
        </w:rPr>
      </w:pPr>
    </w:p>
    <w:p>
      <w:pPr>
        <w:spacing w:after="0" w:line="315" w:lineRule="exact"/>
        <w:rPr>
          <w:sz w:val="20"/>
          <w:szCs w:val="20"/>
          <w:color w:val="auto"/>
        </w:rPr>
      </w:pPr>
    </w:p>
    <w:p>
      <w:pPr>
        <w:ind w:left="9" w:right="3659" w:firstLine="355"/>
        <w:spacing w:after="0" w:line="239"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200" w:lineRule="exact"/>
        <w:rPr>
          <w:sz w:val="20"/>
          <w:szCs w:val="20"/>
          <w:color w:val="auto"/>
        </w:rPr>
      </w:pPr>
    </w:p>
    <w:p>
      <w:pPr>
        <w:spacing w:after="0" w:line="314" w:lineRule="exact"/>
        <w:rPr>
          <w:sz w:val="20"/>
          <w:szCs w:val="20"/>
          <w:color w:val="auto"/>
        </w:rPr>
      </w:pPr>
    </w:p>
    <w:p>
      <w:pPr>
        <w:ind w:left="269" w:hanging="269"/>
        <w:spacing w:after="0"/>
        <w:tabs>
          <w:tab w:leader="none" w:pos="2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200" w:lineRule="exact"/>
        <w:rPr>
          <w:sz w:val="20"/>
          <w:szCs w:val="20"/>
          <w:color w:val="auto"/>
        </w:rPr>
      </w:pPr>
    </w:p>
    <w:p>
      <w:pPr>
        <w:spacing w:after="0" w:line="31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200" w:lineRule="exact"/>
        <w:rPr>
          <w:sz w:val="20"/>
          <w:szCs w:val="20"/>
          <w:color w:val="auto"/>
        </w:rPr>
      </w:pPr>
    </w:p>
    <w:p>
      <w:pPr>
        <w:spacing w:after="0" w:line="31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200" w:lineRule="exact"/>
        <w:rPr>
          <w:sz w:val="20"/>
          <w:szCs w:val="20"/>
          <w:color w:val="auto"/>
        </w:rPr>
      </w:pPr>
    </w:p>
    <w:p>
      <w:pPr>
        <w:spacing w:after="0" w:line="31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HELD FOR SALE</w:t>
      </w:r>
    </w:p>
    <w:p>
      <w:pPr>
        <w:spacing w:after="0" w:line="200" w:lineRule="exact"/>
        <w:rPr>
          <w:sz w:val="20"/>
          <w:szCs w:val="20"/>
          <w:color w:val="auto"/>
        </w:rPr>
      </w:pPr>
    </w:p>
    <w:p>
      <w:pPr>
        <w:spacing w:after="0" w:line="31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200" w:lineRule="exact"/>
        <w:rPr>
          <w:sz w:val="20"/>
          <w:szCs w:val="20"/>
          <w:color w:val="auto"/>
        </w:rPr>
      </w:pPr>
    </w:p>
    <w:p>
      <w:pPr>
        <w:spacing w:after="0" w:line="31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Buildings and improvements..................................</w:t>
      </w:r>
      <w:r>
        <w:rPr>
          <w:sz w:val="20"/>
          <w:szCs w:val="20"/>
          <w:color w:val="auto"/>
        </w:rPr>
        <w:tab/>
      </w:r>
      <w:r>
        <w:rPr>
          <w:rFonts w:ascii="Courier New" w:cs="Courier New" w:eastAsia="Courier New" w:hAnsi="Courier New"/>
          <w:sz w:val="14"/>
          <w:szCs w:val="14"/>
          <w:color w:val="auto"/>
        </w:rPr>
        <w:t>3-15 years</w:t>
      </w:r>
    </w:p>
    <w:p>
      <w:pPr>
        <w:sectPr>
          <w:pgSz w:w="11900" w:h="16870" w:orient="portrait"/>
          <w:cols w:equalWidth="0" w:num="1">
            <w:col w:w="10228"/>
          </w:cols>
          <w:pgMar w:left="231" w:top="628" w:right="1440"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Machinery and equipment</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7"/>
              </w:rPr>
              <w:t>.....................................  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8"/>
                <w:szCs w:val="8"/>
                <w:color w:val="auto"/>
                <w:w w:val="70"/>
              </w:rPr>
              <w:t>Furniture and fixtures......................................</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683"/>
        </w:trPr>
        <w:tc>
          <w:tcPr>
            <w:tcW w:w="2040" w:type="dxa"/>
            <w:vAlign w:val="bottom"/>
          </w:tcPr>
          <w:p>
            <w:pPr>
              <w:spacing w:after="0"/>
              <w:rPr>
                <w:sz w:val="24"/>
                <w:szCs w:val="24"/>
                <w:color w:val="auto"/>
              </w:rPr>
            </w:pPr>
          </w:p>
        </w:tc>
        <w:tc>
          <w:tcPr>
            <w:tcW w:w="3860" w:type="dxa"/>
            <w:vAlign w:val="bottom"/>
          </w:tcPr>
          <w:p>
            <w:pPr>
              <w:jc w:val="right"/>
              <w:ind w:right="2206"/>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38" w:name="page39"/>
    <w:bookmarkEnd w:id="3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345" w:lineRule="exact"/>
        <w:rPr>
          <w:sz w:val="20"/>
          <w:szCs w:val="20"/>
          <w:color w:val="auto"/>
        </w:rPr>
      </w:pPr>
    </w:p>
    <w:p>
      <w:pPr>
        <w:ind w:left="9" w:right="5179" w:hanging="9"/>
        <w:spacing w:after="0" w:line="719" w:lineRule="auto"/>
        <w:tabs>
          <w:tab w:leader="none" w:pos="2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PATENT COSTS</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200" w:lineRule="exact"/>
        <w:rPr>
          <w:sz w:val="20"/>
          <w:szCs w:val="20"/>
          <w:color w:val="auto"/>
        </w:rPr>
      </w:pPr>
    </w:p>
    <w:p>
      <w:pPr>
        <w:spacing w:after="0" w:line="319"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200" w:lineRule="exact"/>
        <w:rPr>
          <w:sz w:val="20"/>
          <w:szCs w:val="20"/>
          <w:color w:val="auto"/>
        </w:rPr>
      </w:pPr>
    </w:p>
    <w:p>
      <w:pPr>
        <w:spacing w:after="0" w:line="30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BASED COMPENSATION</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200" w:lineRule="exact"/>
        <w:rPr>
          <w:sz w:val="20"/>
          <w:szCs w:val="20"/>
          <w:color w:val="auto"/>
        </w:rPr>
      </w:pPr>
    </w:p>
    <w:p>
      <w:pPr>
        <w:spacing w:after="0" w:line="31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28" w:right="1440" w:bottom="286" w:gutter="0" w:footer="0" w:header="0"/>
        </w:sectPr>
      </w:pPr>
    </w:p>
    <w:bookmarkStart w:id="39" w:name="page40"/>
    <w:bookmarkEnd w:id="39"/>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200" w:lineRule="exact"/>
        <w:rPr>
          <w:sz w:val="20"/>
          <w:szCs w:val="20"/>
          <w:color w:val="auto"/>
        </w:rPr>
      </w:pPr>
    </w:p>
    <w:p>
      <w:pPr>
        <w:spacing w:after="0" w:line="31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200" w:lineRule="exact"/>
        <w:rPr>
          <w:sz w:val="20"/>
          <w:szCs w:val="20"/>
          <w:color w:val="auto"/>
        </w:rPr>
      </w:pPr>
    </w:p>
    <w:p>
      <w:pPr>
        <w:spacing w:after="0" w:line="31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SALE OF 6% CUMULATIVE CONVERTIBLE PREFERRED STOCK</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shareholders. Such value was $265,000 and will be treated as a deemed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rights equal to their original investment plus accrued but unpaid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The investors would be entitled to make additional investments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on the same terms as those on which the Company completes offerings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securities with third parties within 6 months, if any such offerings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If offerings totaling at least $6 million are not completed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6 months, the investors have the right to acquire up to 1,126 additional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convertible preferred stock at $6.33 per share. Any unconverted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is converted (based on the face value of the preferred shares),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applicable conversion price, on April 13, 2002 in the case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stock and two years after the first acquisition of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1,126 shares, if any are acquired. The warrant expires on April 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8" w:right="1440" w:bottom="1440" w:gutter="0" w:footer="0" w:header="0"/>
        </w:sectPr>
      </w:pPr>
    </w:p>
    <w:bookmarkStart w:id="40" w:name="page41"/>
    <w:bookmarkEnd w:id="40"/>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4.WIND-DOWN OF ENCAPSULATED CELL TECHNOLOGY RESEARCH AND DEVELOPMENT PROGRAM</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200" w:lineRule="exact"/>
        <w:rPr>
          <w:sz w:val="20"/>
          <w:szCs w:val="20"/>
          <w:color w:val="auto"/>
        </w:rPr>
      </w:pPr>
    </w:p>
    <w:p>
      <w:pPr>
        <w:spacing w:after="0" w:line="318"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administering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8" w:right="1440" w:bottom="1440" w:gutter="0" w:footer="0" w:header="0"/>
        </w:sectPr>
      </w:pPr>
    </w:p>
    <w:bookmarkStart w:id="41" w:name="page42"/>
    <w:bookmarkEnd w:id="4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345" w:lineRule="exact"/>
        <w:rPr>
          <w:sz w:val="20"/>
          <w:szCs w:val="20"/>
          <w:color w:val="auto"/>
        </w:rPr>
      </w:pPr>
    </w:p>
    <w:p>
      <w:pPr>
        <w:ind w:left="169" w:right="3479" w:hanging="177"/>
        <w:spacing w:after="0" w:line="238" w:lineRule="auto"/>
        <w:rPr>
          <w:sz w:val="20"/>
          <w:szCs w:val="20"/>
          <w:color w:val="auto"/>
        </w:rPr>
      </w:pPr>
      <w:r>
        <w:rPr>
          <w:rFonts w:ascii="Courier New" w:cs="Courier New" w:eastAsia="Courier New" w:hAnsi="Courier New"/>
          <w:sz w:val="15"/>
          <w:szCs w:val="15"/>
          <w:color w:val="auto"/>
        </w:rPr>
        <w:t>4.WIND-DOWN OF ENCAPSULATED CELL TECHNOLOGY RESEARCH AND DEVELOPMENT PROGRAM (CONTINUED)</w:t>
      </w:r>
    </w:p>
    <w:p>
      <w:pPr>
        <w:spacing w:after="0" w:line="346" w:lineRule="exact"/>
        <w:rPr>
          <w:sz w:val="20"/>
          <w:szCs w:val="20"/>
          <w:color w:val="auto"/>
        </w:rPr>
      </w:pPr>
    </w:p>
    <w:p>
      <w:pPr>
        <w:ind w:left="9" w:right="3759" w:firstLine="355"/>
        <w:spacing w:after="0" w:line="238" w:lineRule="auto"/>
        <w:rPr>
          <w:sz w:val="20"/>
          <w:szCs w:val="20"/>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THIRD QUARTER</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1,060,000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702,000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1,264,000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1,172,000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318,000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$4,078,000</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$1,970,000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r>
      <w:tr>
        <w:trPr>
          <w:trHeight w:val="171"/>
        </w:trPr>
        <w:tc>
          <w:tcPr>
            <w:tcW w:w="49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119"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the operating lease payments, utilities, property taxes, insurance, maintenance, interest and other non-employee related expenses necessary to maintaining these facilities through the expected date of disposition (June 30, 2000).</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operating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628" w:right="1440" w:bottom="1140" w:gutter="0" w:footer="0" w:header="0"/>
        </w:sectPr>
      </w:pPr>
    </w:p>
    <w:bookmarkStart w:id="42" w:name="page43"/>
    <w:bookmarkEnd w:id="4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345" w:lineRule="exact"/>
        <w:rPr>
          <w:sz w:val="20"/>
          <w:szCs w:val="20"/>
          <w:color w:val="auto"/>
        </w:rPr>
      </w:pPr>
    </w:p>
    <w:p>
      <w:pPr>
        <w:ind w:left="169" w:right="3479" w:hanging="177"/>
        <w:spacing w:after="0" w:line="238" w:lineRule="auto"/>
        <w:rPr>
          <w:sz w:val="20"/>
          <w:szCs w:val="20"/>
          <w:color w:val="auto"/>
        </w:rPr>
      </w:pPr>
      <w:r>
        <w:rPr>
          <w:rFonts w:ascii="Courier New" w:cs="Courier New" w:eastAsia="Courier New" w:hAnsi="Courier New"/>
          <w:sz w:val="15"/>
          <w:szCs w:val="15"/>
          <w:color w:val="auto"/>
        </w:rPr>
        <w:t>4.WIND-DOWN OF ENCAPSULATED CELL TECHNOLOGY RESEARCH AND DEVELOPMENT PROGRAM (CONTINUED)</w:t>
      </w:r>
    </w:p>
    <w:p>
      <w:pPr>
        <w:spacing w:after="0" w:line="346" w:lineRule="exact"/>
        <w:rPr>
          <w:sz w:val="20"/>
          <w:szCs w:val="20"/>
          <w:color w:val="auto"/>
        </w:rPr>
      </w:pPr>
    </w:p>
    <w:p>
      <w:pPr>
        <w:ind w:left="349" w:right="3119" w:hanging="349"/>
        <w:spacing w:after="0" w:line="239"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 which was not available during the third quarter, when the Company reached a decision to exit ECT activities and relocate the corporate headquarters.</w:t>
      </w:r>
    </w:p>
    <w:p>
      <w:pPr>
        <w:spacing w:after="0" w:line="200" w:lineRule="exact"/>
        <w:rPr>
          <w:sz w:val="20"/>
          <w:szCs w:val="20"/>
          <w:color w:val="auto"/>
        </w:rPr>
      </w:pPr>
    </w:p>
    <w:p>
      <w:pPr>
        <w:spacing w:after="0" w:line="318"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200" w:lineRule="exact"/>
        <w:rPr>
          <w:sz w:val="20"/>
          <w:szCs w:val="20"/>
          <w:color w:val="auto"/>
        </w:rPr>
      </w:pPr>
    </w:p>
    <w:p>
      <w:pPr>
        <w:spacing w:after="0" w:line="31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STEMCELLS CALIFORNIA, INC.</w:t>
      </w:r>
    </w:p>
    <w:p>
      <w:pPr>
        <w:spacing w:after="0" w:line="200" w:lineRule="exact"/>
        <w:rPr>
          <w:sz w:val="20"/>
          <w:szCs w:val="20"/>
          <w:color w:val="auto"/>
        </w:rPr>
      </w:pPr>
    </w:p>
    <w:p>
      <w:pPr>
        <w:spacing w:after="0" w:line="31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StemCells California, Inc. was completed in the form of a purchase. Through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method, and the resultant value approximated the value determined using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Black-Scholes method. The purchase price was allocated, based upon an asset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valuation study using income approach methods, to license agreements valued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$1,131,000 to be amortized over three years and acquired research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development of $8,344,000, which was expensed. The acquired research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development had not reached scientific feasibility and had no alternative future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uses. As part of the acquisition of StemCells, Richard M. Rose, M.D., became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President, Chief Executive Officer and director of the Company and Dr. Irving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Weissman became a director of the Company.</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469,000 options would vest over eight years. The expense associated with the grants that vested immediately was considered non-employee compensation and was</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628" w:right="1440" w:bottom="969" w:gutter="0" w:footer="0" w:header="0"/>
        </w:sectPr>
      </w:pPr>
    </w:p>
    <w:bookmarkStart w:id="43" w:name="page44"/>
    <w:bookmarkEnd w:id="43"/>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STEMCELLS CALIFORNIA, INC. (CONTINUED)</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based on the fair value of the options granted. The expense was considered immaterial.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granted to non-employees, Drs. Weissman and Gage,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200" w:lineRule="exact"/>
        <w:rPr>
          <w:sz w:val="20"/>
          <w:szCs w:val="20"/>
          <w:color w:val="auto"/>
        </w:rPr>
      </w:pPr>
    </w:p>
    <w:p>
      <w:pPr>
        <w:spacing w:after="0" w:line="30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MODEX</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200" w:lineRule="exact"/>
        <w:rPr>
          <w:sz w:val="20"/>
          <w:szCs w:val="20"/>
          <w:color w:val="auto"/>
        </w:rPr>
      </w:pPr>
    </w:p>
    <w:p>
      <w:pPr>
        <w:spacing w:after="0" w:line="31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200" w:lineRule="exact"/>
        <w:rPr>
          <w:sz w:val="20"/>
          <w:szCs w:val="20"/>
          <w:color w:val="auto"/>
        </w:rPr>
      </w:pPr>
    </w:p>
    <w:p>
      <w:pPr>
        <w:spacing w:after="0" w:line="318"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8" w:right="1440" w:bottom="1440" w:gutter="0" w:footer="0" w:header="0"/>
        </w:sectPr>
      </w:pPr>
    </w:p>
    <w:bookmarkStart w:id="44" w:name="page45"/>
    <w:bookmarkEnd w:id="44"/>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MARKETABLE SECURITIES</w:t>
      </w:r>
    </w:p>
    <w:p>
      <w:pPr>
        <w:spacing w:after="0" w:line="34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7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UNREALIZED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ESTIMATED</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LOSSES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$ 1,502,210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9,218,681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10,720,891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$ 9,520,939</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PLANT AND EQUIPMENT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665,890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1,691,096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219,260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2,576,286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16,422,159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828,401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1,747,885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fixed assets associated with the ECT or otherwise no longer needed. In December of 1999, the Company disposed of these excess fixed assets, realizing proceeds of approximately $746,000. At the time of the sale, these assets had a net book value of approximately $1,063,000 after a third quarter write-down of $800,000, which was based on management's estimate of expected sale proceeds. The third quarter write-down and actual fourth quarter loss were included as wind-down expenses.</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$2,747,000 and $2,860,000 at December 31, 1999 and 1998, respectively. As a</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8" w:right="1440" w:bottom="457" w:gutter="0" w:footer="0" w:header="0"/>
        </w:sectPr>
      </w:pPr>
    </w:p>
    <w:bookmarkStart w:id="45" w:name="page46"/>
    <w:bookmarkEnd w:id="45"/>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 PROPERTY, PLANT AND EQUIPMENT (CONTINUED)</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result of the Company's decision to exit ECT and relocate to Sunnyvale, CA, this property has been classified as held for sale at December 31, 1999.</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 OTHER ASSETS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Other assets are as follows: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Restricted cash......................................</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347"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2" w:lineRule="exact"/>
        <w:rPr>
          <w:sz w:val="20"/>
          <w:szCs w:val="20"/>
          <w:color w:val="auto"/>
        </w:rPr>
      </w:pPr>
    </w:p>
    <w:p>
      <w:pPr>
        <w:ind w:left="34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14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Wind-down expenses...................................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$1,634,522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97,439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306,342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222,140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344,625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628" w:right="1440" w:bottom="1440" w:gutter="0" w:footer="0" w:header="0"/>
        </w:sectPr>
      </w:pPr>
    </w:p>
    <w:bookmarkStart w:id="46" w:name="page47"/>
    <w:bookmarkEnd w:id="46"/>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LEASES</w:t>
      </w:r>
    </w:p>
    <w:p>
      <w:pPr>
        <w:spacing w:after="0" w:line="34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has incurred $426,790 in deferred rent expense.</w:t>
      </w:r>
    </w:p>
    <w:p>
      <w:pPr>
        <w:spacing w:after="0" w:line="179"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Present value of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Capitalized lease obligations, 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ind w:left="3460"/>
              <w:spacing w:after="0"/>
              <w:rPr>
                <w:sz w:val="20"/>
                <w:szCs w:val="20"/>
                <w:color w:val="auto"/>
              </w:rPr>
            </w:pPr>
            <w:r>
              <w:rPr>
                <w:rFonts w:ascii="Courier New" w:cs="Courier New" w:eastAsia="Courier New" w:hAnsi="Courier New"/>
                <w:sz w:val="15"/>
                <w:szCs w:val="15"/>
                <w:color w:val="auto"/>
              </w:rPr>
              <w:t>46</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7" w:name="page48"/>
    <w:bookmarkEnd w:id="4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Rent expense for the years ended December 31, 1999, 1998 and 1997, was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$947,000, $1,052,000 and $499,000, respectively.</w:t>
      </w:r>
    </w:p>
    <w:p>
      <w:pPr>
        <w:spacing w:after="0" w:line="171" w:lineRule="exact"/>
        <w:rPr>
          <w:sz w:val="20"/>
          <w:szCs w:val="20"/>
          <w:color w:val="auto"/>
        </w:rPr>
      </w:pPr>
    </w:p>
    <w:p>
      <w:pPr>
        <w:ind w:left="34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3"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48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149"/>
        <w:spacing w:after="0"/>
        <w:tabs>
          <w:tab w:leader="none" w:pos="62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4889"/>
        <w:spacing w:after="0"/>
        <w:tabs>
          <w:tab w:leader="none" w:pos="60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note payable, interest at the prime rate plus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1/2% (8.75% at December 31, 1998), principal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payments commence in August 1998, due ratably</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through May 2000; secured by certain equipment</w:t>
      </w:r>
    </w:p>
    <w:p>
      <w:pPr>
        <w:sectPr>
          <w:pgSz w:w="11900" w:h="16838" w:orient="portrait"/>
          <w:cols w:equalWidth="0" w:num="1">
            <w:col w:w="10228"/>
          </w:cols>
          <w:pgMar w:left="231" w:top="628" w:right="1440" w:bottom="1440" w:gutter="0" w:footer="0" w:header="0"/>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(prepaid during 1999)..............................</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299"/>
        <w:spacing w:after="0"/>
        <w:rPr>
          <w:sz w:val="20"/>
          <w:szCs w:val="20"/>
          <w:color w:val="auto"/>
        </w:rPr>
      </w:pPr>
      <w:r>
        <w:rPr>
          <w:rFonts w:ascii="Courier New" w:cs="Courier New" w:eastAsia="Courier New" w:hAnsi="Courier New"/>
          <w:sz w:val="15"/>
          <w:szCs w:val="15"/>
          <w:color w:val="auto"/>
        </w:rPr>
        <w:t>$1,500,000</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1,000,000</w:t>
      </w:r>
    </w:p>
    <w:p>
      <w:pPr>
        <w:spacing w:after="0" w:line="3"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 $500,000</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709" w:space="180"/>
            <w:col w:w="880" w:space="260"/>
            <w:col w:w="4199"/>
          </w:cols>
          <w:pgMar w:left="231" w:top="628" w:right="1440" w:bottom="1440" w:gutter="0" w:footer="0" w:header="0"/>
          <w:type w:val="continuous"/>
        </w:sectPr>
      </w:pPr>
    </w:p>
    <w:p>
      <w:pPr>
        <w:spacing w:after="0" w:line="1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 REDEEMABLE COMMON STOCK</w:t>
      </w:r>
    </w:p>
    <w:p>
      <w:pPr>
        <w:spacing w:after="0" w:line="345"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2"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will reclassify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33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628" w:right="1440" w:bottom="1440" w:gutter="0" w:footer="0" w:header="0"/>
          <w:type w:val="continuous"/>
        </w:sectPr>
      </w:pPr>
    </w:p>
    <w:bookmarkStart w:id="48" w:name="page49"/>
    <w:bookmarkEnd w:id="48"/>
    <w:p>
      <w:pPr>
        <w:jc w:val="center"/>
        <w:ind w:right="338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COMMON STOCK TO BE ISSUED</w:t>
      </w:r>
    </w:p>
    <w:p>
      <w:pPr>
        <w:spacing w:after="0" w:line="174" w:lineRule="exact"/>
        <w:rPr>
          <w:sz w:val="20"/>
          <w:szCs w:val="20"/>
          <w:color w:val="auto"/>
        </w:rPr>
      </w:pPr>
    </w:p>
    <w:p>
      <w:pPr>
        <w:ind w:right="3280"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STOCKHOLDERS' EQUITY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right="3280"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8" w:lineRule="exact"/>
        <w:rPr>
          <w:sz w:val="20"/>
          <w:szCs w:val="20"/>
          <w:color w:val="auto"/>
        </w:rPr>
      </w:pPr>
    </w:p>
    <w:p>
      <w:pPr>
        <w:ind w:right="356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spacing w:after="0"/>
              <w:rPr>
                <w:sz w:val="14"/>
                <w:szCs w:val="14"/>
                <w:color w:val="auto"/>
              </w:rPr>
            </w:pPr>
          </w:p>
        </w:tc>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1998</w:t>
            </w:r>
          </w:p>
        </w:tc>
        <w:tc>
          <w:tcPr>
            <w:tcW w:w="1060" w:type="dxa"/>
            <w:vAlign w:val="bottom"/>
          </w:tcPr>
          <w:p>
            <w:pPr>
              <w:spacing w:after="0"/>
              <w:rPr>
                <w:sz w:val="14"/>
                <w:szCs w:val="14"/>
                <w:color w:val="auto"/>
              </w:rPr>
            </w:pP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740" w:type="dxa"/>
            <w:vAlign w:val="bottom"/>
          </w:tcPr>
          <w:p>
            <w:pPr>
              <w:spacing w:after="0"/>
              <w:rPr>
                <w:sz w:val="14"/>
                <w:szCs w:val="14"/>
                <w:color w:val="auto"/>
              </w:rPr>
            </w:pPr>
          </w:p>
        </w:tc>
        <w:tc>
          <w:tcPr>
            <w:tcW w:w="2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$7.48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9.21</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$7.79</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460" w:firstLine="355"/>
        <w:spacing w:after="0" w:line="239" w:lineRule="auto"/>
        <w:rPr>
          <w:sz w:val="20"/>
          <w:szCs w:val="20"/>
          <w:color w:val="auto"/>
        </w:rPr>
      </w:pPr>
      <w:r>
        <w:rPr>
          <w:rFonts w:ascii="Courier New" w:cs="Courier New" w:eastAsia="Courier New" w:hAnsi="Courier New"/>
          <w:sz w:val="15"/>
          <w:szCs w:val="15"/>
          <w:color w:val="auto"/>
        </w:rPr>
        <w:t>On July 10, 1998, the Company re-priced 751,018 outstanding stock options. No compensation expense was recorded since the re-priced options carried an exercise price equal to the market price of the Company's common stock on the date of the re-pricing.</w:t>
      </w:r>
    </w:p>
    <w:p>
      <w:pPr>
        <w:spacing w:after="0" w:line="200" w:lineRule="exact"/>
        <w:rPr>
          <w:sz w:val="20"/>
          <w:szCs w:val="20"/>
          <w:color w:val="auto"/>
        </w:rPr>
      </w:pPr>
    </w:p>
    <w:p>
      <w:pPr>
        <w:spacing w:after="0" w:line="318" w:lineRule="exact"/>
        <w:rPr>
          <w:sz w:val="20"/>
          <w:szCs w:val="20"/>
          <w:color w:val="auto"/>
        </w:rPr>
      </w:pPr>
    </w:p>
    <w:p>
      <w:pPr>
        <w:ind w:right="3280" w:firstLine="355"/>
        <w:spacing w:after="0"/>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which approximated the value determined using the Black-Scholes method, was accounted for as part of the StemCells California acquisition price. Additionally, the Company adopted the 1997 CytoTherapeutics, Inc. StemCells California Research Stock Option Plan (the StemCells California Research Plan)</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380"/>
          </w:cols>
          <w:pgMar w:left="240" w:top="628" w:right="1279" w:bottom="1440" w:gutter="0" w:footer="0" w:header="0"/>
        </w:sectPr>
      </w:pPr>
    </w:p>
    <w:bookmarkStart w:id="49" w:name="page50"/>
    <w:bookmarkEnd w:id="49"/>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STOCKHOLDERS' EQUITY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 Options granted to Dr. Rose, in his capacity as Chief Executive Officer, were valued using the intrinsic value method, in accordance with the provisions of APB 25, ACCOUNTING FOR STOCK ISSUED TO EMPLOYEES. Options granted to non-employees Drs. Weissman, Gage and Anderson were accounted for using the fair value method in accordance with the provisions of Statement of Financial Accounting Standards No. 123, ACCOUNTING FOR STOCK-BASED COMPENSATION.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1" w:lineRule="exact"/>
        <w:rPr>
          <w:sz w:val="20"/>
          <w:szCs w:val="20"/>
          <w:color w:val="auto"/>
        </w:rPr>
      </w:pPr>
    </w:p>
    <w:p>
      <w:pPr>
        <w:ind w:right="3479" w:firstLine="355"/>
        <w:spacing w:after="0" w:line="27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44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4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RANGE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CONTRACTUAL</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4420" w:type="dxa"/>
            <w:vAlign w:val="bottom"/>
          </w:tcPr>
          <w:p>
            <w:pPr>
              <w:ind w:left="1420"/>
              <w:spacing w:after="0"/>
              <w:rPr>
                <w:sz w:val="20"/>
                <w:szCs w:val="20"/>
                <w:color w:val="auto"/>
              </w:rPr>
            </w:pPr>
            <w:r>
              <w:rPr>
                <w:rFonts w:ascii="Courier New" w:cs="Courier New" w:eastAsia="Courier New" w:hAnsi="Courier New"/>
                <w:sz w:val="15"/>
                <w:szCs w:val="15"/>
                <w:color w:val="auto"/>
              </w:rPr>
              <w:t>EXERCISE PRICES</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LIFE (YRS.)</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Less than $5.00.................................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755,398</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$5.01--$10.00...................................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90,687</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4.56</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6.55</w:t>
            </w:r>
          </w:p>
        </w:tc>
      </w:tr>
      <w:tr>
        <w:trPr>
          <w:trHeight w:val="171"/>
        </w:trPr>
        <w:tc>
          <w:tcPr>
            <w:tcW w:w="44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Greater than $10.00.............................</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93,250</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11.18</w:t>
            </w: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939,335</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26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$(15,764,569)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$(14,919,389)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8" w:right="1440" w:bottom="1440" w:gutter="0" w:footer="0" w:header="0"/>
        </w:sectPr>
      </w:pPr>
    </w:p>
    <w:bookmarkStart w:id="50" w:name="page51"/>
    <w:bookmarkEnd w:id="50"/>
    <w:p>
      <w:pPr>
        <w:jc w:val="center"/>
        <w:ind w:right="72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STOCKHOLDERS' EQUITY (CONTINUED)</w:t>
      </w:r>
    </w:p>
    <w:p>
      <w:pPr>
        <w:spacing w:after="0" w:line="3" w:lineRule="exact"/>
        <w:rPr>
          <w:sz w:val="20"/>
          <w:szCs w:val="20"/>
          <w:color w:val="auto"/>
        </w:rPr>
      </w:pPr>
    </w:p>
    <w:p>
      <w:pPr>
        <w:ind w:right="720"/>
        <w:spacing w:after="0" w:line="238" w:lineRule="auto"/>
        <w:rPr>
          <w:sz w:val="20"/>
          <w:szCs w:val="20"/>
          <w:color w:val="auto"/>
        </w:rPr>
      </w:pPr>
      <w:r>
        <w:rPr>
          <w:rFonts w:ascii="Courier New" w:cs="Courier New" w:eastAsia="Courier New" w:hAnsi="Courier New"/>
          <w:sz w:val="15"/>
          <w:szCs w:val="15"/>
          <w:color w:val="auto"/>
        </w:rPr>
        <w:t>plan at the date of grant were estimated using the Black-Scholes model with the following weighted average assumptions: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w:t>
            </w:r>
          </w:p>
        </w:tc>
      </w:tr>
    </w:tbl>
    <w:p>
      <w:pPr>
        <w:spacing w:after="0" w:line="345" w:lineRule="exact"/>
        <w:rPr>
          <w:sz w:val="20"/>
          <w:szCs w:val="20"/>
          <w:color w:val="auto"/>
        </w:rPr>
      </w:pPr>
    </w:p>
    <w:p>
      <w:pPr>
        <w:ind w:right="1080" w:firstLine="355"/>
        <w:spacing w:after="0" w:line="238"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5" w:lineRule="exact"/>
        <w:rPr>
          <w:sz w:val="20"/>
          <w:szCs w:val="20"/>
          <w:color w:val="auto"/>
        </w:rPr>
      </w:pPr>
    </w:p>
    <w:p>
      <w:pPr>
        <w:ind w:right="620" w:firstLine="355"/>
        <w:spacing w:after="0"/>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345" w:lineRule="exact"/>
        <w:rPr>
          <w:sz w:val="20"/>
          <w:szCs w:val="20"/>
          <w:color w:val="auto"/>
        </w:rPr>
      </w:pPr>
    </w:p>
    <w:p>
      <w:pPr>
        <w:ind w:right="720" w:firstLine="355"/>
        <w:spacing w:after="0"/>
        <w:rPr>
          <w:sz w:val="20"/>
          <w:szCs w:val="20"/>
          <w:color w:val="auto"/>
        </w:rPr>
      </w:pPr>
      <w:r>
        <w:rPr>
          <w:rFonts w:ascii="Courier New" w:cs="Courier New" w:eastAsia="Courier New" w:hAnsi="Courier New"/>
          <w:sz w:val="15"/>
          <w:szCs w:val="15"/>
          <w:color w:val="auto"/>
        </w:rPr>
        <w:t>In conjunction with StemCells California merger, the Company exchanged StemCells California warrants for warrants to purchase 8,952 shares of Company common stock at $4.71 per share; such warrants were valued using the intrinsic value method which approximated the value determined using the Black-Scholes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200" w:lineRule="exact"/>
        <w:rPr>
          <w:sz w:val="20"/>
          <w:szCs w:val="20"/>
          <w:color w:val="auto"/>
        </w:rPr>
      </w:pPr>
    </w:p>
    <w:p>
      <w:pPr>
        <w:spacing w:after="0" w:line="318" w:lineRule="exact"/>
        <w:rPr>
          <w:sz w:val="20"/>
          <w:szCs w:val="20"/>
          <w:color w:val="auto"/>
        </w:rPr>
      </w:pPr>
    </w:p>
    <w:p>
      <w:pPr>
        <w:ind w:right="800" w:firstLine="355"/>
        <w:spacing w:after="0"/>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RESERVED</w:t>
      </w:r>
    </w:p>
    <w:p>
      <w:pPr>
        <w:spacing w:after="0" w:line="174" w:lineRule="exact"/>
        <w:rPr>
          <w:sz w:val="20"/>
          <w:szCs w:val="20"/>
          <w:color w:val="auto"/>
        </w:rPr>
      </w:pPr>
    </w:p>
    <w:p>
      <w:pPr>
        <w:ind w:right="800" w:firstLine="355"/>
        <w:spacing w:after="0" w:line="271" w:lineRule="auto"/>
        <w:rPr>
          <w:sz w:val="20"/>
          <w:szCs w:val="20"/>
          <w:color w:val="auto"/>
        </w:rPr>
      </w:pPr>
      <w:r>
        <w:rPr>
          <w:rFonts w:ascii="Courier New" w:cs="Courier New" w:eastAsia="Courier New" w:hAnsi="Courier New"/>
          <w:sz w:val="14"/>
          <w:szCs w:val="14"/>
          <w:color w:val="auto"/>
        </w:rPr>
        <w:t>The Company has reserved 6,461,846 shares of common stock for the exercise of options, warrants and other contingent issuances of common stock.</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STOCK PURCHASE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w:t>
            </w:r>
          </w:p>
        </w:tc>
      </w:tr>
      <w:tr>
        <w:trPr>
          <w:trHeight w:val="171"/>
        </w:trPr>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w:t>
            </w:r>
          </w:p>
        </w:tc>
      </w:tr>
    </w:tbl>
    <w:p>
      <w:pPr>
        <w:sectPr>
          <w:pgSz w:w="11900" w:h="16838" w:orient="portrait"/>
          <w:cols w:equalWidth="0" w:num="2">
            <w:col w:w="7720" w:space="520"/>
            <w:col w:w="3200"/>
          </w:cols>
          <w:pgMar w:left="240" w:top="628" w:right="219" w:bottom="1440" w:gutter="0" w:footer="0" w:header="0"/>
        </w:sectPr>
      </w:pPr>
    </w:p>
    <w:bookmarkStart w:id="51" w:name="page52"/>
    <w:bookmarkEnd w:id="5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RESEARCH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352"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200" w:lineRule="exact"/>
        <w:rPr>
          <w:sz w:val="20"/>
          <w:szCs w:val="20"/>
          <w:color w:val="auto"/>
        </w:rPr>
      </w:pPr>
    </w:p>
    <w:p>
      <w:pPr>
        <w:spacing w:after="0" w:line="31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February 1997, CytoTherapeutics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additional funding under the agreement.</w:t>
      </w:r>
    </w:p>
    <w:p>
      <w:pPr>
        <w:spacing w:after="0" w:line="200" w:lineRule="exact"/>
        <w:rPr>
          <w:sz w:val="20"/>
          <w:szCs w:val="20"/>
          <w:color w:val="auto"/>
        </w:rPr>
      </w:pPr>
    </w:p>
    <w:p>
      <w:pPr>
        <w:spacing w:after="0" w:line="319"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of the Company received from the sale of stock to Genentech pursuant to the Parkinson's agreement exceeded the expenses incurred by the Company in connection with such program by more than</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 million, Genentech had the right to require the Company to repurchase from 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200" w:lineRule="exact"/>
        <w:rPr>
          <w:sz w:val="20"/>
          <w:szCs w:val="20"/>
          <w:color w:val="auto"/>
        </w:rPr>
      </w:pPr>
    </w:p>
    <w:p>
      <w:pPr>
        <w:spacing w:after="0" w:line="320"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8" w:right="1440" w:bottom="1440" w:gutter="0" w:footer="0" w:header="0"/>
        </w:sectPr>
      </w:pPr>
    </w:p>
    <w:bookmarkStart w:id="52" w:name="page53"/>
    <w:bookmarkEnd w:id="52"/>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RESEARCH AGREEMENTS (CONTINUED)</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executed its right to terminate the agreement. The Company has no additional funding obligations with AstraZeneca.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focusing on the stem cell field, its principal academic collaborations are now with the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INCOME TAXES</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8" w:right="1440" w:bottom="1440" w:gutter="0" w:footer="0" w:header="0"/>
        </w:sectPr>
      </w:pPr>
    </w:p>
    <w:bookmarkStart w:id="53" w:name="page54"/>
    <w:bookmarkEnd w:id="5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(FORMERLY CYTOTHERAPEUTICS, INC.)</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components of the Company's deferred tax assets and liabilities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5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$ 28,124,000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10,786,000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42,791,000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41,254,000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(41,254,000)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 .</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18. EMPLOYEE RETIREMENT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 CONTINGENCIES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 SUBSEQUENT EVENTS</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On April 13, 2000, the Company completed arrangements to sell 1,500 shares of 6% cumulative convertible preferred stock plus a warrant for 75,000 shares of the Company's common stock to a member of its Board of Directors for $1,500,000, on terms more favorable than it was then able to obtain from outside investors.</w:t>
      </w:r>
    </w:p>
    <w:p>
      <w:pPr>
        <w:ind w:left="9"/>
        <w:spacing w:after="0" w:line="237" w:lineRule="auto"/>
        <w:rPr>
          <w:sz w:val="20"/>
          <w:szCs w:val="20"/>
          <w:color w:val="auto"/>
        </w:rPr>
      </w:pPr>
      <w:r>
        <w:rPr>
          <w:rFonts w:ascii="Courier New" w:cs="Courier New" w:eastAsia="Courier New" w:hAnsi="Courier New"/>
          <w:sz w:val="15"/>
          <w:szCs w:val="15"/>
          <w:color w:val="auto"/>
        </w:rPr>
        <w:t>(SEE NOTE 3--"SALE OF 6% CUMULATIVE CONVERTIBLE PREFERRED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8"/>
          </w:cols>
          <w:pgMar w:left="231" w:top="628" w:right="1440" w:bottom="1440" w:gutter="0" w:footer="0" w:header="0"/>
        </w:sectPr>
      </w:pPr>
    </w:p>
    <w:bookmarkStart w:id="54" w:name="page55"/>
    <w:bookmarkEnd w:id="54"/>
    <w:p>
      <w:pPr>
        <w:ind w:left="160" w:right="3919" w:hanging="177"/>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ind w:left="780" w:right="3659" w:hanging="798"/>
        <w:spacing w:after="0" w:line="238" w:lineRule="auto"/>
        <w:rPr>
          <w:sz w:val="20"/>
          <w:szCs w:val="20"/>
          <w:color w:val="auto"/>
        </w:rPr>
      </w:pPr>
      <w:r>
        <w:rPr>
          <w:rFonts w:ascii="Courier New" w:cs="Courier New" w:eastAsia="Courier New" w:hAnsi="Courier New"/>
          <w:sz w:val="15"/>
          <w:szCs w:val="15"/>
          <w:color w:val="auto"/>
        </w:rPr>
        <w:t>ITEM 10. DIRECTORS AND EXECUTIVE OFFICERS OF THE REGISTRANT, PROMOTERS AND CONTROL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sections entitled "Election of Directors" and "Executive Officer" in the Company's definitive proxy statement for its 2000 Annual Meeting of Shareholders are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section entitled "Executive Compensation" in the Company's definitive proxy statement for its 2000 Annual Meeting of Shareholders is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section entitled "Share Ownership" in the Company's definitive proxy statement for its 2000 Annual Meeting of Shareholders is hereby incorporated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section entitled "Certain Relationships and Related Transactions" in the Company's definitive proxy statement for its 2000 Annual Meeting of Shareholders is hereby incorporated by reference.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1" w:lineRule="exact"/>
        <w:rPr>
          <w:sz w:val="20"/>
          <w:szCs w:val="20"/>
          <w:color w:val="auto"/>
        </w:rPr>
      </w:pPr>
    </w:p>
    <w:p>
      <w:pPr>
        <w:ind w:left="700" w:hanging="354"/>
        <w:spacing w:after="0"/>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Form 10-K.</w:t>
      </w:r>
    </w:p>
    <w:p>
      <w:pPr>
        <w:spacing w:after="0" w:line="171"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 Schedules:</w:t>
      </w:r>
    </w:p>
    <w:p>
      <w:pPr>
        <w:spacing w:after="0" w:line="174" w:lineRule="exact"/>
        <w:rPr>
          <w:sz w:val="20"/>
          <w:szCs w:val="20"/>
          <w:color w:val="auto"/>
        </w:rPr>
      </w:pPr>
    </w:p>
    <w:p>
      <w:pPr>
        <w:ind w:right="3119" w:firstLine="355"/>
        <w:spacing w:after="0" w:line="271"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EXHIBIT NO.</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Form of Warrant Certificate issued to a certain purchaser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10.15*</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Form of at-will Employment Agreement between the Registrant</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and most of its employees.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its Contractors.</w:t>
            </w:r>
          </w:p>
        </w:tc>
      </w:tr>
      <w:tr>
        <w:trPr>
          <w:trHeight w:val="512"/>
        </w:trPr>
        <w:tc>
          <w:tcPr>
            <w:tcW w:w="1320" w:type="dxa"/>
            <w:vAlign w:val="bottom"/>
          </w:tcPr>
          <w:p>
            <w:pPr>
              <w:spacing w:after="0"/>
              <w:rPr>
                <w:sz w:val="24"/>
                <w:szCs w:val="24"/>
                <w:color w:val="auto"/>
              </w:rPr>
            </w:pPr>
          </w:p>
        </w:tc>
        <w:tc>
          <w:tcPr>
            <w:tcW w:w="5680" w:type="dxa"/>
            <w:vAlign w:val="bottom"/>
          </w:tcPr>
          <w:p>
            <w:pPr>
              <w:ind w:left="1700"/>
              <w:spacing w:after="0"/>
              <w:rPr>
                <w:sz w:val="20"/>
                <w:szCs w:val="20"/>
                <w:color w:val="auto"/>
              </w:rPr>
            </w:pPr>
            <w:r>
              <w:rPr>
                <w:rFonts w:ascii="Courier New" w:cs="Courier New" w:eastAsia="Courier New" w:hAnsi="Courier New"/>
                <w:sz w:val="15"/>
                <w:szCs w:val="15"/>
                <w:color w:val="auto"/>
              </w:rPr>
              <w:t>54</w:t>
            </w:r>
          </w:p>
        </w:tc>
      </w:tr>
    </w:tbl>
    <w:p>
      <w:pPr>
        <w:sectPr>
          <w:pgSz w:w="11900" w:h="16838" w:orient="portrait"/>
          <w:cols w:equalWidth="0" w:num="1">
            <w:col w:w="10219"/>
          </w:cols>
          <w:pgMar w:left="240" w:top="460" w:right="1440"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EXHIBIT NO.</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w:t>
            </w:r>
          </w:p>
        </w:tc>
        <w:tc>
          <w:tcPr>
            <w:tcW w:w="5680" w:type="dxa"/>
            <w:vAlign w:val="bottom"/>
          </w:tcPr>
          <w:p>
            <w:pPr>
              <w:ind w:left="2140"/>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1988 Stock Option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Equity Incentive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10.41**!!!!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Development and Supply Agreement dated December 1993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AKZO Faser AG.</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10.43##**</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Agreement dated as of February 1,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Genentech, Inc.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The Rhode Island Industrial Facilities Corporation dated as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of September 15, 1994.</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Supplementary Agreement dated as of July 1, 1994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Akzo Nobel Faser AG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10.51**++++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10.52++++</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purchasers of the Common Stock and Warrants offered in April</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10.53+++</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Form of Common Stock Purchase Agreement to be executed among</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Research and Commercialization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September 4, 1995 among the Company, Dr. Patrick Aebischer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and Canton of Vaud, Switzerland.</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Convertible loan agreement dated as of July 10, 1996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Modex Therapeutiques SA.</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Lease Agreement dated as of November 21, 1997 by and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Hub RI Properties Trust, as Landlord, and CytoTherapeutics,</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 as Tenant.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Modex Therapeutiques SA stockholders voting agreement dated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as of July 10, 1996 among Modex, the Company, the Societe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Financiere Valoria SA and the other stockholders listed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CTI Valoria option agreement dated of July 10, 1996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10.64!!!</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8"/>
              </w:rPr>
              <w:t>Term Loan Agreement dated as of October 22, 1996 between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10.65***</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Corp.</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10.67***</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Consulting Agreement dated as of September 25, 1997 between</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10.68###</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10.69**</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Cross License Agreement dated as of</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October 29, 1997 between Modex Therapeutiques SA and the</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10.70###</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w w:val="99"/>
              </w:rPr>
              <w:t>Letter Agreement dated as of September 30, 1997 between Dr.</w:t>
            </w:r>
          </w:p>
        </w:tc>
      </w:tr>
      <w:tr>
        <w:trPr>
          <w:trHeight w:val="171"/>
        </w:trPr>
        <w:tc>
          <w:tcPr>
            <w:tcW w:w="13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Seth Rudnick and the Registrant.</w:t>
            </w:r>
          </w:p>
        </w:tc>
      </w:tr>
      <w:tr>
        <w:trPr>
          <w:trHeight w:val="171"/>
        </w:trPr>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10.71****</w:t>
            </w:r>
          </w:p>
        </w:tc>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512"/>
        </w:trPr>
        <w:tc>
          <w:tcPr>
            <w:tcW w:w="1320" w:type="dxa"/>
            <w:vAlign w:val="bottom"/>
          </w:tcPr>
          <w:p>
            <w:pPr>
              <w:spacing w:after="0"/>
              <w:rPr>
                <w:sz w:val="24"/>
                <w:szCs w:val="24"/>
                <w:color w:val="auto"/>
              </w:rPr>
            </w:pPr>
          </w:p>
        </w:tc>
        <w:tc>
          <w:tcPr>
            <w:tcW w:w="5680" w:type="dxa"/>
            <w:vAlign w:val="bottom"/>
          </w:tcPr>
          <w:p>
            <w:pPr>
              <w:ind w:left="1700"/>
              <w:spacing w:after="0"/>
              <w:rPr>
                <w:sz w:val="20"/>
                <w:szCs w:val="20"/>
                <w:color w:val="auto"/>
              </w:rPr>
            </w:pPr>
            <w:r>
              <w:rPr>
                <w:rFonts w:ascii="Courier New" w:cs="Courier New" w:eastAsia="Courier New" w:hAnsi="Courier New"/>
                <w:sz w:val="15"/>
                <w:szCs w:val="15"/>
                <w:color w:val="auto"/>
              </w:rPr>
              <w:t>55</w:t>
            </w:r>
          </w:p>
        </w:tc>
      </w:tr>
    </w:tbl>
    <w:p>
      <w:pPr>
        <w:sectPr>
          <w:pgSz w:w="11900" w:h="16838" w:orient="portrait"/>
          <w:cols w:equalWidth="0" w:num="1">
            <w:col w:w="9779"/>
          </w:cols>
          <w:pgMar w:left="680" w:top="969"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EXHIBIT NO.</w:t>
            </w:r>
          </w:p>
        </w:tc>
        <w:tc>
          <w:tcPr>
            <w:tcW w:w="5460" w:type="dxa"/>
            <w:vAlign w:val="bottom"/>
          </w:tcPr>
          <w:p>
            <w:pPr>
              <w:ind w:left="1920"/>
              <w:spacing w:after="0"/>
              <w:rPr>
                <w:sz w:val="20"/>
                <w:szCs w:val="20"/>
                <w:color w:val="auto"/>
              </w:rPr>
            </w:pPr>
            <w:r>
              <w:rPr>
                <w:rFonts w:ascii="Courier New" w:cs="Courier New" w:eastAsia="Courier New" w:hAnsi="Courier New"/>
                <w:sz w:val="15"/>
                <w:szCs w:val="15"/>
                <w:color w:val="auto"/>
              </w:rPr>
              <w:t>TITLE OR DESCRIPTION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920"/>
              <w:spacing w:after="0"/>
              <w:rPr>
                <w:sz w:val="20"/>
                <w:szCs w:val="20"/>
                <w:color w:val="auto"/>
              </w:rPr>
            </w:pPr>
            <w:r>
              <w:rPr>
                <w:rFonts w:ascii="Courier New" w:cs="Courier New" w:eastAsia="Courier New" w:hAnsi="Courier New"/>
                <w:sz w:val="15"/>
                <w:szCs w:val="15"/>
                <w:color w:val="auto"/>
              </w:rPr>
              <w:t>--------------------</w:t>
            </w:r>
          </w:p>
        </w:tc>
      </w:tr>
      <w:tr>
        <w:trPr>
          <w:trHeight w:val="34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10.72****</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1997 StemCells Research Stock Option Plan (the "1997 Plan").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10.73****</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Form of Performance-Based Incentive Option Agreement issued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under the 1997 Plan.</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10.74###</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Employment Agreement dated as of September 25, 1997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10.75###</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April 17, 1997,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John S. McBride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10.78###</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Loan Agreement dated as of May 15, 1996 between Fleet</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National Bank and the Registrant, together with the related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executed by the Registrant, and an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amendatory agreement dated as of May 15, 1997.</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10.79[*]</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10.80Section**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Employment Agreement dated as of June 8, 1998 between Philip</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K. Yachmetz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10.81Section**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Consulting Services Agreement dated as of July 27, 1998, as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10.82Section**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as of December 19, 1998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John J. Schwartz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10.83Section**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10.84Section**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10.85Section**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November 20, 1998 between The</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171"/>
        </w:trPr>
        <w:tc>
          <w:tcPr>
            <w:tcW w:w="19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10.87SectionSection**</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December 29, 1999 between Neurotech S.A.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10.88**</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10.89**</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10.90</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June 8, 1998, as amended</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and restated as of June 8, 1999, between Philip K. Yachmetz</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as of July 1, 1999 between John J.</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Schwartz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10.92</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Severance Agreement dated as of April 2, 1999 between John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McBride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10.93</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Severance Agreement dated as of August 30, 1999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Moses Goddard, M.D.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10.95</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November 17, 1999 between</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George W. Dunbar Jr. 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10.96</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as of November 17, 1999 between iCEO, LLC</w:t>
            </w:r>
          </w:p>
        </w:tc>
      </w:tr>
      <w:tr>
        <w:trPr>
          <w:trHeight w:val="171"/>
        </w:trPr>
        <w:tc>
          <w:tcPr>
            <w:tcW w:w="198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171"/>
        </w:trPr>
        <w:tc>
          <w:tcPr>
            <w:tcW w:w="19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23.1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3" w:lineRule="exact"/>
        <w:rPr>
          <w:sz w:val="20"/>
          <w:szCs w:val="20"/>
          <w:color w:val="auto"/>
        </w:rPr>
      </w:pPr>
    </w:p>
    <w:p>
      <w:pPr>
        <w:ind w:left="2120" w:right="2959" w:hanging="887"/>
        <w:spacing w:after="0" w:line="238" w:lineRule="auto"/>
        <w:tabs>
          <w:tab w:leader="none" w:pos="21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for fiscal year ended December 31, 1999.</w:t>
      </w:r>
    </w:p>
    <w:p>
      <w:pPr>
        <w:spacing w:after="0" w:line="2" w:lineRule="exact"/>
        <w:rPr>
          <w:sz w:val="20"/>
          <w:szCs w:val="20"/>
          <w:color w:val="auto"/>
        </w:rPr>
      </w:pPr>
    </w:p>
    <w:p>
      <w:pPr>
        <w:ind w:left="2120" w:hanging="887"/>
        <w:spacing w:after="0"/>
        <w:tabs>
          <w:tab w:leader="none" w:pos="21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Cautionary Factors Relevant to Forward-Looking Information.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114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83"/>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S-1,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33-85494.</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S-3,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33-97272.</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S-1,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33-91228.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31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reference to, Registration</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Statement 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Form S-1,</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File No. 33-45739.</w:t>
            </w: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9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9"/>
              </w:rPr>
              <w:t>Annual Report on Form 10-K for fiscal</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22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9"/>
              </w:rPr>
              <w:t>1992 and filed March 30,</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gridSpan w:val="9"/>
          </w:tcPr>
          <w:p>
            <w:pPr>
              <w:ind w:left="440"/>
              <w:spacing w:after="0"/>
              <w:rPr>
                <w:sz w:val="20"/>
                <w:szCs w:val="20"/>
                <w:color w:val="auto"/>
              </w:rPr>
            </w:pPr>
            <w:r>
              <w:rPr>
                <w:rFonts w:ascii="Courier New" w:cs="Courier New" w:eastAsia="Courier New" w:hAnsi="Courier New"/>
                <w:sz w:val="15"/>
                <w:szCs w:val="15"/>
                <w:color w:val="auto"/>
                <w:w w:val="98"/>
              </w:rPr>
              <w:t>Confidential treatment requested as to certain portions. The</w:t>
            </w:r>
          </w:p>
        </w:tc>
      </w:tr>
      <w:tr>
        <w:trPr>
          <w:trHeight w:val="171"/>
        </w:trPr>
        <w:tc>
          <w:tcPr>
            <w:tcW w:w="1680" w:type="dxa"/>
            <w:vAlign w:val="bottom"/>
          </w:tcPr>
          <w:p>
            <w:pPr>
              <w:spacing w:after="0"/>
              <w:rPr>
                <w:sz w:val="14"/>
                <w:szCs w:val="14"/>
                <w:color w:val="auto"/>
              </w:rPr>
            </w:pPr>
          </w:p>
        </w:tc>
        <w:tc>
          <w:tcPr>
            <w:tcW w:w="39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9"/>
              </w:rPr>
              <w:t>term "confidential treatment" and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 "**" as used</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throughout the</w:t>
            </w:r>
          </w:p>
        </w:tc>
        <w:tc>
          <w:tcPr>
            <w:tcW w:w="386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indicated Exhibits mean that material has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been omitted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and separately filed with the Commission.</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9"/>
              </w:rPr>
              <w:t>Quarterly Report on</w:t>
            </w:r>
          </w:p>
        </w:tc>
        <w:tc>
          <w:tcPr>
            <w:tcW w:w="16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Form 10-Q for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March 31, 1994</w:t>
            </w:r>
          </w:p>
        </w:tc>
        <w:tc>
          <w:tcPr>
            <w:tcW w:w="23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and filed on May 14, 1994.</w:t>
            </w: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1993 and filed on March 30,</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by reference to, the Registrant's Quarterly</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Report on Form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34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for the quarter ended March 31, 1996.</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404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by reference to, the Registrant's Quarterly</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Report on Form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34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for the quarter ended September 30,</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1996 and filed on March 31,</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9"/>
              </w:rPr>
              <w:t>Quarterly Report on</w:t>
            </w:r>
          </w:p>
        </w:tc>
        <w:tc>
          <w:tcPr>
            <w:tcW w:w="16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Form 10-Q for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168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Courier New" w:cs="Courier New" w:eastAsia="Courier New" w:hAnsi="Courier New"/>
                <w:sz w:val="15"/>
                <w:szCs w:val="15"/>
                <w:color w:val="auto"/>
                <w:w w:val="99"/>
              </w:rPr>
              <w:t>September 30, 1997 and</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filed on November</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14, 1997.</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Registration</w:t>
            </w:r>
          </w:p>
        </w:tc>
        <w:tc>
          <w:tcPr>
            <w:tcW w:w="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Statement</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S-8, File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No. 333-37313.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1997 and filed on March 30,</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current report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Form</w:t>
            </w:r>
          </w:p>
        </w:tc>
        <w:tc>
          <w:tcPr>
            <w:tcW w:w="31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8-K filed on August 3, 1998.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368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9"/>
              </w:rPr>
              <w:t>annual report on Form 10-K 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168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1998 and filed on March 31,</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SectionSection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Previously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Commission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an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to, and</w:t>
            </w:r>
          </w:p>
        </w:tc>
      </w:tr>
      <w:tr>
        <w:trPr>
          <w:trHeight w:val="171"/>
        </w:trPr>
        <w:tc>
          <w:tcPr>
            <w:tcW w:w="168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incorporated</w:t>
            </w:r>
          </w:p>
        </w:tc>
        <w:tc>
          <w:tcPr>
            <w:tcW w:w="6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herein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reference to, the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Registrant's</w:t>
            </w:r>
          </w:p>
        </w:tc>
      </w:tr>
      <w:tr>
        <w:trPr>
          <w:trHeight w:val="171"/>
        </w:trPr>
        <w:tc>
          <w:tcPr>
            <w:tcW w:w="1680" w:type="dxa"/>
            <w:vAlign w:val="bottom"/>
          </w:tcPr>
          <w:p>
            <w:pPr>
              <w:spacing w:after="0"/>
              <w:rPr>
                <w:sz w:val="14"/>
                <w:szCs w:val="14"/>
                <w:color w:val="auto"/>
              </w:rPr>
            </w:pPr>
          </w:p>
        </w:tc>
        <w:tc>
          <w:tcPr>
            <w:tcW w:w="19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current report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Form</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8K on January 14,</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2000.</w:t>
            </w:r>
          </w:p>
        </w:tc>
      </w:tr>
    </w:tbl>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Current Reports on Form 8-K.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57" w:right="1440" w:bottom="1440" w:gutter="0" w:footer="0" w:header="0"/>
        </w:sectPr>
      </w:pPr>
    </w:p>
    <w:bookmarkStart w:id="58" w:name="page59"/>
    <w:bookmarkEnd w:id="58"/>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STEMCELLS, INC.</w:t>
      </w:r>
    </w:p>
    <w:p>
      <w:pPr>
        <w:sectPr>
          <w:pgSz w:w="11900" w:h="16838" w:orient="portrait"/>
          <w:cols w:equalWidth="0" w:num="1">
            <w:col w:w="10219"/>
          </w:cols>
          <w:pgMar w:left="240" w:top="457" w:right="1440" w:bottom="1440" w:gutter="0" w:footer="0" w:header="0"/>
        </w:sectPr>
      </w:pPr>
    </w:p>
    <w:p>
      <w:pPr>
        <w:spacing w:after="0" w:line="17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GEORGE W. DUNBAR,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George W. Dunbar, Jr.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ACTING PRESIDENT AND CHIEF EXECUTIVE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5140" w:space="180"/>
            <w:col w:w="4899"/>
          </w:cols>
          <w:pgMar w:left="240" w:top="457"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5, 2000</w:t>
      </w:r>
    </w:p>
    <w:p>
      <w:pPr>
        <w:spacing w:after="0" w:line="345"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SIGNATURE</w:t>
            </w:r>
          </w:p>
        </w:tc>
        <w:tc>
          <w:tcPr>
            <w:tcW w:w="2880" w:type="dxa"/>
            <w:vAlign w:val="bottom"/>
          </w:tcPr>
          <w:p>
            <w:pPr>
              <w:ind w:left="1120"/>
              <w:spacing w:after="0"/>
              <w:rPr>
                <w:sz w:val="20"/>
                <w:szCs w:val="20"/>
                <w:color w:val="auto"/>
              </w:rPr>
            </w:pPr>
            <w:r>
              <w:rPr>
                <w:rFonts w:ascii="Courier New" w:cs="Courier New" w:eastAsia="Courier New" w:hAnsi="Courier New"/>
                <w:sz w:val="15"/>
                <w:szCs w:val="15"/>
                <w:color w:val="auto"/>
              </w:rPr>
              <w:t>CAPACITY</w:t>
            </w:r>
          </w:p>
        </w:tc>
        <w:tc>
          <w:tcPr>
            <w:tcW w:w="160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9"/>
              </w:rPr>
              <w:t>DATE</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120" w:type="dxa"/>
            <w:vAlign w:val="bottom"/>
          </w:tcPr>
          <w:p>
            <w:pPr>
              <w:spacing w:after="0"/>
              <w:rPr>
                <w:sz w:val="24"/>
                <w:szCs w:val="2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Acting President And Chief</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GEORGE W. DUNBAR, JR.</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Executive Officer</w:t>
            </w:r>
          </w:p>
        </w:tc>
        <w:tc>
          <w:tcPr>
            <w:tcW w:w="1600" w:type="dxa"/>
            <w:vAlign w:val="bottom"/>
          </w:tcPr>
          <w:p>
            <w:pPr>
              <w:spacing w:after="0"/>
              <w:rPr>
                <w:sz w:val="14"/>
                <w:szCs w:val="1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w:t>
            </w: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George W. Dunbar, Jr.</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officer)</w:t>
            </w:r>
          </w:p>
        </w:tc>
        <w:tc>
          <w:tcPr>
            <w:tcW w:w="160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Controller and Acting Chief</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8"/>
              </w:rPr>
              <w:t>/s/ GEORGE KOSHY</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Financial Officer</w:t>
            </w:r>
          </w:p>
        </w:tc>
        <w:tc>
          <w:tcPr>
            <w:tcW w:w="1600" w:type="dxa"/>
            <w:vAlign w:val="bottom"/>
          </w:tcPr>
          <w:p>
            <w:pPr>
              <w:spacing w:after="0"/>
              <w:rPr>
                <w:sz w:val="14"/>
                <w:szCs w:val="1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(principal financial</w:t>
            </w: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George Koshy</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officer and principal</w:t>
            </w:r>
          </w:p>
        </w:tc>
        <w:tc>
          <w:tcPr>
            <w:tcW w:w="160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accounting officer)</w:t>
            </w:r>
          </w:p>
        </w:tc>
        <w:tc>
          <w:tcPr>
            <w:tcW w:w="160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/s/ MARK J. LEVIN</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spacing w:after="0"/>
              <w:rPr>
                <w:sz w:val="14"/>
                <w:szCs w:val="14"/>
                <w:color w:val="auto"/>
              </w:rPr>
            </w:pP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Mark J. Levin</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DONALD KENNEDY, PH.D.</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spacing w:after="0"/>
              <w:rPr>
                <w:sz w:val="14"/>
                <w:szCs w:val="14"/>
                <w:color w:val="auto"/>
              </w:rPr>
            </w:pP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Donald Kennedy, Ph.D.</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 JOHN J. SCHWARTZ, PH.D.</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Director, Chairman of the</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ind w:left="480"/>
              <w:spacing w:after="0"/>
              <w:rPr>
                <w:sz w:val="20"/>
                <w:szCs w:val="20"/>
                <w:color w:val="auto"/>
              </w:rPr>
            </w:pPr>
            <w:r>
              <w:rPr>
                <w:rFonts w:ascii="Courier New" w:cs="Courier New" w:eastAsia="Courier New" w:hAnsi="Courier New"/>
                <w:sz w:val="15"/>
                <w:szCs w:val="15"/>
                <w:color w:val="auto"/>
              </w:rPr>
              <w:t>Board</w:t>
            </w: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John J. Schwartz, Ph.D.</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/s/ IRVING L. WEISSMAN, M.D.</w:t>
            </w:r>
          </w:p>
        </w:tc>
        <w:tc>
          <w:tcPr>
            <w:tcW w:w="288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2880" w:type="dxa"/>
            <w:vAlign w:val="bottom"/>
          </w:tcPr>
          <w:p>
            <w:pPr>
              <w:spacing w:after="0"/>
              <w:rPr>
                <w:sz w:val="14"/>
                <w:szCs w:val="14"/>
                <w:color w:val="auto"/>
              </w:rPr>
            </w:pP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5, 2000</w:t>
            </w:r>
          </w:p>
        </w:tc>
      </w:tr>
      <w:tr>
        <w:trPr>
          <w:trHeight w:val="17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Irving L. Weissman, M.D.</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3"/>
        </w:trPr>
        <w:tc>
          <w:tcPr>
            <w:tcW w:w="41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58</w:t>
            </w:r>
          </w:p>
        </w:tc>
        <w:tc>
          <w:tcPr>
            <w:tcW w:w="28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type w:val="continuous"/>
        </w:sectPr>
      </w:pPr>
    </w:p>
    <w:bookmarkStart w:id="59" w:name="page60"/>
    <w:bookmarkEnd w:id="59"/>
    <w:p>
      <w:pPr>
        <w:jc w:val="right"/>
        <w:ind w:right="3119"/>
        <w:spacing w:after="0"/>
        <w:rPr>
          <w:sz w:val="20"/>
          <w:szCs w:val="20"/>
          <w:color w:val="auto"/>
        </w:rPr>
      </w:pPr>
      <w:r>
        <w:rPr>
          <w:rFonts w:ascii="Courier New" w:cs="Courier New" w:eastAsia="Courier New" w:hAnsi="Courier New"/>
          <w:sz w:val="15"/>
          <w:szCs w:val="15"/>
          <w:color w:val="auto"/>
        </w:rPr>
        <w:t>Exhibit 10.88</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LICENSE AGREEMENT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License Agreement is entered into and made effective as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____day of June, 1999, by and between THE SCRIPPS RESEARCH INSTITUTE, a</w:t>
      </w:r>
    </w:p>
    <w:p>
      <w:pPr>
        <w:spacing w:after="0" w:line="3"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California nonprofit public benefit corporation ("Scripps") located at 10550 North Torrey Pines Road, La Jolla, California 92037, and STEMCELLS, INC., a California corporation ("Licensee") with offices at 701 George Washington Highway, Lincoln, Rhode Island 02865, a wholly-owned subsidiary of CytoTherapeutics, Inc. ("CTI"), with respect to the facts set forth below.</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Scripps and Licensee have entered into a Research Funding and Option Agreement effective as of November 14, 1997 (the "Research Agreement"), pursuant to which Licensee agreed to fund certain research conducted in Dr. Nora Sarvetnick's laboratory at Scripps (the "Research Program").</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B. Scripps is engaged in fundamental scientific biomedical and biochemical research, including research relating to pancreatic stem and progenitor cells, as more particularly described herein.</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C. Licensee is engaged in research and development of stem and progenitor cells for the diagnosis, treatment and prophylaxis of diseases and other conditions in humans and animals.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D. Scripps has disclosed to Licensee certain technology described in that certain invention disclosure, a copy of which is attached hereto as Exhibit A and incorporated herein by reference (the "Invention(s)")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E. Scripps has the exclusive right to grant a license to the technology described in Exhibit A, subject to certain rights of the U.S. Government to use such technology for its own purposes, resulting from the receipt by Scripps of certain funding from the U. S. Government.</w:t>
      </w:r>
    </w:p>
    <w:p>
      <w:pPr>
        <w:spacing w:after="0" w:line="176"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F. Scripps desires to grant to Licensee, and Licensee wishes to acquire, an exclusive worldwide right and license to the technology described in the Exhibit A and to certain patent rights and know-how of Scripps with respect thereto, subject to the terms and conditions set forth herein, with a view to developing and marketing products within the Field (as defined below).</w:t>
      </w:r>
    </w:p>
    <w:p>
      <w:pPr>
        <w:spacing w:after="0" w:line="15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399" w:firstLine="532"/>
        <w:spacing w:after="0" w:line="238" w:lineRule="auto"/>
        <w:rPr>
          <w:sz w:val="20"/>
          <w:szCs w:val="20"/>
          <w:color w:val="auto"/>
        </w:rPr>
      </w:pPr>
      <w:r>
        <w:rPr>
          <w:rFonts w:ascii="Courier New" w:cs="Courier New" w:eastAsia="Courier New" w:hAnsi="Courier New"/>
          <w:sz w:val="15"/>
          <w:szCs w:val="15"/>
          <w:color w:val="auto"/>
        </w:rPr>
        <w:t>NOW, THEREFORE, in consideration of the mutual covenants and conditions set forth herein, Scripps and Licensee hereby agree as follows:</w:t>
      </w:r>
    </w:p>
    <w:p>
      <w:pPr>
        <w:spacing w:after="0" w:line="175" w:lineRule="exact"/>
        <w:rPr>
          <w:sz w:val="20"/>
          <w:szCs w:val="20"/>
          <w:color w:val="auto"/>
        </w:rPr>
      </w:pPr>
    </w:p>
    <w:p>
      <w:pPr>
        <w:ind w:left="3460" w:right="3219" w:hanging="2937"/>
        <w:spacing w:after="0" w:line="719"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Capitalized terms shall have the meaning set forth below. 1</w:t>
      </w:r>
    </w:p>
    <w:p>
      <w:pPr>
        <w:sectPr>
          <w:pgSz w:w="11900" w:h="16838" w:orient="portrait"/>
          <w:cols w:equalWidth="0" w:num="1">
            <w:col w:w="10219"/>
          </w:cols>
          <w:pgMar w:left="240" w:top="651" w:right="1440" w:bottom="1440" w:gutter="0" w:footer="0" w:header="0"/>
        </w:sectPr>
      </w:pPr>
    </w:p>
    <w:bookmarkStart w:id="60" w:name="page61"/>
    <w:bookmarkEnd w:id="60"/>
    <w:p>
      <w:pPr>
        <w:ind w:right="3119" w:firstLine="532"/>
        <w:spacing w:after="0"/>
        <w:rPr>
          <w:sz w:val="20"/>
          <w:szCs w:val="20"/>
          <w:color w:val="auto"/>
        </w:rPr>
      </w:pPr>
      <w:r>
        <w:rPr>
          <w:rFonts w:ascii="Courier New" w:cs="Courier New" w:eastAsia="Courier New" w:hAnsi="Courier New"/>
          <w:sz w:val="15"/>
          <w:szCs w:val="15"/>
          <w:color w:val="auto"/>
        </w:rPr>
        <w:t>1.1 Affiliate. The term "Affiliate" shall mean any entity which directly or indirectly controls, is controlled by or is under common control with Licensee. The term "control" as used herein means the possession of the power to direct or cause direction of the management and the policies of an entity, whether through the ownership of a majority of the outstanding voting securities or by contract or otherwise.</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1.2 Confidential Information. The term "Confidential Information" shall mean any and all proprietary or confidential information of Scripps or Licensee which may be exchanged between the parties at any time and from time to time during the term of this Agreement. Information shall not be considered confidential to the extent that it:</w:t>
      </w:r>
    </w:p>
    <w:p>
      <w:pPr>
        <w:spacing w:after="0" w:line="174" w:lineRule="exact"/>
        <w:rPr>
          <w:sz w:val="20"/>
          <w:szCs w:val="20"/>
          <w:color w:val="auto"/>
        </w:rPr>
      </w:pPr>
    </w:p>
    <w:p>
      <w:pPr>
        <w:ind w:left="520" w:right="3579" w:firstLine="536"/>
        <w:spacing w:after="0" w:line="271" w:lineRule="auto"/>
        <w:tabs>
          <w:tab w:leader="none" w:pos="14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publicly disclosed through no fault of any party hereto, either before or after it becomes known to the receiving party; or</w:t>
      </w:r>
    </w:p>
    <w:p>
      <w:pPr>
        <w:spacing w:after="0" w:line="153" w:lineRule="exact"/>
        <w:rPr>
          <w:rFonts w:ascii="Courier New" w:cs="Courier New" w:eastAsia="Courier New" w:hAnsi="Courier New"/>
          <w:sz w:val="14"/>
          <w:szCs w:val="14"/>
          <w:color w:val="auto"/>
        </w:rPr>
      </w:pPr>
    </w:p>
    <w:p>
      <w:pPr>
        <w:ind w:left="520" w:right="3119" w:firstLine="536"/>
        <w:spacing w:after="0" w:line="239" w:lineRule="auto"/>
        <w:tabs>
          <w:tab w:leader="none" w:pos="14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to the receiving party prior to the date of this Agreement, which knowledge was acquired independently and not from another party hereto (or such party's employees); or</w:t>
      </w:r>
    </w:p>
    <w:p>
      <w:pPr>
        <w:spacing w:after="0" w:line="175" w:lineRule="exact"/>
        <w:rPr>
          <w:rFonts w:ascii="Courier New" w:cs="Courier New" w:eastAsia="Courier New" w:hAnsi="Courier New"/>
          <w:sz w:val="15"/>
          <w:szCs w:val="15"/>
          <w:color w:val="auto"/>
        </w:rPr>
      </w:pPr>
    </w:p>
    <w:p>
      <w:pPr>
        <w:ind w:left="520" w:right="3299" w:firstLine="536"/>
        <w:spacing w:after="0" w:line="238" w:lineRule="auto"/>
        <w:tabs>
          <w:tab w:leader="none" w:pos="14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disclosed to the receiving party in good faith by a third party who has a right to make such disclosure; or</w:t>
      </w:r>
    </w:p>
    <w:p>
      <w:pPr>
        <w:spacing w:after="0" w:line="172" w:lineRule="exact"/>
        <w:rPr>
          <w:rFonts w:ascii="Courier New" w:cs="Courier New" w:eastAsia="Courier New" w:hAnsi="Courier New"/>
          <w:sz w:val="15"/>
          <w:szCs w:val="15"/>
          <w:color w:val="auto"/>
        </w:rPr>
      </w:pPr>
    </w:p>
    <w:p>
      <w:pPr>
        <w:ind w:left="1420" w:hanging="364"/>
        <w:spacing w:after="0"/>
        <w:tabs>
          <w:tab w:leader="none" w:pos="14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by a third party as a matter of right.</w:t>
      </w:r>
    </w:p>
    <w:p>
      <w:pPr>
        <w:spacing w:after="0" w:line="174"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1.3 Field. The term "Field" shall mean all medical applications of the Scripps Patent Rights and Scripps Technology in humans and animals.</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1.4 Licensed Product. The term "Licensed Product" shall mean a product, the manufacture, sale or use of which would but for the license granted herein, infringe a Valid Claim in the country for which such product is sold. Without limiting the foregoing, Licensed Product shall also include a product the manufacture, sale or use of a particular product would but for the license granted herein infringe a Valid Claim in the United States and at least two (2) Major Countries, in such case irrespective of where such product is made, sold or used and irrespective of whether such product is covered by a Valid Claim in the country where sold.</w:t>
      </w:r>
    </w:p>
    <w:p>
      <w:pPr>
        <w:spacing w:after="0" w:line="177"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1.5 Major Countries. The term "Major Countries" shall mean France, Germany, Italy and the United Kingdom.</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1.6 Net Sales. The term "Net Sales" shall mean the total amount invoiced to third parties on sales of Licensed Products by Licensee, its Affiliates, or Sublicensees, for which royalties are due under Article 3 below, less the following reasonable and customary deductions to the extent applicable to such invoiced amounts: (i) all trade, cash and quantity credits, discounts, refunds or 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61" w:name="page62"/>
    <w:bookmarkEnd w:id="61"/>
    <w:p>
      <w:pPr>
        <w:ind w:right="3119"/>
        <w:spacing w:after="0"/>
        <w:rPr>
          <w:sz w:val="20"/>
          <w:szCs w:val="20"/>
          <w:color w:val="auto"/>
        </w:rPr>
      </w:pPr>
      <w:r>
        <w:rPr>
          <w:rFonts w:ascii="Courier New" w:cs="Courier New" w:eastAsia="Courier New" w:hAnsi="Courier New"/>
          <w:sz w:val="15"/>
          <w:szCs w:val="15"/>
          <w:color w:val="auto"/>
        </w:rPr>
        <w:t>products of the selling party; provided, however, that in the case of Patient-Specific Licensed Products, "Net Sales" shall equal thirty percent (30%) of the foregoing amounts (after the deductions described in (i) through (iv) above). For purposes of the foregoing, it is understood that Net Sales shall include only the amount invoiced for materials consisting of Licensed Products (less the foregoing deductions and adjustments) and shall not include charges related to services (other than cell separation and expansion) performed in connection with the sale of such Licensed Products; accordingly, Net Sales shall not include, without limitation, charges for apheresis, reinfusion, surgical procedures, hospital stays or the like. For the removal of doubt, 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approval by Scripps, which approval shall not be unreasonably withheld, substitute the definition of "Net Sales," used by the Sublicensee to calculate payments to Licensee in place of the foregoing definition of "Net Sales" for purposes of calculating royalties payable to Scripps on such Sublicensee's sales.</w:t>
      </w:r>
    </w:p>
    <w:p>
      <w:pPr>
        <w:spacing w:after="0" w:line="18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 Patient-Specific Licensed Product. The term "Patient-Specific Licensed Product shall mean a Licensed Product that includes either (i) autologous cells from the patient; or (ii) nonautologous cells that otherwise are not intended for use in all patients (such as Licensed Products that are fetal cells expressing an HLA-type compatible with the particular patient but not optimally compatible with patients who have a different HLA type).</w:t>
      </w:r>
    </w:p>
    <w:p>
      <w:pPr>
        <w:spacing w:after="0" w:line="175"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1.8 Scripps Patent Rights. The term "Scripps Patent Rights" shall mean all rights resulting from:</w:t>
      </w:r>
    </w:p>
    <w:p>
      <w:pPr>
        <w:spacing w:after="0" w:line="175" w:lineRule="exact"/>
        <w:rPr>
          <w:sz w:val="20"/>
          <w:szCs w:val="20"/>
          <w:color w:val="auto"/>
        </w:rPr>
      </w:pPr>
    </w:p>
    <w:p>
      <w:pPr>
        <w:ind w:left="520" w:right="3119" w:firstLine="536"/>
        <w:spacing w:after="0" w:line="239" w:lineRule="auto"/>
        <w:tabs>
          <w:tab w:leader="none" w:pos="14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worldwide patent and patent applications claiming the Scripps Technology described in Exhibit A hereto (the "Existing Patents"); and</w:t>
      </w:r>
    </w:p>
    <w:p>
      <w:pPr>
        <w:spacing w:after="0" w:line="175" w:lineRule="exact"/>
        <w:rPr>
          <w:rFonts w:ascii="Courier New" w:cs="Courier New" w:eastAsia="Courier New" w:hAnsi="Courier New"/>
          <w:sz w:val="15"/>
          <w:szCs w:val="15"/>
          <w:color w:val="auto"/>
        </w:rPr>
      </w:pPr>
    </w:p>
    <w:p>
      <w:pPr>
        <w:ind w:left="520" w:right="3219" w:firstLine="536"/>
        <w:spacing w:after="0"/>
        <w:tabs>
          <w:tab w:leader="none" w:pos="14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divisions, continuations, continuations-in-part, patents of addition, and substitutions of the Existing Patents, together with all registrations, reissues, reexaminations or extensions of any kind with respect to any of the foregoing patents to the extent the same claim Scripps Technology.</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From time to time during the term of this Agreement the parties agree to record and update on Exhibit B all patents and patent applications within the Scripps Patent Rights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the event that Scripps and Licensee are joint owners of an invention by reason of the fact that personnel of both Scripps and Licensee are joint inventors of such invention, it is understood that the Scripps Patent Rights include only Scripps' rights as a joint owner of the patent applications and patents that claim such joint invention.</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1.9 Scripps Technology. The term "Scripps Technology" shall mean so much of the technology as is proprietary to Scripps that was developed in performance of the Research Program and in the disclosure provided to Licensee pursuant to Section 3.2 or 3.3 of the Research</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62" w:name="page63"/>
    <w:bookmarkEnd w:id="62"/>
    <w:p>
      <w:pPr>
        <w:ind w:left="9" w:right="3119"/>
        <w:spacing w:after="0" w:line="260" w:lineRule="auto"/>
        <w:rPr>
          <w:sz w:val="20"/>
          <w:szCs w:val="20"/>
          <w:color w:val="auto"/>
        </w:rPr>
      </w:pPr>
      <w:r>
        <w:rPr>
          <w:rFonts w:ascii="Courier New" w:cs="Courier New" w:eastAsia="Courier New" w:hAnsi="Courier New"/>
          <w:sz w:val="14"/>
          <w:szCs w:val="14"/>
          <w:color w:val="auto"/>
        </w:rPr>
        <w:t>Agreement, a copy of which is attached as Exhibit A hereto and incorporated herein by reference, together with materials, information and know-how related thereto from the Research Program as described Exhibit A whether or not the same is eligible for protection under the patent laws of the United States or elsewhere, and whether or not any such processes and technology, or information related thereto, would be enforceable as a trade secret or the copying of which would be enjoined or restrained by a court as constituting unfair competition.</w:t>
      </w:r>
    </w:p>
    <w:p>
      <w:pPr>
        <w:spacing w:after="0" w:line="163" w:lineRule="exact"/>
        <w:rPr>
          <w:sz w:val="20"/>
          <w:szCs w:val="20"/>
          <w:color w:val="auto"/>
        </w:rPr>
      </w:pPr>
    </w:p>
    <w:p>
      <w:pPr>
        <w:ind w:left="9" w:right="3119" w:firstLine="532"/>
        <w:spacing w:after="0" w:line="239" w:lineRule="auto"/>
        <w:rPr>
          <w:sz w:val="20"/>
          <w:szCs w:val="20"/>
          <w:color w:val="auto"/>
        </w:rPr>
      </w:pPr>
      <w:r>
        <w:rPr>
          <w:rFonts w:ascii="Courier New" w:cs="Courier New" w:eastAsia="Courier New" w:hAnsi="Courier New"/>
          <w:sz w:val="15"/>
          <w:szCs w:val="15"/>
          <w:color w:val="auto"/>
        </w:rPr>
        <w:t>1.10 Sublicensee. The term "Sublicensee" shall mean any non-Affiliate third party to whom Licensee has granted the right to manufacture and sell Licensed Products, with respect to Licensed Products made and sold by such third party.</w:t>
      </w:r>
    </w:p>
    <w:p>
      <w:pPr>
        <w:spacing w:after="0" w:line="176"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1.11 Valid Claim. The term "Valid Claim" shall mean a claim of an issued and unexpired patent or a claim of a pending patent application within the Scripps Patent Rights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1.11, if a claim of a pending patent application within the Scripps Patent Rights has not issued as a claim of an issued patent within the Scripps Patent Rights, within five (5) years after the filing date from which such claim takes priority, such pending claim shall not be a Valid Claim for purposes of this Agreement.</w:t>
      </w:r>
    </w:p>
    <w:p>
      <w:pPr>
        <w:spacing w:after="0" w:line="181" w:lineRule="exact"/>
        <w:rPr>
          <w:sz w:val="20"/>
          <w:szCs w:val="20"/>
          <w:color w:val="auto"/>
        </w:rPr>
      </w:pPr>
    </w:p>
    <w:p>
      <w:pPr>
        <w:ind w:left="529" w:right="7379" w:hanging="529"/>
        <w:spacing w:after="0" w:line="516" w:lineRule="auto"/>
        <w:tabs>
          <w:tab w:leader="none" w:pos="26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Terms and Conditions. 2.1 Grant of License.</w:t>
      </w:r>
    </w:p>
    <w:p>
      <w:pPr>
        <w:ind w:left="9" w:right="3299" w:firstLine="523"/>
        <w:spacing w:after="0"/>
        <w:tabs>
          <w:tab w:leader="none" w:pos="89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Scripps hereby grants to Licensee an exclusive, worldwide license, including the right to sublicense, to: make, use, sell, import, export or otherwise distribute Licensed Products; practice any method, process or procedure, and otherwise exploit the Scripps Patent Rights; and to have any of the foregoing performed on its behalf by a third party, in each case solely within the Field, subject to the terms of this Agreement.</w:t>
      </w:r>
    </w:p>
    <w:p>
      <w:pPr>
        <w:spacing w:after="0" w:line="175" w:lineRule="exact"/>
        <w:rPr>
          <w:rFonts w:ascii="Courier New" w:cs="Courier New" w:eastAsia="Courier New" w:hAnsi="Courier New"/>
          <w:sz w:val="15"/>
          <w:szCs w:val="15"/>
          <w:color w:val="auto"/>
        </w:rPr>
      </w:pPr>
    </w:p>
    <w:p>
      <w:pPr>
        <w:ind w:left="9" w:right="3219" w:firstLine="523"/>
        <w:spacing w:after="0" w:line="264" w:lineRule="auto"/>
        <w:tabs>
          <w:tab w:leader="none" w:pos="896"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hereby grants to Licensee a non-exclusive, worldwide license, including the right to sublicense to and under the Scripps Technology for the purpose of exercising its rights and licenses under the Scripps Patent Rights.</w:t>
      </w:r>
    </w:p>
    <w:p>
      <w:pPr>
        <w:spacing w:after="0" w:line="159"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2.2 Royalties. In consideration for the exclusive license granted pursuant to Section 2.1 hereof, Licensee shall pay to Scripps a continuing royalty the following percentages of Net Sales of each Licensed Product by Licensee, its Affiliates and Sublicensees: (i) two percent (2%) of Net Sales in Patent Countries and (ii) one percent (1%) in Non-Patent Countries. For purposes of calculating royalties due hereunder, a "Patent Country" shall mean, with respect to a particular Licensed Product, a country in which at the time of the sale of such Licensed Product in such country, the manufacture, use or sale of such Licensed Product would infringe a Valid Claim in</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63" w:name="page64"/>
    <w:bookmarkEnd w:id="63"/>
    <w:p>
      <w:pPr>
        <w:ind w:right="3119"/>
        <w:spacing w:after="0" w:line="239" w:lineRule="auto"/>
        <w:rPr>
          <w:sz w:val="20"/>
          <w:szCs w:val="20"/>
          <w:color w:val="auto"/>
        </w:rPr>
      </w:pPr>
      <w:r>
        <w:rPr>
          <w:rFonts w:ascii="Courier New" w:cs="Courier New" w:eastAsia="Courier New" w:hAnsi="Courier New"/>
          <w:sz w:val="15"/>
          <w:szCs w:val="15"/>
          <w:color w:val="auto"/>
        </w:rPr>
        <w:t>such country; and a "Non-Patent Country" shall mean, with respect to such Licensed Product, a country which a the time of sale of such Licensed Product in such country is not a Patent Country.</w:t>
      </w:r>
    </w:p>
    <w:p>
      <w:pPr>
        <w:spacing w:after="0" w:line="175"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2.3 Milestone Payments. As additional consideration for the exclusive license granted pursuant to Section 2.1 hereof, Licensee agrees to pay to Scripps upon the first occurrence of each milestone specified below for the first Licensed Product to meet such milestone: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MILESTONES</w:t>
            </w:r>
          </w:p>
        </w:tc>
        <w:tc>
          <w:tcPr>
            <w:tcW w:w="3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r>
      <w:tr>
        <w:trPr>
          <w:trHeight w:val="171"/>
        </w:trPr>
        <w:tc>
          <w:tcPr>
            <w:tcW w:w="34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1.</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initiation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of Phase II Trials for the first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Licensed Product.</w:t>
            </w: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2.</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initiation</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of Phase III Trials for the first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1"/>
        </w:trPr>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Licensed Product.</w:t>
            </w: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77"/>
              </w:rPr>
              <w:t>3.</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First receipt of</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government approval to</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bl>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 and distribute the first Licensed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 in the United States or the first Major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Country.</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For purposes of the foregoing milestones, "Phase II Trials" shall mean that portion of the clinical studies for the FDA submission and approval process which provides for the initial trials of a Licensed Product for the purposes of determining the efficacious therapeutic dose range and evaluating safety in the proposed therapeutic indication as more fully defined in 21 C.F.R. ss.</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312.21(b), or a similar clinical study in a country other than the United States; and "Phase III Trials" shall mean that portion of the clinical studies for the FDA submission and approval process which provides for trials of a Licensed Product on sufficient numbers of patients to establish the safety and efficacy of such Licensed Product to support regulatory approval in the proposed application as more fully defined in 21 C.F.R. ss. 3122.21(c), or similar clinical study in a country other than the United States.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2.4 Combination Products.</w:t>
      </w:r>
    </w:p>
    <w:p>
      <w:pPr>
        <w:spacing w:after="0" w:line="174" w:lineRule="exact"/>
        <w:rPr>
          <w:sz w:val="20"/>
          <w:szCs w:val="20"/>
          <w:color w:val="auto"/>
        </w:rPr>
      </w:pPr>
    </w:p>
    <w:p>
      <w:pPr>
        <w:ind w:right="3399" w:firstLine="1065"/>
        <w:spacing w:after="0"/>
        <w:rPr>
          <w:sz w:val="20"/>
          <w:szCs w:val="20"/>
          <w:color w:val="auto"/>
        </w:rPr>
      </w:pPr>
      <w:r>
        <w:rPr>
          <w:rFonts w:ascii="Courier New" w:cs="Courier New" w:eastAsia="Courier New" w:hAnsi="Courier New"/>
          <w:sz w:val="15"/>
          <w:szCs w:val="15"/>
          <w:color w:val="auto"/>
        </w:rPr>
        <w:t>2.4.1 Definition of Combination Product. As used herein, the term "Combination Product" shall mean a Licensed Product which cannot be manufactured, used or sold without infringing Scripps Patent Rights licensed hereunder in the country where sold which is sold with another product, component or service for which no royalty would be due hereunder if sold separately.</w:t>
      </w:r>
    </w:p>
    <w:p>
      <w:pPr>
        <w:spacing w:after="0" w:line="175" w:lineRule="exact"/>
        <w:rPr>
          <w:sz w:val="20"/>
          <w:szCs w:val="20"/>
          <w:color w:val="auto"/>
        </w:rPr>
      </w:pPr>
    </w:p>
    <w:p>
      <w:pPr>
        <w:ind w:right="3119" w:firstLine="1065"/>
        <w:spacing w:after="0" w:line="239" w:lineRule="auto"/>
        <w:rPr>
          <w:sz w:val="20"/>
          <w:szCs w:val="20"/>
          <w:color w:val="auto"/>
        </w:rPr>
      </w:pPr>
      <w:r>
        <w:rPr>
          <w:rFonts w:ascii="Courier New" w:cs="Courier New" w:eastAsia="Courier New" w:hAnsi="Courier New"/>
          <w:sz w:val="15"/>
          <w:szCs w:val="15"/>
          <w:color w:val="auto"/>
        </w:rPr>
        <w:t>2.4.2 Royalty Payable on Combination Products. The royalty payable on Combination Products shall be the royalty rate set forth in Section 2.2 above based on a pro rata portion of Net Sales of Combination Products in accordance with the following formula:</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X= -</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64" w:name="page65"/>
    <w:bookmarkEnd w:id="64"/>
    <w:p>
      <w:pPr>
        <w:ind w:left="2660"/>
        <w:spacing w:after="0"/>
        <w:rPr>
          <w:sz w:val="20"/>
          <w:szCs w:val="20"/>
          <w:color w:val="auto"/>
        </w:rPr>
      </w:pPr>
      <w:r>
        <w:rPr>
          <w:rFonts w:ascii="Courier New" w:cs="Courier New" w:eastAsia="Courier New" w:hAnsi="Courier New"/>
          <w:sz w:val="15"/>
          <w:szCs w:val="15"/>
          <w:color w:val="auto"/>
        </w:rPr>
        <w:t>A + B, where</w:t>
      </w:r>
    </w:p>
    <w:p>
      <w:pPr>
        <w:spacing w:after="0" w:line="174" w:lineRule="exact"/>
        <w:rPr>
          <w:sz w:val="20"/>
          <w:szCs w:val="20"/>
          <w:color w:val="auto"/>
        </w:rPr>
      </w:pPr>
    </w:p>
    <w:p>
      <w:pPr>
        <w:ind w:left="1580" w:right="3219"/>
        <w:spacing w:after="0" w:line="239" w:lineRule="auto"/>
        <w:rPr>
          <w:sz w:val="20"/>
          <w:szCs w:val="20"/>
          <w:color w:val="auto"/>
        </w:rPr>
      </w:pPr>
      <w:r>
        <w:rPr>
          <w:rFonts w:ascii="Courier New" w:cs="Courier New" w:eastAsia="Courier New" w:hAnsi="Courier New"/>
          <w:sz w:val="15"/>
          <w:szCs w:val="15"/>
          <w:color w:val="auto"/>
        </w:rPr>
        <w:t>X = the pro rata portion of Net Sales attributable to Scripps Patent Rights or other Scripps Technology licensed herein (expressed as a percentage), and</w:t>
      </w:r>
    </w:p>
    <w:p>
      <w:pPr>
        <w:spacing w:after="0" w:line="175" w:lineRule="exact"/>
        <w:rPr>
          <w:sz w:val="20"/>
          <w:szCs w:val="20"/>
          <w:color w:val="auto"/>
        </w:rPr>
      </w:pPr>
    </w:p>
    <w:p>
      <w:pPr>
        <w:ind w:left="1580" w:right="3299"/>
        <w:spacing w:after="0" w:line="238" w:lineRule="auto"/>
        <w:rPr>
          <w:sz w:val="20"/>
          <w:szCs w:val="20"/>
          <w:color w:val="auto"/>
        </w:rPr>
      </w:pPr>
      <w:r>
        <w:rPr>
          <w:rFonts w:ascii="Courier New" w:cs="Courier New" w:eastAsia="Courier New" w:hAnsi="Courier New"/>
          <w:sz w:val="15"/>
          <w:szCs w:val="15"/>
          <w:color w:val="auto"/>
        </w:rPr>
        <w:t>A = the fair market value of the Licensed Product component, and</w:t>
      </w:r>
    </w:p>
    <w:p>
      <w:pPr>
        <w:spacing w:after="0" w:line="175" w:lineRule="exact"/>
        <w:rPr>
          <w:sz w:val="20"/>
          <w:szCs w:val="20"/>
          <w:color w:val="auto"/>
        </w:rPr>
      </w:pPr>
    </w:p>
    <w:p>
      <w:pPr>
        <w:ind w:left="1580" w:right="3399"/>
        <w:spacing w:after="0" w:line="271" w:lineRule="auto"/>
        <w:rPr>
          <w:sz w:val="20"/>
          <w:szCs w:val="20"/>
          <w:color w:val="auto"/>
        </w:rPr>
      </w:pPr>
      <w:r>
        <w:rPr>
          <w:rFonts w:ascii="Courier New" w:cs="Courier New" w:eastAsia="Courier New" w:hAnsi="Courier New"/>
          <w:sz w:val="14"/>
          <w:szCs w:val="14"/>
          <w:color w:val="auto"/>
        </w:rPr>
        <w:t>B = the fair market value of all other components (product, component or service) in the Combination Product.</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fair market values described above shall be determined by the parties hereto in good faith. Notwithstanding the foregoing, in the event that there is no separate fair market values of the Licensed Product and such other product(s), component(s) and/or services(s), then the Net Sales shall be as reasonably allocated by Licensee between such Licensed Product and such other product(s), component(s) and/or service(s), based upon their relative importance and proprietary position, subject to the consent of Scripps, which consent shall not be unreasonably withheld.</w:t>
      </w:r>
    </w:p>
    <w:p>
      <w:pPr>
        <w:spacing w:after="0" w:line="177" w:lineRule="exact"/>
        <w:rPr>
          <w:sz w:val="20"/>
          <w:szCs w:val="20"/>
          <w:color w:val="auto"/>
        </w:rPr>
      </w:pPr>
    </w:p>
    <w:p>
      <w:pPr>
        <w:ind w:right="3119" w:firstLine="523"/>
        <w:spacing w:after="0"/>
        <w:tabs>
          <w:tab w:leader="none" w:pos="79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Multiple Royalties. If Licensee, its Affiliate or Sublicensee is required to pay a non-Affiliate third party amounts with respect to a Licensed Product under agreements for patent rights or other technologies which Licensee, its Affiliate or Sublicensee, in its reasonable judgment, determines are necessary or desirable to license or acquire with respect to such Licensed Product, Licensee may deduct such amount owing to such non-Affiliate third parties (prior to any reductions) from the royalty owing to Scripps for the sale of such Licensed Product pursuant to Section 2.2 above. Notwithstanding the foregoing provisions of this Section 2.5, in no event shall the royalties due to Scripps pursuant to Section 2.2 above be so reduced to less than fifty percent (50%) of the amount that would otherwise be due Scripps thereunder.</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2.6 Quarterly Payments.</w:t>
      </w:r>
    </w:p>
    <w:p>
      <w:pPr>
        <w:spacing w:after="0" w:line="17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2.6.1 Sales by Licensee. With regard to Net Sales made by Licensee or its Affiliates, royalties shall be payable by Licensee quarterly, within sixty (60) days after the end of each calendar quarter, based upon the Net Sales of Licensed Products during such preceding calendar quarter, commencing with the calendar quarter in which the first commercial sale of any Licensed Product is made.</w:t>
      </w:r>
    </w:p>
    <w:p>
      <w:pPr>
        <w:spacing w:after="0" w:line="175" w:lineRule="exact"/>
        <w:rPr>
          <w:sz w:val="20"/>
          <w:szCs w:val="20"/>
          <w:color w:val="auto"/>
        </w:rPr>
      </w:pPr>
    </w:p>
    <w:p>
      <w:pPr>
        <w:ind w:right="3219" w:firstLine="1065"/>
        <w:spacing w:after="0"/>
        <w:rPr>
          <w:sz w:val="20"/>
          <w:szCs w:val="20"/>
          <w:color w:val="auto"/>
        </w:rPr>
      </w:pPr>
      <w:r>
        <w:rPr>
          <w:rFonts w:ascii="Courier New" w:cs="Courier New" w:eastAsia="Courier New" w:hAnsi="Courier New"/>
          <w:sz w:val="15"/>
          <w:szCs w:val="15"/>
          <w:color w:val="auto"/>
        </w:rPr>
        <w:t>2.6.2 Sales by Sublicensees. With regard to Net Sales made by Sublicensees of Licensee or its Affiliates, royalties shall be payable by Licensee quarterly, within ninety (90) days after the end of each calendar quarter, based upon the Net Sales of Licensed Products by such Sublicensee during such preceding calendar quarter, commencing with the calendar quarter in which the first commercial sale of any Licensed Product is made by such Sublicensee.</w:t>
      </w:r>
    </w:p>
    <w:p>
      <w:pPr>
        <w:spacing w:after="0" w:line="176" w:lineRule="exact"/>
        <w:rPr>
          <w:sz w:val="20"/>
          <w:szCs w:val="20"/>
          <w:color w:val="auto"/>
        </w:rPr>
      </w:pPr>
    </w:p>
    <w:p>
      <w:pPr>
        <w:ind w:right="3299" w:firstLine="523"/>
        <w:spacing w:after="0" w:line="262" w:lineRule="auto"/>
        <w:tabs>
          <w:tab w:leader="none" w:pos="79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 Term of License. Unless terminated sooner in accordance with the provisions of this Agreement, the term of this license shall expire when the last of the royalty obligations set forth has expired (i.e., until expiration, revocation or invalidation of the last patent or the abandonment of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65" w:name="page66"/>
    <w:bookmarkEnd w:id="65"/>
    <w:p>
      <w:pPr>
        <w:ind w:right="3119"/>
        <w:spacing w:after="0"/>
        <w:rPr>
          <w:sz w:val="20"/>
          <w:szCs w:val="20"/>
          <w:color w:val="auto"/>
        </w:rPr>
      </w:pPr>
      <w:r>
        <w:rPr>
          <w:rFonts w:ascii="Courier New" w:cs="Courier New" w:eastAsia="Courier New" w:hAnsi="Courier New"/>
          <w:sz w:val="15"/>
          <w:szCs w:val="15"/>
          <w:color w:val="auto"/>
        </w:rPr>
        <w:t>last application within the Scripps Patent Rights, whichever is later). Notwithstanding the foregoing, if applicable government regulations require a shorter term and/or a shorter term of exclusivity than provided for herein, then the term of this License Agreement shall be so shortened or this License Agreement shall be amended to provide for a non-exclusive license, and, in such event, the parties shall negotiate in good faith to reduce appropriately the royalties payable as set forth under the section heading "Royalties" hereof. Notwithstanding anything herein to the contrary, Licensee's license under Section 2.l(b) with respect to the Scripps Technology shall survive the expiration, (but not an earlier termination, except as provided in Section 8.6 below) of this Agreement.</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2.8 Sublicense. Licensee shall have the sole and exclusive right to grant sublicenses to any party with respect to the rights conferred upon Licensee under this Agreement, provided, however, that any such sublicense shall be subject in all respects to the restrictions, exceptions, royalty obligations, reports, termination provisions, and other provisions contained in this Agreement. Without limiting the foregoing, Licensee agrees to provide Scripps a copy of each such sublicense agreement within thirty (30) days of the execution thereof. Licensee shall pay Scripps, or cause its Affiliate or Sublicensee to pay Scripps, the same royalties on all Net Sales of such Affiliate or Sublicensee the same as if said Net Sales had been made by Licensee. Each Affiliate and Sublicensee shall report its Net Sales to Scripps through Licensee, which Net Sales shall be aggregated with any Net Sales of Licensee for purposes of determining the Net Sales upon which royalties are to be paid to Scripps.</w:t>
      </w:r>
    </w:p>
    <w:p>
      <w:pPr>
        <w:spacing w:after="0" w:line="181"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2.9 Reports. Licensee shall furnish to Scripps at the same time as each royalty payment is made by Licensee, a detailed written report of Net Sales of the Licensed Products and the royalty due and payable thereon, including a description of any offsets or credits deducted therefrom, on a product-by-product and country-by-country basis, for the calendar quarter upon which the royalty payment is based.</w:t>
      </w:r>
    </w:p>
    <w:p>
      <w:pPr>
        <w:spacing w:after="0" w:line="175"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2.10 Records. Licensee shall keep, and cause its Affiliates and Sublicensees to keep, full, complete and proper records and accounts of all sales of Licensed Products in sufficient detail to enable the royalties payable on Net Sales of each Licensed Product to be determined. Scripps shall have the right to appoint an independent certified public accounting firm approved by Licensee, which approval shall not be unreasonably withheld, to audit the records of Licensee, its Affiliates and Sublicensees as necessary to verify the royalties payable pursuant to this Agreement. Licensee, its Affiliates and Sublicensees shall pay to Scripps an amount equal to any additional royalties to which Scripps is entitled as disclosed by the audit, plus interest thereon at the rate of one and one-half percent (1.5%) per month. Such audit shall be at Scripps' expense; provided, however, that if the audit discloses that Scripps was underpaid royalties with respect to the period covered by the audit by at least five percent (5%), then Licensee, its Affiliates or Sublicensee, as the case may be, shall reimburse Scripps for all reasonable out-of-pocket audit costs. Scripps may exercise its right of audit as to each of Licensee, its Affiliates or Sublicensees no more frequently than once in any calendar year. The accounting firm shall disclose to Scripps only information relating to the accuracy of the royalty payments. Licensee, its Affiliates and Sublicensees shall preserve and maintain all such records required for audit for a period of three (3) years after the calendar quarter to which the record applies.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66" w:name="page67"/>
    <w:bookmarkEnd w:id="66"/>
    <w:p>
      <w:pPr>
        <w:ind w:right="3119" w:firstLine="532"/>
        <w:spacing w:after="0"/>
        <w:rPr>
          <w:sz w:val="20"/>
          <w:szCs w:val="20"/>
          <w:color w:val="auto"/>
        </w:rPr>
      </w:pPr>
      <w:r>
        <w:rPr>
          <w:rFonts w:ascii="Courier New" w:cs="Courier New" w:eastAsia="Courier New" w:hAnsi="Courier New"/>
          <w:sz w:val="15"/>
          <w:szCs w:val="15"/>
          <w:color w:val="auto"/>
        </w:rPr>
        <w:t>2.11 Foreign Sales. The remittance of royalties payable on sales outside the United States shall be payable to Scripps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county where the sale was made on which the royalty was based to the credit and account of Scripps or its nominee in any commercial bank or trust company of Scripps' choice located in that country, prompt written notice of which shall be given by Licensee to Scripps and except as set forth in Section 2.10 above, Licensee shall have no further obligation with respect to such royalties.</w:t>
      </w:r>
    </w:p>
    <w:p>
      <w:pPr>
        <w:spacing w:after="0" w:line="181"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2.12 Foreign Taxes. Any tax required to be withheld by Licensee under the laws of any foreign country for the accounts of Scripps shall be promptly paid by Licensee for and on behalf of Scripps to the appropriate governmental authority, and Licensee shall use its best efforts to furnish Scripps with proof of payment of such tax together with official or other appropriate evidence issued by the applicable government authority. Any such tax actually paid on Scripps' behalf shall be deducted from royalty payments due Scripps hereunder.</w:t>
      </w:r>
    </w:p>
    <w:p>
      <w:pPr>
        <w:spacing w:after="0" w:line="163"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2.13 Single Payments. The parties hereto acknowledge that the parties may enter into multiple license agreements with respect to technologies arising out of the Research Agreement, including this Agreement (collectively, the "Scripps License Agreements") pursuant to which Licensee will owe royalties and milestone payments. Notwithstanding anything herein to the contrary, with respect to any unit of Licensed Product only a single royalty shall be due to Scripps at the highest applicable rate for such unit regardless if such Licensed Product is covered by more than one Valid Claim or would be a Licensed Product under more than one Scripps License Agreement. (For example, if a product sold by Licensee is a Licensed Product under this Agreement for which Licensee owes Scripps a royalty of 2% of Net Sales and Licensee would otherwise owe Scripps a royalty of 1% of Net Sales of such product under another Scripps License Agreement, Licensee's royalty obligation to Scripps shall be fulfilled by paying Scripps 2% of Net Sales with respect to sales of such License Product.) Likewise, with respect to the milestone payments under Section 2.3 above, once such milestone payment has been paid for a Licensed Product under any Scripps License Agreement then Licensee's obligation to pay such milestone shall be deemed to be fulfilled with respect to all Scripps License Agreement, regardless of whether the product for which such a milestone payment was paid was a "Licensed Product" for purposes of a particular Scripps License Agreement or not. (For example, if a Licensee initiates Phase II Trials for a product, which product falls within the definition of "Licensed Product" under this Agreement and pays Scripps the corresponding $50,000 payment, Licensee shall have no further obligation to pay any amounts to Scripps with respect to any other product under any Scripps License Agreement upon the initiation of Phase II Trials for a Licensed Product whether or not the product for which Licensee initially paid such milestone payment is a Licensed Product for purposes of any other Scripps License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Patent Matters.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67" w:name="page68"/>
    <w:bookmarkEnd w:id="67"/>
    <w:p>
      <w:pPr>
        <w:ind w:left="9" w:right="3119" w:firstLine="532"/>
        <w:spacing w:after="0"/>
        <w:rPr>
          <w:sz w:val="20"/>
          <w:szCs w:val="20"/>
          <w:color w:val="auto"/>
        </w:rPr>
      </w:pPr>
      <w:r>
        <w:rPr>
          <w:rFonts w:ascii="Courier New" w:cs="Courier New" w:eastAsia="Courier New" w:hAnsi="Courier New"/>
          <w:sz w:val="15"/>
          <w:szCs w:val="15"/>
          <w:color w:val="auto"/>
        </w:rPr>
        <w:t>3.1 Patent Prosecution and Maintenance. From and after the date of this Agreement, the provisions of this Section 3 shall control the prosecution and maintenance of any patent or patent application included within Scripps Patent Rights. Subject to the requirements, limitations and conditions set forth in this Agreement, Scripps shall direct and control (i) the preparation, filing and prosecution of the United States and foreign patent applications within Scripps Patent Rights (including any interferences and foreign oppositions) and (ii) maintain the patents issuing therefrom. Scripps shall select the patent attorney, subject to Licensee's written approval, which approval shall not be unreasonably withheld. Both parties hereto agree that Scripps may, at its sole discretion, utilize Scripps' Office of Patent Counsel in lieu of outside counsel for patent prosecution and maintenance described herein, and the fees and expenses incurred by Scripps with respect to work done by such Office of Patent Counsel shall be paid as set forth below. Licensee shall have full rights of consultation with the patent attorney so selected on all matters relating to Scripps Patent Rights. Scripps shall use its best efforts to implement all reasonable requests made by Licensee with regard to the preparation, filing, prosecution and/or maintenance of the patent applications and/or patents within Scripps Patent Rights.</w:t>
      </w:r>
    </w:p>
    <w:p>
      <w:pPr>
        <w:spacing w:after="0" w:line="18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3.2 Information to Licensee. Scripps agrees to use reasonable efforts to</w:t>
      </w:r>
    </w:p>
    <w:p>
      <w:pPr>
        <w:spacing w:after="0" w:line="3" w:lineRule="exact"/>
        <w:rPr>
          <w:sz w:val="20"/>
          <w:szCs w:val="20"/>
          <w:color w:val="auto"/>
        </w:rPr>
      </w:pPr>
    </w:p>
    <w:p>
      <w:pPr>
        <w:ind w:left="9" w:right="3299" w:hanging="9"/>
        <w:spacing w:after="0"/>
        <w:tabs>
          <w:tab w:leader="none" w:pos="3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Licensee informed as to the filing, prosecution and maintenance of patents and patent applications within the Scripps Patent Rights, (ii) furnish to Licensee copies of documents relevant to any such filing, prosecution and maintenance and (iii) allow Licensee reasonable opportunity to comment on documents filed with any patent office which would affect the Scripps Patent Rights or Licensee' rights hereunder.</w:t>
      </w:r>
    </w:p>
    <w:p>
      <w:pPr>
        <w:spacing w:after="0" w:line="175"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3.3 Patent Costs. Licensee acknowledges and agrees that Scripps does not have independent funding to cover patent costs, and that the license granted hereunder is in part in consideration for Licensee's assumption of patent costs and expenses as described herein. Licensee shall pay for all expenses incurred by Scripps pursuant to Section 3.1 hereof. In addition, Licensee agrees to reimburse Scripps for all patent costs and expenses paid or incurred by Scripps to date inconnection with Scripps Patent Rights licensed hereunder. Licensee agrees to pay all such past and future patent expenses directly or to reimburse Scripps for the payment of such expenses within sixty (60) days after Licensee receives an itemized invoice therefor. In the event Licensee elects to discontinue payment for the filing, prosecution and/or maintenance of any patent application and/or patent within Scripps Patent Rights, any such patent application or patent shall be excluded from the definition of Scripps Patent Rights and from the scope of the license granted under this Agreement, and all rights relating thereto shall revert to Scripps and may be freely licensed by Scripps. Licensee shall give Scripps at least sixty (60) days' prior written notice of such election. No such notice shall have any effect on Licensee's obligations to pay expenses incurred up to the effective date of such election.</w:t>
      </w:r>
    </w:p>
    <w:p>
      <w:pPr>
        <w:spacing w:after="0" w:line="162" w:lineRule="exact"/>
        <w:rPr>
          <w:sz w:val="20"/>
          <w:szCs w:val="20"/>
          <w:color w:val="auto"/>
        </w:rPr>
      </w:pPr>
    </w:p>
    <w:p>
      <w:pPr>
        <w:ind w:left="9" w:right="3479" w:firstLine="532"/>
        <w:spacing w:after="0"/>
        <w:rPr>
          <w:sz w:val="20"/>
          <w:szCs w:val="20"/>
          <w:color w:val="auto"/>
        </w:rPr>
      </w:pPr>
      <w:r>
        <w:rPr>
          <w:rFonts w:ascii="Courier New" w:cs="Courier New" w:eastAsia="Courier New" w:hAnsi="Courier New"/>
          <w:sz w:val="15"/>
          <w:szCs w:val="15"/>
          <w:color w:val="auto"/>
        </w:rPr>
        <w:t>3.4 Ownership. Subject to any joint or mutual ownership of Licensee by virtue of joint inventorship of inventions covered therein, the patent applications filed and patent applications obtained by Scripps pursuant to Section 3.1 hereof shall be owned solely by Scripps, assigned to Scripps and deemed a part of Scripps Patent Rights.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68" w:name="page69"/>
    <w:bookmarkEnd w:id="68"/>
    <w:p>
      <w:pPr>
        <w:ind w:right="3119" w:firstLine="532"/>
        <w:spacing w:after="0"/>
        <w:rPr>
          <w:sz w:val="20"/>
          <w:szCs w:val="20"/>
          <w:color w:val="auto"/>
        </w:rPr>
      </w:pPr>
      <w:r>
        <w:rPr>
          <w:rFonts w:ascii="Courier New" w:cs="Courier New" w:eastAsia="Courier New" w:hAnsi="Courier New"/>
          <w:sz w:val="15"/>
          <w:szCs w:val="15"/>
          <w:color w:val="auto"/>
        </w:rPr>
        <w:t>3.5 Scripps Right to Pursue Patent. If at any time during the term of this Agreement, Licensee's rights with respect to Scripps Patent Rights are terminated, Scripps shall have the right to take whatever action Scripps deems appropriate to obtain or maintain the corresponding patent protection at its own expense. If Scripps pursues patents under this Section 3.5, Licensee agrees to cooperate fully, including by providing, at no charge to Scripps, all appropriate technical data and executing all necessary legal documents.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3.6 Prosecution by Licensee. If Scripps elects not to file, prosecute or maintain any patent application or patent within the Scripps Patent Rights or pay any fee related thereto, in any country Scripps shall promptly notify Licensee of such election, but in no case later than sixty (60) prior to any required action relating to the filing, prosecution or maintenance of such patent application or patent. In such event, if Licensee elects to take over the filing, prosecution and/or maintenance of one or more patents or patent applications within the Scripps Patent Rights, Licensee shall have the right, at its option, to control the filing, prosecution and/or maintenance of any such patent applications or patents within the Scripps Patent Rights at its own expense. In which case Licensee shall keep Scripps reasonably informed on matters regarding such filing, prosecution and maintenance.</w:t>
      </w:r>
    </w:p>
    <w:p>
      <w:pPr>
        <w:spacing w:after="0" w:line="177"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Infringement.</w:t>
      </w:r>
    </w:p>
    <w:p>
      <w:pPr>
        <w:spacing w:after="0" w:line="174" w:lineRule="exact"/>
        <w:rPr>
          <w:sz w:val="20"/>
          <w:szCs w:val="20"/>
          <w:color w:val="auto"/>
        </w:rPr>
      </w:pPr>
    </w:p>
    <w:p>
      <w:pPr>
        <w:jc w:val="both"/>
        <w:ind w:right="3119" w:firstLine="1065"/>
        <w:spacing w:after="0" w:line="239" w:lineRule="auto"/>
        <w:rPr>
          <w:sz w:val="20"/>
          <w:szCs w:val="20"/>
          <w:color w:val="auto"/>
        </w:rPr>
      </w:pPr>
      <w:r>
        <w:rPr>
          <w:rFonts w:ascii="Courier New" w:cs="Courier New" w:eastAsia="Courier New" w:hAnsi="Courier New"/>
          <w:sz w:val="15"/>
          <w:szCs w:val="15"/>
          <w:color w:val="auto"/>
        </w:rPr>
        <w:t>3 .7.1 Enforcement. If either party determines that a third party is making, using or selling a product that may infringe the Scripps Patent Rights, that party shall notify the other party in writing.</w:t>
      </w:r>
    </w:p>
    <w:p>
      <w:pPr>
        <w:spacing w:after="0" w:line="175" w:lineRule="exact"/>
        <w:rPr>
          <w:sz w:val="20"/>
          <w:szCs w:val="20"/>
          <w:color w:val="auto"/>
        </w:rPr>
      </w:pPr>
    </w:p>
    <w:p>
      <w:pPr>
        <w:ind w:right="3219" w:firstLine="1056"/>
        <w:spacing w:after="0"/>
        <w:tabs>
          <w:tab w:leader="none" w:pos="14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the first right (itself or through others), at its sole option, to bring suit to enforce the Scripps Patent Rights, and/or to defend any declaratory judgment action with respect thereto, in each case with respect to the manufacture, sale or use of a product within the Field; provided, however, that Licensee shall keep Scripps reasonably informed as to the defense and/or settlement of such action. Scripps shall have the right to participate in any such action with counsel of its own choice at its own expense.</w:t>
      </w:r>
    </w:p>
    <w:p>
      <w:pPr>
        <w:spacing w:after="0" w:line="176"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Licensee elects not to initiate an action to enforce the Scripps Patent Rights against a commercially significant infringement by a third party within the Field, within one (1) year of a request by Scripps to do so, (or within such shorter period which may be required to preserve the legal rights of Scripps under the laws of the relevant government), Scripps may initiate such action at its expense with Licensee's prior written consent, which consent shall not be unreasonably withheld. Licensee shall have the right to participate in any such action with counsel of its own choice at its own expense.</w:t>
      </w:r>
    </w:p>
    <w:p>
      <w:pPr>
        <w:spacing w:after="0" w:line="177"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recoveries received by a party from an action to enforce the Scripps Patent Rights shall be first applied to reimburse the controlling party's and then the non-controlling party's unreimbursed expenses, including without limitation, reasonable attorney's fees and court costs. Any remainder shall, to the extent the same pertains to an infringement of the Scripps Patent Rights, be divided seventy percent (70%) to Licensee and thirty percent (30%) to Scripps.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69" w:name="page70"/>
    <w:bookmarkEnd w:id="69"/>
    <w:p>
      <w:pPr>
        <w:ind w:right="3119" w:firstLine="1065"/>
        <w:spacing w:after="0" w:line="259" w:lineRule="auto"/>
        <w:rPr>
          <w:sz w:val="20"/>
          <w:szCs w:val="20"/>
          <w:color w:val="auto"/>
        </w:rPr>
      </w:pPr>
      <w:r>
        <w:rPr>
          <w:rFonts w:ascii="Courier New" w:cs="Courier New" w:eastAsia="Courier New" w:hAnsi="Courier New"/>
          <w:sz w:val="14"/>
          <w:szCs w:val="14"/>
          <w:color w:val="auto"/>
        </w:rPr>
        <w:t>3.7.2 Defense. If Licensee, its Affiliate, Sublicensee, distributor or other customer is sued by a third party charging infringement of patent rights that dominate a claim of the Scripps Patent Rights or that cover other Related Material with respect to the manufacture, use, distribution or sale of a Licensed Product, Licensee will promptly notify Scripps. As between the parties to this Agreement, Licensee will be entitled to control the defense in any such action(s) and withhold one-half (1/2) of the royalties related to such Licensed Product otherwise payable to Scripps and use the withheld royalties to reimburse the legal defense costs, attorneys' fees and liability incurred in such infringement suit(s). Notwithstanding the foregoing, Licensee agrees to withhold only that portion of such royalties as may reasonably be necessary to reimburse amounts in accordance with this Section 3.7.2. If Licensee is required to pay a royalty to a third party to make and/or sell a Licensed Product as a result of a final judgment or settlement, such amounts may be deducted from the running royalties payable to Scripps hereunder in relation to such Licensed Product; provided that such royalties shall not be so reduced by more than fifty percent (50%). Subject to the provisions of Section 4.3 below, Licensee agrees to indemnify and hold Scripps harmless from any costs, expenses or liability arising out of all such infringements or charges of infringement.</w:t>
      </w:r>
    </w:p>
    <w:p>
      <w:pPr>
        <w:spacing w:after="0" w:line="333"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3.7.3 Cooperation. In any suit, action or other proceeding in connection with enforcement and/or defense of the Scripps Patent Rights, each party hereto agrees to cooperate fully, including without limitation by joining as a party plaintiff and executing such documents as the other party may reasonably request. Without limiting the foregoing, upon the request of and, at the expense of a party controlling any suit, action or other proceeding pursuant to this Article 3, the other party shall make available at reasonable times and under appropriate conditions all relevant personnel, records, papers, information, samples, specimens and other similar materials in such other party's possession.</w:t>
      </w:r>
    </w:p>
    <w:p>
      <w:pPr>
        <w:spacing w:after="0" w:line="178" w:lineRule="exact"/>
        <w:rPr>
          <w:sz w:val="20"/>
          <w:szCs w:val="20"/>
          <w:color w:val="auto"/>
        </w:rPr>
      </w:pPr>
    </w:p>
    <w:p>
      <w:pPr>
        <w:jc w:val="both"/>
        <w:ind w:right="3299" w:firstLine="1065"/>
        <w:spacing w:after="0" w:line="239" w:lineRule="auto"/>
        <w:rPr>
          <w:sz w:val="20"/>
          <w:szCs w:val="20"/>
          <w:color w:val="auto"/>
        </w:rPr>
      </w:pPr>
      <w:r>
        <w:rPr>
          <w:rFonts w:ascii="Courier New" w:cs="Courier New" w:eastAsia="Courier New" w:hAnsi="Courier New"/>
          <w:sz w:val="15"/>
          <w:szCs w:val="15"/>
          <w:color w:val="auto"/>
        </w:rPr>
        <w:t>3.7.4 No Implied Obligations. Except as expressly provided in this Section 3.7, neither party has any obligation to bring or prosecute actions or suits against any third party for patent infringement.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Obligations Related to Commercialization.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4.1 Commercial Development Obligation. In order to maintain the license granted hereunder in force, Licensee shall use reasonable efforts and due diligence to develop Scripps Technology and Scripps Patent Rights which are licensed hereunder into commercially viable Licensed Products, as promptly as is reasonably and commercially feasible, and thereafter to produce and sell reasonable quantities of Licensed Products. Licensee shall keep Scripps generally informed as to Licensee's progress in such development, production and sale, including its efforts, if any, to sublicense Scripps Technology and Scripps Patent Rights, and Licensee shall deliver to Scripps an annual written report and such other reports as Scripps may reasonably request. The parties hereto acknowledge and agree that achievement of mutually agreeable milestones shall be evidence of compliance by Licensee with its commercial development obligations hereunder. Notwithstanding the foregoing, if Licensee believes that it cannot, within the exercise of prudent and reasonable business judgment, perform any mutually agreed upon milestones within the time period required therefor, Licensee may request an extension of time for the performance date to a date that Licensee believes to be reasonable and prudent and Scripps shall agree to any requested</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70" w:name="page71"/>
    <w:bookmarkEnd w:id="70"/>
    <w:p>
      <w:pPr>
        <w:ind w:right="3119"/>
        <w:spacing w:after="0"/>
        <w:rPr>
          <w:sz w:val="20"/>
          <w:szCs w:val="20"/>
          <w:color w:val="auto"/>
        </w:rPr>
      </w:pPr>
      <w:r>
        <w:rPr>
          <w:rFonts w:ascii="Courier New" w:cs="Courier New" w:eastAsia="Courier New" w:hAnsi="Courier New"/>
          <w:sz w:val="15"/>
          <w:szCs w:val="15"/>
          <w:color w:val="auto"/>
        </w:rPr>
        <w:t>extension which is not more than one (l) year in length from the originally required date and will not unreasonably withhold consent to requests for longer extensions. In the event Scripps has a reasonable basis to believe that Licensee is not using reasonable efforts and due diligence as required hereunder, upon notice by Scripps to Licensee which specifies the basis for such belief, Scripps and Licensee shall negotiate in good faith to attempt to mutually resolve the issue. In the event Scripps and Licensee cannot agree upon any matter related to Licensee's commercial development obligations, the parties agree to utilize arbitration pursuant to Section 10.2 hereof in order to resolve the matter. If the arbitrator determines that Licensee has not complied with its obligations hereunder, and such default is not cured within sixty (60) days after the arbitrator's decision, Scripps may terminate Licensee's rights under this Agreement.</w:t>
      </w:r>
    </w:p>
    <w:p>
      <w:pPr>
        <w:spacing w:after="0" w:line="180"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4.2 Governmental Approvals and Marketing of Licensed Products. Licensee shall be responsible for obtaining all necessary governmental approvals for the development, production, distribution, sale and use of any Licensed Product, at Licensee's expense, including, without limitation, any safety studies. Licensee shall have sole responsibility for any warning labels, packaging and instructions as to the use of Licensed Products and for the quality control for any Licensed Product.</w:t>
      </w:r>
    </w:p>
    <w:p>
      <w:pPr>
        <w:spacing w:after="0" w:line="176"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4.3 Indemnity. Licensee hereby agrees to indemnify, defend and hold harmless Scripps and any parent, subsidiary or other affiliated entity and their trustees, officers, employees, scientists and agents from and against any liability or expense arising from any product liability claim asserted by any party as to any Licensed Product or any claims arising from the use of any Scripps Patent Rights or Scripps Technology pursuant to this Agreement. Such indemnity and defense obligation shall apply to any product liability or other claims, including without limitation, personal injury, death or property damage, made by employees, subcontractors, sublicensees, or agents of Licensee, as well as any member of the general public. Notwithstanding the foregoing, Licensee's obligation to provide indemnification under this Section 4.3 shall be subject to each party seeking indemnification hereunder (i) promptly notify Licensee in writing of any claim, suit or proceeding with respect to which the party intends to claim such indemnification, (ii) give Licensee sole control of the defense and/or settlement thereof, and (iii) provide Licensee, at Licensee's expense, with reasonable assistance and full information with respect to such claim, suit or proceeding. Licensee shall not settle any claim, suit or proceeding subject to this Section 4.3 or otherwise consent to an adverse judgment in such claim, suit or proceeding if the same materially diminishes the rights or interests of the indemnified party without the express written consent of such party. Licensee shall have no obligation for any claim, suit or proceeding if the party seeking indemnification makes any settlement regarding such claim, suit or proceeding without the prior written consent of Licensee, which consent shall not be unreasonably withheld. Licensee shall use its best efforts to have Scripps and any parent, subsidiary or other affiliated entity and their trustees, officers, employees, scientists and agents named as additional insured parties on any product liability insurance policies maintained by Licensee, its Affiliates and sublicensees applicable to Licensed Products.</w:t>
      </w:r>
    </w:p>
    <w:p>
      <w:pPr>
        <w:spacing w:after="0" w:line="346"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4.4 Patent Marking. To the extent required by applicable law, Licensee shall mark all Licensed Products or their containers in accordance with the applicable patent marking laws.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71" w:name="page72"/>
    <w:bookmarkEnd w:id="71"/>
    <w:p>
      <w:pPr>
        <w:ind w:left="9" w:right="3219" w:firstLine="532"/>
        <w:spacing w:after="0" w:line="264" w:lineRule="auto"/>
        <w:rPr>
          <w:sz w:val="20"/>
          <w:szCs w:val="20"/>
          <w:color w:val="auto"/>
        </w:rPr>
      </w:pPr>
      <w:r>
        <w:rPr>
          <w:rFonts w:ascii="Courier New" w:cs="Courier New" w:eastAsia="Courier New" w:hAnsi="Courier New"/>
          <w:sz w:val="14"/>
          <w:szCs w:val="14"/>
          <w:color w:val="auto"/>
        </w:rPr>
        <w:t>4.5 No Use of Name. Except as required by law, the use of the name "The Scripps Research Institute", " Scripps", or any variation thereof in connection with the advertising or sale of Licensed Products is expressly prohibited.</w:t>
      </w:r>
    </w:p>
    <w:p>
      <w:pPr>
        <w:spacing w:after="0" w:line="159"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4.6 U.S. Manufacture. To the extent required by applicable United States laws, if at all, Licensee agrees that Licensed Products will be manufactured in the United States, or its territories, subject to such waivers as may be required, or obtained, if at all, from the United States Department of Health and Human Services, or its designee.</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4.7 Foreign Registration. Licensee agrees to register this Agreement with any foreign governmental agency which requires such registration, and Licensee shall pay all costs and legal fees in connection therewith. In addition, Licensee shall assure that all foreign laws affecting this Agreement or the sale of Licensed Products are fully satisfied.</w:t>
      </w:r>
    </w:p>
    <w:p>
      <w:pPr>
        <w:spacing w:after="0" w:line="174" w:lineRule="exact"/>
        <w:rPr>
          <w:sz w:val="20"/>
          <w:szCs w:val="20"/>
          <w:color w:val="auto"/>
        </w:rPr>
      </w:pPr>
    </w:p>
    <w:p>
      <w:pPr>
        <w:jc w:val="both"/>
        <w:ind w:left="9" w:right="3219" w:hanging="9"/>
        <w:spacing w:after="0" w:line="258" w:lineRule="auto"/>
        <w:tabs>
          <w:tab w:leader="none" w:pos="2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Warranty. Scripps hereby represents and warrants that subject to the rights of the United States Government (i) it has sole right and power to enter into this Agreement and grant the rights and licenses granted herein; (ii)</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Scripps is and shall be the owner of the entire right, title, and interest in and to the Scripps Patent Rights; (iii) Scripps has not previously granted and will not grant any rights in the Scripps Patent Rights that are inconsistent with the rights and licenses granted to Licensee herein; and (iv) to the best of its knowledge, there are no claims of third parties that would call into question the rights of Scripps to grant to Licensee the rights contemplated hereunder. EXCEPT AS PROVIDED IN THIS SECTION 5, NEITHER PARTY MAKES ANY WARRANTIES OR CONDITIONS (EXPRESS, IMPLIED, STATUTORY OR OTHERWISE) WITH RESPECT TO THE SUBJECT MATTER HEREOF. SPECIFICALLY, SCRIPPS MAKES NO OTHER WARRANTIES CONCERNING SCRIPPS PATENT RIGHTS OR SCRIPPS TECHNOLOGY COVERED BY THIS AGREEMENT, INCLUDING WITHOUT LIMITATION, ANY EXPRESS OR IMPLIED WARRANTY OF MERCHANTABILITY OR FITNESS FOR A PARTICULAR PURPOSE AS TO SCRIPPS PATENT RIGHTS, SCRIPPS TECHNOLOGY OR ANY LICENSED PRODUCT. SCRIPPS MAKES NO WARRANTY OR REPRESENTATION AS TO THE VALIDITY OR SCOPE OF SCRIPPS PATENT RIGHTS, OR THAT ANY LICENSED PRODUCT WILL BE FREE FROM AN INFRINGEMENT ON PATENTS OR OTHER INTELLECTUAL PROPERTY RIGHTS OF THIRD PARTIES, OR THAT NO THIRD PARTIES ARE IN ANY WAY INFRINGING SCRIPPS PATENT RIGHTS OR SCRIPPS TECHNOLOGY COVERED BY THIS AGREEMENT.</w:t>
      </w:r>
    </w:p>
    <w:p>
      <w:pPr>
        <w:spacing w:after="0" w:line="18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Intellectual Property Rights.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6.1 Preservation of Title. Scripps shall retain full ownership and title to Scripps Technology, and Scripps Patent Rights licensed hereunder and shall use its reasonable best efforts to preserve and maintain such full ownership and title, subject to Licensee fully performing all of its obligations under this Agreement.</w:t>
      </w:r>
    </w:p>
    <w:p>
      <w:pPr>
        <w:spacing w:after="0" w:line="174" w:lineRule="exact"/>
        <w:rPr>
          <w:sz w:val="20"/>
          <w:szCs w:val="20"/>
          <w:color w:val="auto"/>
        </w:rPr>
      </w:pPr>
    </w:p>
    <w:p>
      <w:pPr>
        <w:ind w:left="9" w:right="3579" w:firstLine="532"/>
        <w:spacing w:after="0" w:line="239" w:lineRule="auto"/>
        <w:rPr>
          <w:sz w:val="20"/>
          <w:szCs w:val="20"/>
          <w:color w:val="auto"/>
        </w:rPr>
      </w:pPr>
      <w:r>
        <w:rPr>
          <w:rFonts w:ascii="Courier New" w:cs="Courier New" w:eastAsia="Courier New" w:hAnsi="Courier New"/>
          <w:sz w:val="15"/>
          <w:szCs w:val="15"/>
          <w:color w:val="auto"/>
        </w:rPr>
        <w:t>6.2 Royalty-free License to Improvements. Licensee hereby grants to Scripps a non-exclusive, royalty-free license to any improvement to Scripps Technology developed by Licensee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72" w:name="page73"/>
    <w:bookmarkEnd w:id="72"/>
    <w:p>
      <w:pPr>
        <w:ind w:right="3839"/>
        <w:spacing w:after="0" w:line="239" w:lineRule="auto"/>
        <w:rPr>
          <w:sz w:val="20"/>
          <w:szCs w:val="20"/>
          <w:color w:val="auto"/>
        </w:rPr>
      </w:pPr>
      <w:r>
        <w:rPr>
          <w:rFonts w:ascii="Courier New" w:cs="Courier New" w:eastAsia="Courier New" w:hAnsi="Courier New"/>
          <w:sz w:val="15"/>
          <w:szCs w:val="15"/>
          <w:color w:val="auto"/>
        </w:rPr>
        <w:t>during the term of this Agreement, to use for Scripps own non-commercial research purposes or grant to other nonprofit institutions for their non-commercial research purposes.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6.3 Governmental Interest. Licensee and Scripps acknowledge that Scripps has received, and expects to continue to receive, funding from the United States Government in support of Scripps' research activities. Licensee and Scripps acknowledge and agree that their respective rights and obligations pursuant to this Agreement shall be subject to Scripps' obligations and the rights of the United States Government, if any, which arise or result from Scripps' receipt of research support from the United States Government, including without limitation, the grant by Scripps to the United States a non-exclusive, irrevocable, royalty-free license to Scripps Technology and Scripps Patent Rights licensed hereunder for governmental purposes.</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6.4 Reservation of Rights. Scripps reserves the right to use for any non-commercial research purposes and the right to allow other nonprofit institutions to use for any non-commercial research purposes any Scripps Technology and Scripps Patent Rights licensed hereunder, without Scripps or such other institutions being obligated to pay Licensee any royalties or other compensation.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Confidentiality and Publication.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7.1 Treatment of Confidential Information. The parties agree that during the term of this Agreement and for ten ( 10) years thereafter, a party receiving Confidential Information of the other party will (i) maintain in confidence such Confidential Information to the same extent such party maintains its own proprietary industrial information, (ii) not disclose such Confidential Information to any third party without prior written consent of the other party and (iii) not use such Confidential Information for any purpose except those permitted by this Agreement.</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7.2 Permitted Usage. Notwithstanding the provisions of Section 7.1 above, the receiving party may use or disclose Confidential Information of the disclosing party to the extent necessary to exercise its rights hereunder (including commercialization and/or sublicensing of Scripps Patent Rights and Scripps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 provided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Confidential Information prior to its disclosure (whether through protective orders or otherwise).</w:t>
      </w:r>
    </w:p>
    <w:p>
      <w:pPr>
        <w:spacing w:after="0" w:line="181"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7.3 Publications. Licensee agrees that Scripps shall have a right to publish in accordance with its general policies and subject to Section 6.2 of the Research Agreement.</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7.4 Publicity. Except as otherwise provided herein or required by law, no party shall originate any publication, news release or other public announcement, written or oral, whether in the public press, stockholders' reports, or otherwise, relating to this Agreement or to any sublicense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73" w:name="page74"/>
    <w:bookmarkEnd w:id="73"/>
    <w:p>
      <w:pPr>
        <w:ind w:right="3299"/>
        <w:spacing w:after="0"/>
        <w:rPr>
          <w:sz w:val="20"/>
          <w:szCs w:val="20"/>
          <w:color w:val="auto"/>
        </w:rPr>
      </w:pPr>
      <w:r>
        <w:rPr>
          <w:rFonts w:ascii="Courier New" w:cs="Courier New" w:eastAsia="Courier New" w:hAnsi="Courier New"/>
          <w:sz w:val="15"/>
          <w:szCs w:val="15"/>
          <w:color w:val="auto"/>
        </w:rPr>
        <w:t>hereunder, or to the performance hereunder or any such agreements, without the prior written approval of the other party, which approval shall not be unreasonably withheld. Scientific publications published in accordance with Section 7.3 of this Agreement shall not be construed as publicity governed by this Section 7.4.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Term and Termination.</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8.1 Term. Unless terminated sooner in accordance with the terms set forth herein, this Agreement, and the license granted hereunder, shall terminate as provided in Section 2.7 hereof.</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8.2 Termination Upon Default. Any one or more of the following events shall constitute an event of default hereunder: (i) the failure of a party to pay any amounts when due hereunder and the expiration of thirty (30) days after receipt of a written notice requesting the payment of such amount; (ii) the failure of a party to perform any material obligation required of its to be performed hereunder, and the failure to cure within sixty (60) days after receipt of notice from the other party specifying in reasonable detail the nature of such default. Upon the occurrence of any event of default, the non-defaulting party may deliver to the defaulting party written notice of intent to terminate, such termination to be effective upon the date set forth in such notice.</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Such termination rights shall be in addition to and not in substitution for any other remedies that may be available to the non-defaulting party. Termination pursuant to this Section 8.2 shall not relieve the defaulting party from liability and damages to the other party for breach of this Agreement. Waiver by either party of a single default or a succession of defaults shall not deprive such party of any right to terminate this Agreement arising by reason of any subsequent default.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Notwithstanding the foregoing provisions of this Section 8.2, if the party alleged to be in default of this Agreement disputes in good faith such default within the applicable cure period, the other party's right to terminate shall be stayed until it has been determined in accordance with Section 10.2 below of this Agreement that the party alleged to be in default was actually in default and such defaulting party fails to comply with its obligations hereunder within the applicable cure period.</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8.3 Termination Upon Bankruptcy or Insolvency. This Agreement may be terminated by Scripps giving written notice of termination to Licensee upon the filing of bankruptcy or bankruptcy of Licensee or the appointment of a receiver of any of Licensee's assets, or the making by Licensee of any assignment for the benefit of creditors, or the institution of any proceedings against Licensee under any bankruptcy law which proceeding is not dismissed with prejudice within ninety (90) days from its initiation. Termination shall be effective upon the date specified in such notice.</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8.4 Termination by Licensee. Any provision herein notwithstanding, Licensee may terminate this Agreement, in its entirety or as to any particular patent or patent application within the Scripps Patent Rights, or as to any particular Licensed Product, at any time by giving Scripps at least ninety (90) days prior written notice. From and after the effective date of a termination under this Section 8.4 with respect to a particular patent or application, such patent(s) and patent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74" w:name="page75"/>
    <w:bookmarkEnd w:id="74"/>
    <w:p>
      <w:pPr>
        <w:ind w:right="3119"/>
        <w:spacing w:after="0"/>
        <w:rPr>
          <w:sz w:val="20"/>
          <w:szCs w:val="20"/>
          <w:color w:val="auto"/>
        </w:rPr>
      </w:pPr>
      <w:r>
        <w:rPr>
          <w:rFonts w:ascii="Courier New" w:cs="Courier New" w:eastAsia="Courier New" w:hAnsi="Courier New"/>
          <w:sz w:val="15"/>
          <w:szCs w:val="15"/>
          <w:color w:val="auto"/>
        </w:rPr>
        <w:t>application(s) in the particular country shall cease to be within the Scripps Patent Rights for all purposes of this Agreement, and all rights and obligations of Licensee with respect to such patent(s) and patent application(s) shall terminate. From and after the effective date of a termination under this Section 8.3 with respect to a particular Licensed Product, the license granted under Section 2.1 above shall terminate with respect to such Licensed Product, and the same shall cease to be a Licensed Product for all purposes of this Agreement. Upon a termination of this Agreement in its entirety under this Section 8.4, all rights and obligations of the parties shall terminate, except as provided in Section 8.5 below.</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8.5 Rights Upon Expiration. Neither party shall have any further rights or obligations upon the expiration of this Agreement upon its regularly scheduled expiration date with respect to this Agreement, other than the obligation of Licensee to make any and all reports and payments for the final quarter period. Provided, however, that upon such expiration, each party shall be required to continue to abide by its non-use and non-disclosure obligations as described in Section 7.1, and Licensee shall continue to maintain records under Section 2.10 and abide by its obligation to indemnify Scripps as described in Section 4.3 and by its obligations under Section 6.2 hereof.</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8.6 Rights Upon Termination.</w:t>
      </w:r>
    </w:p>
    <w:p>
      <w:pPr>
        <w:spacing w:after="0" w:line="174" w:lineRule="exact"/>
        <w:rPr>
          <w:sz w:val="20"/>
          <w:szCs w:val="20"/>
          <w:color w:val="auto"/>
        </w:rPr>
      </w:pPr>
    </w:p>
    <w:p>
      <w:pPr>
        <w:jc w:val="both"/>
        <w:ind w:right="3479" w:firstLine="1065"/>
        <w:spacing w:after="0" w:line="239" w:lineRule="auto"/>
        <w:rPr>
          <w:sz w:val="20"/>
          <w:szCs w:val="20"/>
          <w:color w:val="auto"/>
        </w:rPr>
      </w:pPr>
      <w:r>
        <w:rPr>
          <w:rFonts w:ascii="Courier New" w:cs="Courier New" w:eastAsia="Courier New" w:hAnsi="Courier New"/>
          <w:sz w:val="15"/>
          <w:szCs w:val="15"/>
          <w:color w:val="auto"/>
        </w:rPr>
        <w:t>8.6.1 Accrued Obligations. Termination of this Agreement for any reason shall not release either party hereto from any liability which at the time of such termination has already accrued to the other party.</w:t>
      </w:r>
    </w:p>
    <w:p>
      <w:pPr>
        <w:spacing w:after="0" w:line="175" w:lineRule="exact"/>
        <w:rPr>
          <w:sz w:val="20"/>
          <w:szCs w:val="20"/>
          <w:color w:val="auto"/>
        </w:rPr>
      </w:pPr>
    </w:p>
    <w:p>
      <w:pPr>
        <w:ind w:right="3119" w:firstLine="1065"/>
        <w:spacing w:after="0" w:line="260" w:lineRule="auto"/>
        <w:rPr>
          <w:sz w:val="20"/>
          <w:szCs w:val="20"/>
          <w:color w:val="auto"/>
        </w:rPr>
      </w:pPr>
      <w:r>
        <w:rPr>
          <w:rFonts w:ascii="Courier New" w:cs="Courier New" w:eastAsia="Courier New" w:hAnsi="Courier New"/>
          <w:sz w:val="14"/>
          <w:szCs w:val="14"/>
          <w:color w:val="auto"/>
        </w:rPr>
        <w:t>8.6.2 Inventory. In the event this Agreement is terminated for any reason, Licensee shall provide Scripps with a written inventory of all Licensed Products that Licensee and its Affiliates have in process of manufacture, in use or in stock and Licensee and its Affiliates shall have the right to sell or otherwise dispose of such Licensed Products for a period not to exceed six (6) months from the effective date of such termination, all subject to the payment to Scripps royalties and provision of reports pursuant to this Agreement.</w:t>
      </w:r>
    </w:p>
    <w:p>
      <w:pPr>
        <w:spacing w:after="0" w:line="163" w:lineRule="exact"/>
        <w:rPr>
          <w:sz w:val="20"/>
          <w:szCs w:val="20"/>
          <w:color w:val="auto"/>
        </w:rPr>
      </w:pPr>
    </w:p>
    <w:p>
      <w:pPr>
        <w:jc w:val="both"/>
        <w:ind w:right="3119" w:firstLine="1065"/>
        <w:spacing w:after="0" w:line="239" w:lineRule="auto"/>
        <w:rPr>
          <w:sz w:val="20"/>
          <w:szCs w:val="20"/>
          <w:color w:val="auto"/>
        </w:rPr>
      </w:pPr>
      <w:r>
        <w:rPr>
          <w:rFonts w:ascii="Courier New" w:cs="Courier New" w:eastAsia="Courier New" w:hAnsi="Courier New"/>
          <w:sz w:val="15"/>
          <w:szCs w:val="15"/>
          <w:color w:val="auto"/>
        </w:rPr>
        <w:t>8.6.3 Sublicenses. Upon termination of this Agreement by Scripps for any reason, any sublicense granted by Licensee hereunder shall survive, provided that upon request by Scripps, such Sublicensee promptly agrees in writing to be bound by the applicable terms of this Agreement.</w:t>
      </w:r>
    </w:p>
    <w:p>
      <w:pPr>
        <w:spacing w:after="0" w:line="176" w:lineRule="exact"/>
        <w:rPr>
          <w:sz w:val="20"/>
          <w:szCs w:val="20"/>
          <w:color w:val="auto"/>
        </w:rPr>
      </w:pPr>
    </w:p>
    <w:p>
      <w:pPr>
        <w:ind w:right="3219" w:firstLine="1065"/>
        <w:spacing w:after="0" w:line="239" w:lineRule="auto"/>
        <w:rPr>
          <w:sz w:val="20"/>
          <w:szCs w:val="20"/>
          <w:color w:val="auto"/>
        </w:rPr>
      </w:pPr>
      <w:r>
        <w:rPr>
          <w:rFonts w:ascii="Courier New" w:cs="Courier New" w:eastAsia="Courier New" w:hAnsi="Courier New"/>
          <w:sz w:val="15"/>
          <w:szCs w:val="15"/>
          <w:color w:val="auto"/>
        </w:rPr>
        <w:t>8.6.4 Survival. Sections 2.10, 4.3, 6.2, 7.1 and 10 shall survive any termination of this Agreement. Except as otherwise provided in this Section 8, all rights and obligations of the parties under this Agreement shall terminate upon termination of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Assignment; Successors.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9.1 Assignment. Neither this Agreement nor any rights granted hereunder may be assigned or transferred by Licensee except (i) to an Affiliate of Licensee or (ii) to a successor in interest to all or substantially all of the business assets of Licensee, whether by way of a merger, consolidation, sale of all or substantially all of Licensee's assets, change of control or similar transaction, without the prior written consent of Scripps.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75" w:name="page76"/>
    <w:bookmarkEnd w:id="75"/>
    <w:p>
      <w:pPr>
        <w:ind w:right="3119" w:firstLine="532"/>
        <w:spacing w:after="0"/>
        <w:rPr>
          <w:sz w:val="20"/>
          <w:szCs w:val="20"/>
          <w:color w:val="auto"/>
        </w:rPr>
      </w:pPr>
      <w:r>
        <w:rPr>
          <w:rFonts w:ascii="Courier New" w:cs="Courier New" w:eastAsia="Courier New" w:hAnsi="Courier New"/>
          <w:sz w:val="15"/>
          <w:szCs w:val="15"/>
          <w:color w:val="auto"/>
        </w:rPr>
        <w:t>9.2 Binding Upon Successors and Assigns. Subject to the limitations on assignment herein, this Agreement shall be binding upon and inure to the benefit of any successors in interest and assigns of Scripps and Licensee. Any such successor or assignee of Licensee's interest shall expressly assume in writing the performance of all the terms and conditions of this Agreement to be performed by Licensee.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General Provisions.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10.1 Independent Contractors. The relationship between Scripps and Licensee is that of independent contractors. Scripps and Licensee are not joint venturers, partners, principal and agent, master and servant, employer or employee, and have no other relationship other than independent contracting parties. Scripps and Licensee shall have no power to bind or obligate each other in any manner, other than as is expressly set forth in this Agreement.</w:t>
      </w:r>
    </w:p>
    <w:p>
      <w:pPr>
        <w:spacing w:after="0" w:line="175"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10.2 Arbitration. Any controversy or claim arising out of or relating to this Agreement, or the breach thereof, shall be settled by binding arbitration in accordance with the Commercial Arbitration Rules of the American Arbitration Association ("AAA"),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63" w:lineRule="exact"/>
        <w:rPr>
          <w:sz w:val="20"/>
          <w:szCs w:val="20"/>
          <w:color w:val="auto"/>
        </w:rPr>
      </w:pPr>
    </w:p>
    <w:p>
      <w:pPr>
        <w:ind w:right="3479" w:firstLine="1065"/>
        <w:spacing w:after="0" w:line="238" w:lineRule="auto"/>
        <w:rPr>
          <w:sz w:val="20"/>
          <w:szCs w:val="20"/>
          <w:color w:val="auto"/>
        </w:rPr>
      </w:pPr>
      <w:r>
        <w:rPr>
          <w:rFonts w:ascii="Courier New" w:cs="Courier New" w:eastAsia="Courier New" w:hAnsi="Courier New"/>
          <w:sz w:val="15"/>
          <w:szCs w:val="15"/>
          <w:color w:val="auto"/>
        </w:rPr>
        <w:t>10.2.1 Location. The location of the arbitration shall be in the County of San Diego in the State of California.</w:t>
      </w:r>
    </w:p>
    <w:p>
      <w:pPr>
        <w:spacing w:after="0" w:line="175" w:lineRule="exact"/>
        <w:rPr>
          <w:sz w:val="20"/>
          <w:szCs w:val="20"/>
          <w:color w:val="auto"/>
        </w:rPr>
      </w:pPr>
    </w:p>
    <w:p>
      <w:pPr>
        <w:ind w:right="3119" w:firstLine="1065"/>
        <w:spacing w:after="0" w:line="259" w:lineRule="auto"/>
        <w:rPr>
          <w:sz w:val="20"/>
          <w:szCs w:val="20"/>
          <w:color w:val="auto"/>
        </w:rPr>
      </w:pPr>
      <w:r>
        <w:rPr>
          <w:rFonts w:ascii="Courier New" w:cs="Courier New" w:eastAsia="Courier New" w:hAnsi="Courier New"/>
          <w:sz w:val="14"/>
          <w:szCs w:val="14"/>
          <w:color w:val="auto"/>
        </w:rPr>
        <w:t>10.2.2 Selection of Arbitrators. 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65" w:lineRule="exact"/>
        <w:rPr>
          <w:sz w:val="20"/>
          <w:szCs w:val="20"/>
          <w:color w:val="auto"/>
        </w:rPr>
      </w:pPr>
    </w:p>
    <w:p>
      <w:pPr>
        <w:ind w:right="3299" w:firstLine="1065"/>
        <w:spacing w:after="0"/>
        <w:rPr>
          <w:sz w:val="20"/>
          <w:szCs w:val="20"/>
          <w:color w:val="auto"/>
        </w:rPr>
      </w:pPr>
      <w:r>
        <w:rPr>
          <w:rFonts w:ascii="Courier New" w:cs="Courier New" w:eastAsia="Courier New" w:hAnsi="Courier New"/>
          <w:sz w:val="15"/>
          <w:szCs w:val="15"/>
          <w:color w:val="auto"/>
        </w:rPr>
        <w:t>10.2.3 Discovery. Unless the parties mutually agree in writing to some additional and specific pre-hearing discovery, the only pre-hearing discovery shall be (a) reasonably limited production of relevant and non-privileged documents, and (b) the identification of witnesses to be called at the hearing, which identification shall give the witness's name, general qualifications and position, and a brief statement as to the general scope of the testimony to be given by the witness. The arbitrators shall decide any disputes and shall control the process concerning these pre-hearing discovery matters. Pursuant to the Rules of AAA, the parties may subpoena witnesses and documents for presentation at the hearing.</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76" w:name="page77"/>
    <w:bookmarkEnd w:id="76"/>
    <w:p>
      <w:pPr>
        <w:ind w:right="3219" w:firstLine="1065"/>
        <w:spacing w:after="0"/>
        <w:rPr>
          <w:sz w:val="20"/>
          <w:szCs w:val="20"/>
          <w:color w:val="auto"/>
        </w:rPr>
      </w:pPr>
      <w:r>
        <w:rPr>
          <w:rFonts w:ascii="Courier New" w:cs="Courier New" w:eastAsia="Courier New" w:hAnsi="Courier New"/>
          <w:sz w:val="15"/>
          <w:szCs w:val="15"/>
          <w:color w:val="auto"/>
        </w:rPr>
        <w:t>10.2.4 Case Management. 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for obtaining a just resolution of the dispute.</w:t>
      </w:r>
    </w:p>
    <w:p>
      <w:pPr>
        <w:spacing w:after="0" w:line="177" w:lineRule="exact"/>
        <w:rPr>
          <w:sz w:val="20"/>
          <w:szCs w:val="20"/>
          <w:color w:val="auto"/>
        </w:rPr>
      </w:pPr>
    </w:p>
    <w:p>
      <w:pPr>
        <w:ind w:right="3299" w:firstLine="1065"/>
        <w:spacing w:after="0"/>
        <w:rPr>
          <w:sz w:val="20"/>
          <w:szCs w:val="20"/>
          <w:color w:val="auto"/>
        </w:rPr>
      </w:pPr>
      <w:r>
        <w:rPr>
          <w:rFonts w:ascii="Courier New" w:cs="Courier New" w:eastAsia="Courier New" w:hAnsi="Courier New"/>
          <w:sz w:val="15"/>
          <w:szCs w:val="15"/>
          <w:color w:val="auto"/>
        </w:rPr>
        <w:t>10.2.5 Remedies. The arbitrators may grant any legal or equitable remedy or relief that the arbitrators deem just and equitable, to the same extent that remedies or relief could be granted by a state or federal court, provided however, that no punitive damages may be awarded. No court action may be maintained seeking punitive damages. The decision of any two of the three arbitrators appointed shall be binding upon the parties.</w:t>
      </w:r>
    </w:p>
    <w:p>
      <w:pPr>
        <w:spacing w:after="0" w:line="175" w:lineRule="exact"/>
        <w:rPr>
          <w:sz w:val="20"/>
          <w:szCs w:val="20"/>
          <w:color w:val="auto"/>
        </w:rPr>
      </w:pPr>
    </w:p>
    <w:p>
      <w:pPr>
        <w:ind w:right="3299" w:firstLine="1065"/>
        <w:spacing w:after="0" w:line="260" w:lineRule="auto"/>
        <w:rPr>
          <w:sz w:val="20"/>
          <w:szCs w:val="20"/>
          <w:color w:val="auto"/>
        </w:rPr>
      </w:pPr>
      <w:r>
        <w:rPr>
          <w:rFonts w:ascii="Courier New" w:cs="Courier New" w:eastAsia="Courier New" w:hAnsi="Courier New"/>
          <w:sz w:val="14"/>
          <w:szCs w:val="14"/>
          <w:color w:val="auto"/>
        </w:rPr>
        <w:t>10.2.6 Expenses. The expenses of the arbitration, including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63"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10.2.7 Confidentiality. Except as set forth below,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and others who may be directly affected. Additionally, if a party has stock which is publicly traded, the party may make such disclosures as are required by applicable securities laws. Further, if a party is expressly asked by a third party about the dispute or the arbitration, the party may disclose and acknowledge in general and limited terms that there is a dispute with the other party which is being (or has been) arbitrated. Once the arbitration award has become final, if the arbitration award is not promptly satisfied, then these confidentiality provisions shall no longer be applicable.</w:t>
      </w:r>
    </w:p>
    <w:p>
      <w:pPr>
        <w:spacing w:after="0" w:line="181"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10.3 Entire Agreement Modification. This Agreement sets forth the entire agreement and understanding between the parties as to the subject matter hereof. There shall be no amendments or modifications to this Agreement, except by a written document which is signed by both parties. It is understood that the Research Agreement is separate and independent from this Agreement and termination of either agreement shall not operate to terminate or otherwise effect the rights and obligations of the parties under the other agreement.</w:t>
      </w:r>
    </w:p>
    <w:p>
      <w:pPr>
        <w:spacing w:after="0" w:line="163"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10.4 California Law. This Agreement shall be construed and enforced in accordance with the laws of the State of California.</w:t>
      </w:r>
    </w:p>
    <w:p>
      <w:pPr>
        <w:spacing w:after="0" w:line="175" w:lineRule="exact"/>
        <w:rPr>
          <w:sz w:val="20"/>
          <w:szCs w:val="20"/>
          <w:color w:val="auto"/>
        </w:rPr>
      </w:pPr>
    </w:p>
    <w:p>
      <w:pPr>
        <w:ind w:right="3119" w:firstLine="523"/>
        <w:spacing w:after="0" w:line="239" w:lineRule="auto"/>
        <w:tabs>
          <w:tab w:leader="none" w:pos="8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Limitation of Liability. NEITHER PARTY SHALL BE LIABLE TO THE OTHER PARTY OR ANY THIRD PARTY FOR ANY SPECIAL, CONSEQUENTIAL, EXEMPLARY OR INCIDENTAL DAMAGES (INCLUDING LOST OR ANTICIPATED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77" w:name="page78"/>
    <w:bookmarkEnd w:id="77"/>
    <w:p>
      <w:pPr>
        <w:ind w:right="3219"/>
        <w:spacing w:after="0" w:line="239" w:lineRule="auto"/>
        <w:rPr>
          <w:sz w:val="20"/>
          <w:szCs w:val="20"/>
          <w:color w:val="auto"/>
        </w:rPr>
      </w:pPr>
      <w:r>
        <w:rPr>
          <w:rFonts w:ascii="Courier New" w:cs="Courier New" w:eastAsia="Courier New" w:hAnsi="Courier New"/>
          <w:sz w:val="15"/>
          <w:szCs w:val="15"/>
          <w:color w:val="auto"/>
        </w:rPr>
        <w:t>REVENUES OR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76"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10.6 No Implied Obligations. Licensee's sole obligation to exploit the Scripps Patent Rights and Scripps Technology is as set forth in Section 4.1. Nothing in this Agreement shall be deemed to require Licensee to otherwise exploit the Scripps Patent Rights or Scripps Technology nor prevent Licensee from commercializing products similar to or competitive with a Licensed Product.</w:t>
      </w:r>
    </w:p>
    <w:p>
      <w:pPr>
        <w:spacing w:after="0" w:line="162"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10.7 Headings. The headings for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10.8 Severability. Should any one or more of the provisions of this Agreement be held invalid or unenforceable by a court of competent jurisdiction, it shall be considered severed from this Agreement and shall not serve to invalidate the remaining provisions thereof. The parties shall make a good faith effort to replace any invalid or unenforceable provision with a valid and enforceable one such that the objectives contemplated by them when entering this Agreement may be realized.</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10.9 No Waiver. Any delay in enforcing a party's rights under this Agreement or any waiver as to a particular default or other matter shall not constitute a waiver of such party's rights to the future enforcement of its rights under this Agreement, excepting only as to an express written and signed waiver as to a particular matter for a particular period of time.</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10.10 Name. Whenever there has been an assignment by Licensee as permitted by this Agreement, the term "Licensee" as used in this Agreement shall also include and refer to, if appropriate, such assignee.</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10.11 Notices. Any notices required by this Agreement shall be in writing, shall specifically refer to this Agreement and shall be sent by registered or certified airmail, postage prepaid, or by telefax, telex or cable, charges prepaid, or by overnight courier, postage prepaid and shall be forwarded to the respective addresses set forth below unless subsequently changed by written notice to the other party:</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Scripps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Scripps Research Institute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10550 North Torrey Pines Road, TPC-9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 Jolla, California 92037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Director, Technology Development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No.: (619) 784-9910</w:t>
      </w:r>
    </w:p>
    <w:p>
      <w:pPr>
        <w:spacing w:after="0" w:line="174" w:lineRule="exact"/>
        <w:rPr>
          <w:sz w:val="20"/>
          <w:szCs w:val="20"/>
          <w:color w:val="auto"/>
        </w:rPr>
      </w:pPr>
    </w:p>
    <w:p>
      <w:pPr>
        <w:sectPr>
          <w:pgSz w:w="11900" w:h="16838" w:orient="portrait"/>
          <w:cols w:equalWidth="0" w:num="2">
            <w:col w:w="1500" w:space="620"/>
            <w:col w:w="8099"/>
          </w:cols>
          <w:pgMar w:left="240" w:top="631"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For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1680" w:space="440"/>
            <w:col w:w="8099"/>
          </w:cols>
          <w:pgMar w:left="240" w:top="631"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19"/>
          </w:cols>
          <w:pgMar w:left="240" w:top="631" w:right="1440" w:bottom="1440" w:gutter="0" w:footer="0" w:header="0"/>
          <w:type w:val="continuous"/>
        </w:sectPr>
      </w:pPr>
    </w:p>
    <w:bookmarkStart w:id="78" w:name="page79"/>
    <w:bookmarkEnd w:id="78"/>
    <w:p>
      <w:pPr>
        <w:ind w:left="2120"/>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Lincoln, Rhode Island 02865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Research Director</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Fax No.: (401) 333-0684</w:t>
      </w:r>
    </w:p>
    <w:p>
      <w:pPr>
        <w:spacing w:after="0" w:line="171" w:lineRule="exact"/>
        <w:rPr>
          <w:sz w:val="20"/>
          <w:szCs w:val="20"/>
          <w:color w:val="auto"/>
        </w:rPr>
      </w:pPr>
    </w:p>
    <w:p>
      <w:pPr>
        <w:ind w:left="520"/>
        <w:spacing w:after="0"/>
        <w:tabs>
          <w:tab w:leader="none" w:pos="2100" w:val="left"/>
        </w:tabs>
        <w:rPr>
          <w:sz w:val="20"/>
          <w:szCs w:val="20"/>
          <w:color w:val="auto"/>
        </w:rPr>
      </w:pPr>
      <w:r>
        <w:rPr>
          <w:rFonts w:ascii="Courier New" w:cs="Courier New" w:eastAsia="Courier New" w:hAnsi="Courier New"/>
          <w:sz w:val="15"/>
          <w:szCs w:val="15"/>
          <w:color w:val="auto"/>
        </w:rPr>
        <w:t>with a copy to:</w:t>
      </w:r>
      <w:r>
        <w:rPr>
          <w:sz w:val="20"/>
          <w:szCs w:val="20"/>
          <w:color w:val="auto"/>
        </w:rPr>
        <w:tab/>
      </w:r>
      <w:r>
        <w:rPr>
          <w:rFonts w:ascii="Courier New" w:cs="Courier New" w:eastAsia="Courier New" w:hAnsi="Courier New"/>
          <w:sz w:val="14"/>
          <w:szCs w:val="14"/>
          <w:color w:val="auto"/>
        </w:rPr>
        <w:t>CytoTherapeutics, Inc.</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Lincoln, Rhode Island 02865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Attn: General Counsel</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Fax No.: (401) 334-9152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Notice shall be deemed delivered upon the earlier of (i) when received, (ii) three (3) days after deposit into the mail, or (iii) the date notice is sent via telefax, telex or cable, (iv) the day immediately following delivery to overnight courier (except Sunday and holidays).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sectPr>
      </w:pPr>
    </w:p>
    <w:bookmarkStart w:id="79" w:name="page80"/>
    <w:bookmarkEnd w:id="79"/>
    <w:p>
      <w:pPr>
        <w:ind w:right="3119" w:firstLine="532"/>
        <w:spacing w:after="0" w:line="239" w:lineRule="auto"/>
        <w:rPr>
          <w:sz w:val="20"/>
          <w:szCs w:val="20"/>
          <w:color w:val="auto"/>
        </w:rPr>
      </w:pPr>
      <w:r>
        <w:rPr>
          <w:rFonts w:ascii="Courier New" w:cs="Courier New" w:eastAsia="Courier New" w:hAnsi="Courier New"/>
          <w:sz w:val="15"/>
          <w:szCs w:val="15"/>
          <w:color w:val="auto"/>
        </w:rPr>
        <w:t>10.12 Compliance with U. S. Laws. Nothing contained in this Agreement shall require or permit Scripps or Licensee to do any act inconsistent with the requirements of any United States law, regulation or executive order as the same may be in effect from time to time.</w:t>
      </w:r>
    </w:p>
    <w:p>
      <w:pPr>
        <w:spacing w:after="0" w:line="176"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IN WITNESS WHEREOF, the parties have executed this Agreement by their duly authorized representatives as of the date set forth above.</w:t>
      </w:r>
    </w:p>
    <w:p>
      <w:pPr>
        <w:sectPr>
          <w:pgSz w:w="11900" w:h="16838" w:orient="portrait"/>
          <w:cols w:equalWidth="0" w:num="1">
            <w:col w:w="10219"/>
          </w:cols>
          <w:pgMar w:left="240" w:top="631"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w:t>
      </w:r>
    </w:p>
    <w:p>
      <w:pPr>
        <w:spacing w:after="0" w:line="200" w:lineRule="exact"/>
        <w:rPr>
          <w:sz w:val="20"/>
          <w:szCs w:val="20"/>
          <w:color w:val="auto"/>
        </w:rPr>
      </w:pPr>
    </w:p>
    <w:p>
      <w:pPr>
        <w:sectPr>
          <w:pgSz w:w="11900" w:h="16838" w:orient="portrait"/>
          <w:cols w:equalWidth="0" w:num="2">
            <w:col w:w="3000" w:space="720"/>
            <w:col w:w="649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SCRIPPS RESEARCH INSTITUTE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3000" w:space="720"/>
            <w:col w:w="649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83"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Philip K. Yachmetz</w:t>
      </w:r>
    </w:p>
    <w:p>
      <w:pPr>
        <w:spacing w:after="0" w:line="183"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3100" w:space="620"/>
            <w:col w:w="6499"/>
          </w:cols>
          <w:pgMar w:left="240" w:top="631"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19"/>
          </w:cols>
          <w:pgMar w:left="240" w:top="631" w:right="1440" w:bottom="1440" w:gutter="0" w:footer="0" w:header="0"/>
          <w:type w:val="continuous"/>
        </w:sectPr>
      </w:pPr>
    </w:p>
    <w:bookmarkStart w:id="80" w:name="page81"/>
    <w:bookmarkEnd w:id="80"/>
    <w:p>
      <w:pPr>
        <w:jc w:val="right"/>
        <w:ind w:right="3119"/>
        <w:spacing w:after="0"/>
        <w:rPr>
          <w:sz w:val="20"/>
          <w:szCs w:val="20"/>
          <w:color w:val="auto"/>
        </w:rPr>
      </w:pPr>
      <w:r>
        <w:rPr>
          <w:rFonts w:ascii="Courier New" w:cs="Courier New" w:eastAsia="Courier New" w:hAnsi="Courier New"/>
          <w:sz w:val="15"/>
          <w:szCs w:val="15"/>
          <w:color w:val="auto"/>
        </w:rPr>
        <w:t>EXHIBIT 10.90</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34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THIS EMPLOYMENT AGREEMENT is made as of this 8th day of June, 1998 (the "Effective Date"), as amended and restated as of June 8, 1999, by and between CytoTherapeutics, Inc., a Delaware corporation ("Employer") having its principal place of business at 701 George Washington Highway, Lincoln, Rhode Island 02865 and PHILIP K. YACHMETZ ("Employee") with a principal residence at 7 North Koewing Place, West Orange, New Jersey 07052-4014, collectively referred to as the "parties."</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99" w:firstLine="532"/>
        <w:spacing w:after="0" w:line="238" w:lineRule="auto"/>
        <w:rPr>
          <w:sz w:val="20"/>
          <w:szCs w:val="20"/>
          <w:color w:val="auto"/>
        </w:rPr>
      </w:pPr>
      <w:r>
        <w:rPr>
          <w:rFonts w:ascii="Courier New" w:cs="Courier New" w:eastAsia="Courier New" w:hAnsi="Courier New"/>
          <w:sz w:val="15"/>
          <w:szCs w:val="15"/>
          <w:color w:val="auto"/>
        </w:rPr>
        <w:t>Whereas Employer desires to employ Employee at its Lincoln, Rhode Island Facility and Employee desires to be so employed,</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The parties enter this Agreement to set forth the terms and conditions of Employee's employment by Employer, to address certain matters related to Employee's employment with Employer, and Employee's loyalty and commitment to Employer.</w:t>
      </w:r>
    </w:p>
    <w:p>
      <w:pPr>
        <w:spacing w:after="0" w:line="176"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NOW THEREFORE, in consideration of these promises and the parties' material covenants, representations, and warranties made herein, the parties agree as follows: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 OF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EMPLOYMENT</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 Position. Employer wishes to employ and Employee hereby accepts the position of Senior Vice President - Business Development, General Counsel and Secretary for the term of this Agreement. Employee shall report directly to Employer's Chief Executive Officer. Such employment shall be at a primary work location in the Northeastern United States (subject to such travel as the Employer may reasonably request).</w:t>
      </w:r>
    </w:p>
    <w:p>
      <w:pPr>
        <w:spacing w:after="0" w:line="175"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b. Employee's Commitment. Employee shall consider his employment by Employer as his principal employment, shall devote his full business time and attention to his duties and responsibilities under this Agreement, and shall perform them to the best of his abilities. While subject to any provision of this Agreement, Employee shall maintain loyalty to Employer, and shall take no action that would directly or indirectly promote any competitor or injure Employer's interests. Subject to the foregoing, employee may engage in other charitable or business activities to the extent that they do not interfere or create a conflict with his obligations under this Agreement; provided that Employee first discloses any such activities to Employer, and that Employee's continued participation in any such activity shall be subject to Employer's ongoing approval, which may be withheld at Employer's sole discretion.</w:t>
      </w:r>
    </w:p>
    <w:p>
      <w:pPr>
        <w:sectPr>
          <w:pgSz w:w="11900" w:h="16838" w:orient="portrait"/>
          <w:cols w:equalWidth="0" w:num="1">
            <w:col w:w="10219"/>
          </w:cols>
          <w:pgMar w:left="240" w:top="799" w:right="1440" w:bottom="1440" w:gutter="0" w:footer="0" w:header="0"/>
        </w:sectPr>
      </w:pPr>
    </w:p>
    <w:bookmarkStart w:id="81" w:name="page82"/>
    <w:bookmarkEnd w:id="81"/>
    <w:p>
      <w:pPr>
        <w:ind w:right="3299" w:firstLine="532"/>
        <w:spacing w:after="0" w:line="271" w:lineRule="auto"/>
        <w:rPr>
          <w:sz w:val="20"/>
          <w:szCs w:val="20"/>
          <w:color w:val="auto"/>
        </w:rPr>
      </w:pPr>
      <w:r>
        <w:rPr>
          <w:rFonts w:ascii="Courier New" w:cs="Courier New" w:eastAsia="Courier New" w:hAnsi="Courier New"/>
          <w:sz w:val="14"/>
          <w:szCs w:val="14"/>
          <w:color w:val="auto"/>
        </w:rPr>
        <w:t>c. Duties. Employee's primary duties and responsibilities as Senior Vice President - Business Development, General Counsel and Secretary shall be to:</w:t>
      </w:r>
    </w:p>
    <w:p>
      <w:pPr>
        <w:spacing w:after="0" w:line="154" w:lineRule="exact"/>
        <w:rPr>
          <w:sz w:val="20"/>
          <w:szCs w:val="20"/>
          <w:color w:val="auto"/>
        </w:rPr>
      </w:pPr>
    </w:p>
    <w:p>
      <w:pPr>
        <w:ind w:right="3219" w:firstLine="523"/>
        <w:spacing w:after="0" w:line="264" w:lineRule="auto"/>
        <w:tabs>
          <w:tab w:leader="none" w:pos="8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and oversee all legal matters pertaining to CTI, including contractual relationships, general corporate and securities matters, patent, copyright and the coordination of any legal matters handled by outside counsel.</w:t>
      </w:r>
    </w:p>
    <w:p>
      <w:pPr>
        <w:spacing w:after="0" w:line="159" w:lineRule="exact"/>
        <w:rPr>
          <w:rFonts w:ascii="Courier New" w:cs="Courier New" w:eastAsia="Courier New" w:hAnsi="Courier New"/>
          <w:sz w:val="14"/>
          <w:szCs w:val="14"/>
          <w:color w:val="auto"/>
        </w:rPr>
      </w:pPr>
    </w:p>
    <w:p>
      <w:pPr>
        <w:ind w:right="3299" w:firstLine="523"/>
        <w:spacing w:after="0" w:line="260" w:lineRule="auto"/>
        <w:tabs>
          <w:tab w:leader="none" w:pos="8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the research and analysis of such business opportunities, strategic partnerships, alliances and collaborations, including the establishment and recommendation of strategic initiatives as directed by the Employer's CEO from time to time; responsible for implementation of such strategic initiatives of Senior Management as directed by the Employer's CEO from time to time, including the negotiation of agreements related to external alliances, direct the policies and programs related to corporate licensing objectives for the acquisition of licensing opportunities and techniques.</w:t>
      </w:r>
    </w:p>
    <w:p>
      <w:pPr>
        <w:spacing w:after="0" w:line="158" w:lineRule="exact"/>
        <w:rPr>
          <w:rFonts w:ascii="Courier New" w:cs="Courier New" w:eastAsia="Courier New" w:hAnsi="Courier New"/>
          <w:sz w:val="14"/>
          <w:szCs w:val="14"/>
          <w:color w:val="auto"/>
        </w:rPr>
      </w:pPr>
    </w:p>
    <w:p>
      <w:pPr>
        <w:ind w:left="880" w:hanging="357"/>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as corporate secretary of the Company and its subsidiaries.</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COMPENSATION, BENEFITS AND EXPENSES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Salary. Subject to Subsection 2b, Employer shall pay Employee as salary of Two Hundred Fifty Thousand dollars ($250,000.00) annually, payable in accordance with Employer's payroll practices in effect from time to time.</w:t>
      </w:r>
    </w:p>
    <w:p>
      <w:pPr>
        <w:spacing w:after="0" w:line="172" w:lineRule="exact"/>
        <w:rPr>
          <w:sz w:val="20"/>
          <w:szCs w:val="20"/>
          <w:color w:val="auto"/>
        </w:rPr>
      </w:pPr>
    </w:p>
    <w:p>
      <w:pPr>
        <w:ind w:left="780" w:hanging="257"/>
        <w:spacing w:after="0"/>
        <w:tabs>
          <w:tab w:leader="none" w:pos="7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w:t>
      </w:r>
    </w:p>
    <w:p>
      <w:pPr>
        <w:spacing w:after="0" w:line="174" w:lineRule="exact"/>
        <w:rPr>
          <w:rFonts w:ascii="Courier New" w:cs="Courier New" w:eastAsia="Courier New" w:hAnsi="Courier New"/>
          <w:sz w:val="15"/>
          <w:szCs w:val="15"/>
          <w:color w:val="auto"/>
        </w:rPr>
      </w:pPr>
    </w:p>
    <w:p>
      <w:pPr>
        <w:ind w:right="3299" w:firstLine="1056"/>
        <w:spacing w:after="0"/>
        <w:tabs>
          <w:tab w:leader="none" w:pos="14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a "sign on" bonus of Fifteen Thousand Dollars ($15,000) payable, $10,000 in cash and $5,000 in registered shares of Employer's common stock (3,906 shares), calculated at the price per share of $1.28 per share, the closing price of the Employer's common stock as quoted on the Nasdaq stock exchange for the Effective Date of Employment.</w:t>
      </w:r>
    </w:p>
    <w:p>
      <w:pPr>
        <w:spacing w:after="0" w:line="174" w:lineRule="exact"/>
        <w:rPr>
          <w:rFonts w:ascii="Courier New" w:cs="Courier New" w:eastAsia="Courier New" w:hAnsi="Courier New"/>
          <w:sz w:val="15"/>
          <w:szCs w:val="15"/>
          <w:color w:val="auto"/>
        </w:rPr>
      </w:pPr>
    </w:p>
    <w:p>
      <w:pPr>
        <w:ind w:right="3119" w:firstLine="1056"/>
        <w:spacing w:after="0" w:line="259" w:lineRule="auto"/>
        <w:tabs>
          <w:tab w:leader="none" w:pos="142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Employee shall be eligible (in the sole discretion of the Employer) to receive performance related bonuses at the end of each calendar year, including 1998, in a percentage amount of base salary similar to that for which other members of the Employer's senior management are eligible or are awarded under guidelines in effect at such time. Employee's bonus shall be based on (i) the reduction in comparable outside legal fees versus the base period of January 1, 1998 through June 30, 1998, (ii) the level of cash funding received by Employer from business development transactions with third parties in which Employee is materially involved, and (iii) the attainment of other specific performance objectives mutually agreed with Employer's Chief Executive Officer. The payment and amount of any such bonus shall be determined in the sole discretion of the Employer and its Board of Directors.</w:t>
      </w:r>
    </w:p>
    <w:p>
      <w:pPr>
        <w:spacing w:after="0" w:line="164" w:lineRule="exact"/>
        <w:rPr>
          <w:rFonts w:ascii="Courier New" w:cs="Courier New" w:eastAsia="Courier New" w:hAnsi="Courier New"/>
          <w:sz w:val="14"/>
          <w:szCs w:val="14"/>
          <w:color w:val="auto"/>
        </w:rPr>
      </w:pPr>
    </w:p>
    <w:p>
      <w:pPr>
        <w:ind w:right="3299" w:firstLine="523"/>
        <w:spacing w:after="0"/>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Grants. (i) Through the Employer's 1992 Equity Incentive Plan (the "Incentive Plan") and subject to the terms and conditions set forth herein, Employee is hereby granted, as of the Effective Date of this Agreement, an option to acquire 75,000 shares of the common stock of the Employer at a strike price, subject to</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82" w:name="page83"/>
    <w:bookmarkEnd w:id="82"/>
    <w:p>
      <w:pPr>
        <w:ind w:right="3119"/>
        <w:spacing w:after="0"/>
        <w:rPr>
          <w:sz w:val="20"/>
          <w:szCs w:val="20"/>
          <w:color w:val="auto"/>
        </w:rPr>
      </w:pPr>
      <w:r>
        <w:rPr>
          <w:rFonts w:ascii="Courier New" w:cs="Courier New" w:eastAsia="Courier New" w:hAnsi="Courier New"/>
          <w:sz w:val="15"/>
          <w:szCs w:val="15"/>
          <w:color w:val="auto"/>
        </w:rPr>
        <w:t>the approval of the Employer's Board of Directors, of $1.281 per share, or such other strike price as may be specified by the Board of Directors (the "Time-Based Option"). The time-based option will vest as follows: (A) 30,000 of the shares will vest on the Effective Date, and (B) the remaining 45,000 shares shall vest at the rate of 3,000 shares per month on each monthly anniversary of the Effective Date so long as Employee continues to be employed hereunder. Employee shall have one (1) year from the last such vesting date within which to exercise such option (e.g.: September 10, 2000). The expiration of the Initial Term of this Agreement shall not effect the validity, the vesting schedule or the exercise period of such Time-Based Option granted Employee. (ii) Through the Incentive Plan, upon the approval of the Employer's Board of Directors, Employee is hereby granted a second option to acquire 12,000 shares of the common stock of the Employer at a strike price equal to the closing price for the Employer's Common Stock on the date of the approval of this grant by the Company's Board (the "Time-Based Option II"). The Time-Based Option II will vest at the rate of 1,500 shares per month on the 1st day of each month commencing with September 1, 1999 and ending with April 1, 2000. Employee shall have one (1) year from the Termination Date of this Agreement to exercise the option to purchase the shares subject to the Time-Based Option and the Time-Based Option II (e.g.: April 1, 2001.</w:t>
      </w:r>
    </w:p>
    <w:p>
      <w:pPr>
        <w:spacing w:after="0" w:line="18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compensation set forth in Sections 2a, 2b and 2c may be increased from time to time at the will and discretion of Employer.</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d. Relocation. As soon as reasonably practicable following the Effective Date, Employee will establish his principal office at the Company's offices in Lincoln, Rhode Island and a temporary residence within driving distance of such office. The Employer shall pay or reimburse Employee up to an amount not to exceed $2,500 per month for all costs of such temporary housing and related expenses, including, but not limited to, apartment rent and security deposit, furniture rental, utilities, cable television, basic telephone service and similar expenses, for the term of this Agreement and for such additional period while Employee is still rendering services to the Employer pursuant to Section 4.a.(1) (collectively the "Temporary Residence Period"). Employer shall also during the Temporary Residence Period pay or reimburse Employee for two (2) round trip airfares per month to the New Jersey/New York area for use by Employee or his daughter. Until such time as Employee has established his temporary residence in Rhode Island, Employer shall reimburse Employee for hotel, travel, meal and related costs to and from New Jersey. The cost of Employee's temporary housing and the cost of the two (2) round trips airfares set forth above are hereinafter collectively referred to as the "Temporary Relocation Expenses."</w:t>
      </w:r>
    </w:p>
    <w:p>
      <w:pPr>
        <w:spacing w:after="0" w:line="18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e. Benefits. Employee will be entitled to participate in any and all employee benefit plans from time to time in effect for senior management of the Employer generally, including, but not limited to, medical, dental and hospitalization plans, retirement and 401(k) savings plans, life insurance and accidental death plans, disability plans, etc., except to the extent that such plans provide duplicative benefits or a lower level of benefits than that specifically provided Employee herein. Additionally, Employee shall be entitled to participation similar to that provided other members of Employer's senior management in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83" w:name="page84"/>
    <w:bookmarkEnd w:id="83"/>
    <w:p>
      <w:pPr>
        <w:ind w:right="3119"/>
        <w:spacing w:after="0"/>
        <w:rPr>
          <w:sz w:val="20"/>
          <w:szCs w:val="20"/>
          <w:color w:val="auto"/>
        </w:rPr>
      </w:pPr>
      <w:r>
        <w:rPr>
          <w:rFonts w:ascii="Courier New" w:cs="Courier New" w:eastAsia="Courier New" w:hAnsi="Courier New"/>
          <w:sz w:val="15"/>
          <w:szCs w:val="15"/>
          <w:color w:val="auto"/>
        </w:rPr>
        <w:t>any supplemental stock or option grants, stock appreciation rights awards, phantom stock rights, "golden parachute" or "golden handcuff" policies of the Employer in effect as of the Effective Date or adopted by Employer thereafter for the general benefit of its senior management. Employee's participation shall be subject to (i) the terms of the applicable plan documents, (ii) generally applicable policies of the Employer, and (iii) the discretion of the Board of Directors of the Employer and plan administrators, as provided for or contemplated by such plan. Employee will be entitled to four (4) weeks' vacation for the period ending on the first anniversary of this Agreement and two (2) weeks' vacation for the period from the first anniversary of this Agreement through the Termination Date. Employer will provide Employee with a leased automobile at a cost to be approved by Employer's CEO, cover the cost of up to three (3) state bar memberships per year and the cost of professional association memberships consistent with Employer's policy for its senior management.</w:t>
      </w:r>
    </w:p>
    <w:p>
      <w:pPr>
        <w:spacing w:after="0" w:line="18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f. Withholdings, "Gross Up" of Compensation. (i) Employer shall withhold from any amounts payable as compensation all federal, state, municipal, or other taxes as are required by any law, regulation, or ruling. (ii) Employer shall "gross up" any and all Temporary Relocation Expenses paid or reimbursed to Employee during the Temporary Residence Period by 36% in order to offset any and all income tax liability to Employee for the payment or reimbursement of these expenses by Employer. (iii) In addition, in the event Employee sustains an increased state income tax liability due to the payment of state income taxes in both Rhode Island and New Jersey versus Employee's paying only New Jersey state income tax, then Employer shall "gross up" the compensation paid to Employee hereunder in order to reimburse and offset any and all incremental increase in Employee's state income tax liability.</w:t>
      </w:r>
    </w:p>
    <w:p>
      <w:pPr>
        <w:spacing w:after="0" w:line="180" w:lineRule="exact"/>
        <w:rPr>
          <w:sz w:val="20"/>
          <w:szCs w:val="20"/>
          <w:color w:val="auto"/>
        </w:rPr>
      </w:pPr>
    </w:p>
    <w:p>
      <w:pPr>
        <w:ind w:right="3659" w:firstLine="532"/>
        <w:spacing w:after="0" w:line="239" w:lineRule="auto"/>
        <w:rPr>
          <w:sz w:val="20"/>
          <w:szCs w:val="20"/>
          <w:color w:val="auto"/>
        </w:rPr>
      </w:pPr>
      <w:r>
        <w:rPr>
          <w:rFonts w:ascii="Courier New" w:cs="Courier New" w:eastAsia="Courier New" w:hAnsi="Courier New"/>
          <w:sz w:val="15"/>
          <w:szCs w:val="15"/>
          <w:color w:val="auto"/>
        </w:rPr>
        <w:t>g. Business Expenses. Employer shall reimburse Employee for expenses reasonably incurred in the course of his employment, in accordance with Employer's policies in effect from time to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TERM</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Initial Term. The term of Employee's employment shall commence on the Effective Date and shall expire on October 31, 1999 (the "Term"), after which the provisions of Section 4 shall apply. For purposes of this Agreement, the "Termination Date" shall mean October 31, 1999 or the effective date of an early termination pursuant to section 3.b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 Early Termination. Notwithstanding any other provision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Employee's employment shall terminate at any time, as follows:</w:t>
      </w:r>
    </w:p>
    <w:p>
      <w:pPr>
        <w:spacing w:after="0" w:line="174" w:lineRule="exact"/>
        <w:rPr>
          <w:sz w:val="20"/>
          <w:szCs w:val="20"/>
          <w:color w:val="auto"/>
        </w:rPr>
      </w:pPr>
    </w:p>
    <w:p>
      <w:pPr>
        <w:ind w:left="520" w:right="3119" w:firstLine="3"/>
        <w:spacing w:after="0" w:line="258" w:lineRule="auto"/>
        <w:tabs>
          <w:tab w:leader="none" w:pos="87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may terminate your employment upon thirty (30) days written notice to Employee in the event you become disabled during your employment through any illness, injury, accident or condition of either a physical or psychological nature and, as a result, you are unable to perform substantially all of your duties and responsibilities hereunder for ninety</w:t>
      </w:r>
    </w:p>
    <w:p>
      <w:pPr>
        <w:ind w:left="960" w:hanging="437"/>
        <w:spacing w:after="0"/>
        <w:tabs>
          <w:tab w:leader="none" w:pos="9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days during</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84" w:name="page85"/>
    <w:bookmarkEnd w:id="84"/>
    <w:p>
      <w:pPr>
        <w:ind w:left="520" w:right="3659"/>
        <w:spacing w:after="0" w:line="238" w:lineRule="auto"/>
        <w:rPr>
          <w:sz w:val="20"/>
          <w:szCs w:val="20"/>
          <w:color w:val="auto"/>
        </w:rPr>
      </w:pPr>
      <w:r>
        <w:rPr>
          <w:rFonts w:ascii="Courier New" w:cs="Courier New" w:eastAsia="Courier New" w:hAnsi="Courier New"/>
          <w:sz w:val="15"/>
          <w:szCs w:val="15"/>
          <w:color w:val="auto"/>
        </w:rPr>
        <w:t>the Initial Term. In that event, the Employer shall pay Employee the severance set forth in Section 4.</w:t>
      </w:r>
    </w:p>
    <w:p>
      <w:pPr>
        <w:spacing w:after="0" w:line="175" w:lineRule="exact"/>
        <w:rPr>
          <w:sz w:val="20"/>
          <w:szCs w:val="20"/>
          <w:color w:val="auto"/>
        </w:rPr>
      </w:pPr>
    </w:p>
    <w:p>
      <w:pPr>
        <w:ind w:left="520" w:right="3119" w:firstLine="3"/>
        <w:spacing w:after="0"/>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employment may also be terminated by Employer at any time without prior notice upon a showing of "reasonable cause." Should Employee be terminated by Employer for "reasonable cause," no severance pay will be paid to Employee nor will his health insurance benefits be continued by Employer at its expense for any period of time as addressed in Section 4 of this Agreement. "Reasonable cause" shall be defined for the purposes of this Agreement as being: (a) any act of fraud, embezzelement or other material dishonesty by Employee with respect to the Employer which is proven to be directly detrimental to Employer's best interest; (b) Employee's willful failure to perform material duties and responsibilities described in Section 1 (c) above, after receiving notice and a reasonable opportunity to cure; (c) Employee's conviction of, or plea of nolo contendre to, any act that constitutes a felony under the laws of the state of Rhode Island or the United States; or (d) Employee's material breach of Section 5 of this Agreement.</w:t>
      </w:r>
    </w:p>
    <w:p>
      <w:pPr>
        <w:spacing w:after="0" w:line="181" w:lineRule="exact"/>
        <w:rPr>
          <w:rFonts w:ascii="Courier New" w:cs="Courier New" w:eastAsia="Courier New" w:hAnsi="Courier New"/>
          <w:sz w:val="15"/>
          <w:szCs w:val="15"/>
          <w:color w:val="auto"/>
        </w:rPr>
      </w:pPr>
    </w:p>
    <w:p>
      <w:pPr>
        <w:ind w:left="520" w:right="3119" w:firstLine="3"/>
        <w:spacing w:after="0"/>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may terminate his employment with immediate effect at any time "with cause" upon written notice to Employer, in which event the provisions of Section 4 shall apply. The following shall constitute "with cause" for the puposes of this Agreement: (a) material breach by Employer of any provision of this Agreement, includng without limitation any material diminution of Employee's position, authorities or responsibilities from that contemplated hereby or as in effect by practice during the Term of this Agreement, or (b) a Change of Control, being defined as the execution of agreements, the consummation of an agreed transaction or the pending consummation of a tender offer which will result in (i) a consolidation or merger in which the Employer is not the surviving corporation, or (ii) a transaction or series of transactions that result in acquisition of fifty percent (50%) or more of the Employer's outstanding Common Stock by a single person or entity or a group of persons or entities acting in concert, or (iii) the sale or transfer of all or substantially all of the Employer's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SEVERANCE</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a. Severance Payments and Benefits. Upon the expiration of the Term or upon the early termination of the Term pursuant to Sections 3.b.(1) or 3.b.(3), Employee shall receive the following Severance Payments and Benefits from Employer:</w:t>
      </w:r>
    </w:p>
    <w:p>
      <w:pPr>
        <w:spacing w:after="0" w:line="176" w:lineRule="exact"/>
        <w:rPr>
          <w:sz w:val="20"/>
          <w:szCs w:val="20"/>
          <w:color w:val="auto"/>
        </w:rPr>
      </w:pPr>
    </w:p>
    <w:p>
      <w:pPr>
        <w:ind w:left="1060" w:right="3119" w:hanging="537"/>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nine (9) month's of Employee's regular salary as of the date of the Termination Date, such lump sum shall be payable at Employee's sole election in either a lump sum on the Termination Date or in periodic payments specified by Employee. In the event the early termination is pursuant to Section 3.b.(1), such lump sum payment and related benefits hereunder shall be deemed to be made as compensation for Employee's past services to Employer.</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85" w:name="page86"/>
    <w:bookmarkEnd w:id="85"/>
    <w:p>
      <w:pPr>
        <w:ind w:left="1060" w:right="3219" w:hanging="537"/>
        <w:spacing w:after="0" w:line="238"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pay to Employee the balance of any accrued and unused vacation earned by Employee through the Termination Date.</w:t>
      </w:r>
    </w:p>
    <w:p>
      <w:pPr>
        <w:spacing w:after="0" w:line="174" w:lineRule="exact"/>
        <w:rPr>
          <w:rFonts w:ascii="Courier New" w:cs="Courier New" w:eastAsia="Courier New" w:hAnsi="Courier New"/>
          <w:sz w:val="15"/>
          <w:szCs w:val="15"/>
          <w:color w:val="auto"/>
        </w:rPr>
      </w:pPr>
    </w:p>
    <w:p>
      <w:pPr>
        <w:ind w:left="1060" w:right="3299" w:hanging="537"/>
        <w:spacing w:after="0" w:line="261"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will pay any accrued but unpaid bonus, if any, under Section 2.b.(2) for the period ending with the Termination Date or any prior fiscal period, if any, or any such other bonus, if any, which may be agreed between Employer and Employee or to which Employee may become entitled to prior to the Termination Date.</w:t>
      </w:r>
    </w:p>
    <w:p>
      <w:pPr>
        <w:spacing w:after="0" w:line="161" w:lineRule="exact"/>
        <w:rPr>
          <w:rFonts w:ascii="Courier New" w:cs="Courier New" w:eastAsia="Courier New" w:hAnsi="Courier New"/>
          <w:sz w:val="14"/>
          <w:szCs w:val="14"/>
          <w:color w:val="auto"/>
        </w:rPr>
      </w:pPr>
    </w:p>
    <w:p>
      <w:pPr>
        <w:ind w:left="1060" w:right="3119" w:hanging="537"/>
        <w:spacing w:after="0" w:line="260"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will continue to pay or reimburse Employee for the Temporary Relocation Expenses pursuant to Section 2.d for the period through the Termination Date and for any residual notice period occasioned by the termination provisions of those obligations which extends beyond the Termination Date. Such payment or reimbursement shall continue to be subject to the "gross up" provisions of Section 2.f.(ii) until final such payment shall be made.</w:t>
      </w:r>
    </w:p>
    <w:p>
      <w:pPr>
        <w:spacing w:after="0" w:line="162" w:lineRule="exact"/>
        <w:rPr>
          <w:rFonts w:ascii="Courier New" w:cs="Courier New" w:eastAsia="Courier New" w:hAnsi="Courier New"/>
          <w:sz w:val="14"/>
          <w:szCs w:val="14"/>
          <w:color w:val="auto"/>
        </w:rPr>
      </w:pPr>
    </w:p>
    <w:p>
      <w:pPr>
        <w:ind w:left="1060" w:right="3219" w:hanging="537"/>
        <w:spacing w:after="0" w:line="239"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pay for the first twelve (12) months of Employee's COBRA coverage or, if such COBRA is unavailable, Employer shall pay to Employee the cash value of such twelve (12) months of COBRA coverage.</w:t>
      </w:r>
    </w:p>
    <w:p>
      <w:pPr>
        <w:spacing w:after="0" w:line="176" w:lineRule="exact"/>
        <w:rPr>
          <w:rFonts w:ascii="Courier New" w:cs="Courier New" w:eastAsia="Courier New" w:hAnsi="Courier New"/>
          <w:sz w:val="15"/>
          <w:szCs w:val="15"/>
          <w:color w:val="auto"/>
        </w:rPr>
      </w:pPr>
    </w:p>
    <w:p>
      <w:pPr>
        <w:ind w:left="1060" w:right="3299" w:hanging="537"/>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will also "gross up" the ordinary and severance compensation paid to Employee hereunder in order to reimburse and offset any and all incremental increase in Employee's state income tax liability pursuant to the provisions of Section 2.f.(iii) hereof.</w:t>
      </w:r>
    </w:p>
    <w:p>
      <w:pPr>
        <w:spacing w:after="0" w:line="174" w:lineRule="exact"/>
        <w:rPr>
          <w:rFonts w:ascii="Courier New" w:cs="Courier New" w:eastAsia="Courier New" w:hAnsi="Courier New"/>
          <w:sz w:val="15"/>
          <w:szCs w:val="15"/>
          <w:color w:val="auto"/>
        </w:rPr>
      </w:pPr>
    </w:p>
    <w:p>
      <w:pPr>
        <w:ind w:left="1060" w:right="3299" w:hanging="537"/>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facilitate the consulting obligations of Employee under Section 4.a.(8) below, Employee will be permitted to retain possession of the Sony Vaio desktop and portable computer equipment, and related equipment (monitor, printer, fax machine, etc.), assigned to Employee as of the Termination Date. Employee may retain such equipment upon the expiration of his consulting obligations hereunder.</w:t>
      </w:r>
    </w:p>
    <w:p>
      <w:pPr>
        <w:spacing w:after="0" w:line="175" w:lineRule="exact"/>
        <w:rPr>
          <w:rFonts w:ascii="Courier New" w:cs="Courier New" w:eastAsia="Courier New" w:hAnsi="Courier New"/>
          <w:sz w:val="15"/>
          <w:szCs w:val="15"/>
          <w:color w:val="auto"/>
        </w:rPr>
      </w:pPr>
    </w:p>
    <w:p>
      <w:pPr>
        <w:ind w:left="1060" w:right="3119" w:hanging="537"/>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of November 1, 1999 through April 30, 2000, Employer shall pay Employee Two Thousand Five Hundred Dollars ($2,500) per month as a retainer, payable within the first ten (10) days of each month, for up to twelve (12) hours per month of business development, management, legal and related consulting services to be rendered by Employee with respect to Employer's business. Subject to Employee's availability, additional consulting services may be provided to Employer at the rate of $1,500 per day.</w:t>
      </w:r>
    </w:p>
    <w:p>
      <w:pPr>
        <w:spacing w:after="0" w:line="177" w:lineRule="exact"/>
        <w:rPr>
          <w:sz w:val="20"/>
          <w:szCs w:val="20"/>
          <w:color w:val="auto"/>
        </w:rPr>
      </w:pPr>
    </w:p>
    <w:p>
      <w:pPr>
        <w:ind w:right="3299" w:firstLine="532"/>
        <w:spacing w:after="0" w:line="271" w:lineRule="auto"/>
        <w:rPr>
          <w:sz w:val="20"/>
          <w:szCs w:val="20"/>
          <w:color w:val="auto"/>
        </w:rPr>
      </w:pPr>
      <w:r>
        <w:rPr>
          <w:rFonts w:ascii="Courier New" w:cs="Courier New" w:eastAsia="Courier New" w:hAnsi="Courier New"/>
          <w:sz w:val="14"/>
          <w:szCs w:val="14"/>
          <w:color w:val="auto"/>
        </w:rPr>
        <w:t>b. Reference Letter Upon Separation of Employment. Employer agrees to provide Employee with a letter of recommendation upon Employee's separation of</w:t>
      </w: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86" w:name="page87"/>
    <w:bookmarkEnd w:id="86"/>
    <w:p>
      <w:pPr>
        <w:ind w:right="3399"/>
        <w:spacing w:after="0" w:line="238" w:lineRule="auto"/>
        <w:rPr>
          <w:sz w:val="20"/>
          <w:szCs w:val="20"/>
          <w:color w:val="auto"/>
        </w:rPr>
      </w:pPr>
      <w:r>
        <w:rPr>
          <w:rFonts w:ascii="Courier New" w:cs="Courier New" w:eastAsia="Courier New" w:hAnsi="Courier New"/>
          <w:sz w:val="15"/>
          <w:szCs w:val="15"/>
          <w:color w:val="auto"/>
        </w:rPr>
        <w:t>employment, granted that Employee's separation of employment from Employer is for any reason other than "reasonable cause."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CONFIDENTIALITY</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a. Confidential Information. "Confidential Information" means information in whatever form, including information that is written, electronically stored, orally transmitted, or memorized, that is of commercial value to Employer and that was created, discovered, developed, or otherwise becomes known to Employee, or in which property rights are held, assigned to, or otherwise acquired by or conveyed to Employer, including any Employee Invention (as subsequently defined) or idea, knowledge, know-how, process, system, method, technique research and development, technology, software, technical information, trade secret, as defined in state statute, trademark, copyrighted material, reports, records, documentation, data, customer or supplier lists, tax or financial information, business or marketing plans, strategy or forecast. Confidential Information does not include information that is or becomes generally known within Employer's industry through no act or omission by Employee, provided, however, that the compilation, manipulation, or other exploitation of generally known information may constitute Confidential Information.</w:t>
      </w:r>
    </w:p>
    <w:p>
      <w:pPr>
        <w:spacing w:after="0" w:line="163"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b. Employee Invention. "Employee Invention" means any idea, invention, software, technique, modification, process, improvement, or similar item, whether or not reduced to writing or stored electronically or otherwise, and whether or not protectible by patent, trademark, copyright, or other intellectual property law, that is crated, conceived, or developed by Employee or under his direction, whether solely or with others, during or after his employment by Employer, that relates in any way to, or is useful in any manner in, the business now or then conducted or proposed to be conducted by Employer or which is based upon or otherwise derives from or makes use of the Confidential Information.</w:t>
      </w:r>
    </w:p>
    <w:p>
      <w:pPr>
        <w:spacing w:after="0" w:line="178" w:lineRule="exact"/>
        <w:rPr>
          <w:sz w:val="20"/>
          <w:szCs w:val="20"/>
          <w:color w:val="auto"/>
        </w:rPr>
      </w:pPr>
    </w:p>
    <w:p>
      <w:pPr>
        <w:ind w:right="3219" w:firstLine="532"/>
        <w:spacing w:after="0" w:line="264" w:lineRule="auto"/>
        <w:rPr>
          <w:sz w:val="20"/>
          <w:szCs w:val="20"/>
          <w:color w:val="auto"/>
        </w:rPr>
      </w:pPr>
      <w:r>
        <w:rPr>
          <w:rFonts w:ascii="Courier New" w:cs="Courier New" w:eastAsia="Courier New" w:hAnsi="Courier New"/>
          <w:sz w:val="14"/>
          <w:szCs w:val="14"/>
          <w:color w:val="auto"/>
        </w:rPr>
        <w:t>c. Ownership; Disclosure. Any Confidential Information, whether or not developed by Employee, shall at all times be Employer's exclusive property. Employee shall promptly disclose any Employee Invention to Employer in writing.</w:t>
      </w:r>
    </w:p>
    <w:p>
      <w:pPr>
        <w:spacing w:after="0" w:line="159" w:lineRule="exact"/>
        <w:rPr>
          <w:sz w:val="20"/>
          <w:szCs w:val="20"/>
          <w:color w:val="auto"/>
        </w:rPr>
      </w:pPr>
    </w:p>
    <w:p>
      <w:pPr>
        <w:ind w:right="3119" w:firstLine="532"/>
        <w:spacing w:after="0" w:line="271" w:lineRule="auto"/>
        <w:rPr>
          <w:sz w:val="20"/>
          <w:szCs w:val="20"/>
          <w:color w:val="auto"/>
        </w:rPr>
      </w:pPr>
      <w:r>
        <w:rPr>
          <w:rFonts w:ascii="Courier New" w:cs="Courier New" w:eastAsia="Courier New" w:hAnsi="Courier New"/>
          <w:sz w:val="14"/>
          <w:szCs w:val="14"/>
          <w:color w:val="auto"/>
        </w:rPr>
        <w:t>d. Restrictions. During the term of this Agreement, and for ten (10) years thereafter, Employee shall not, without Employer's prior written consent:</w:t>
      </w:r>
    </w:p>
    <w:p>
      <w:pPr>
        <w:spacing w:after="0" w:line="154" w:lineRule="exact"/>
        <w:rPr>
          <w:sz w:val="20"/>
          <w:szCs w:val="20"/>
          <w:color w:val="auto"/>
        </w:rPr>
      </w:pPr>
    </w:p>
    <w:p>
      <w:pPr>
        <w:ind w:left="520" w:right="3479" w:firstLine="3"/>
        <w:spacing w:after="0" w:line="239" w:lineRule="auto"/>
        <w:tabs>
          <w:tab w:leader="none" w:pos="87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Confidential Information for the benefit of himself of any other party other than Employer or disclose it to any other person or entity;</w:t>
      </w:r>
    </w:p>
    <w:p>
      <w:pPr>
        <w:spacing w:after="0" w:line="175" w:lineRule="exact"/>
        <w:rPr>
          <w:rFonts w:ascii="Courier New" w:cs="Courier New" w:eastAsia="Courier New" w:hAnsi="Courier New"/>
          <w:sz w:val="15"/>
          <w:szCs w:val="15"/>
          <w:color w:val="auto"/>
        </w:rPr>
      </w:pPr>
    </w:p>
    <w:p>
      <w:pPr>
        <w:jc w:val="both"/>
        <w:ind w:left="520" w:right="3399" w:firstLine="3"/>
        <w:spacing w:after="0" w:line="239" w:lineRule="auto"/>
        <w:tabs>
          <w:tab w:leader="none" w:pos="87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any Confidential Information or other documentation, device, plan or other record or evidence pertaining to Employer's business from Employer's premises, except when specifically authorized to do so in pursuit of Employer's business; or</w:t>
      </w:r>
    </w:p>
    <w:p>
      <w:pPr>
        <w:spacing w:after="0" w:line="176"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e. Purpose. The parties acknowledge and agree that the Confidential Information is a valuable business asset, and that this Section is necessary to protect Employer's legitimate business interests.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87" w:name="page88"/>
    <w:bookmarkEnd w:id="87"/>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ADDITIONAL REPRESENTATIONS AND WARRANTIES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addition to his other representation and warranties set forth in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Employee further represents and warrants as follows: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Employee's performance of this Agreement shall not breach any agreement to which he is or was a party that requires him to hold any information in confidence or in trust;</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 Employee has not and shall not breach any such Agreement;</w:t>
      </w:r>
    </w:p>
    <w:p>
      <w:pPr>
        <w:spacing w:after="0" w:line="174"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c. Employee shall not bring to Employer or use in connection with his employment any confidential or proprietary information belonging to another entity without first delivering a written release of that information to Employer; and</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d. Employee has provided Employer with an original or true copy of any employment, non-competition, confidential or proprietary information, or similar agreement to which he is or has been a party which is now in effect or which may be in effect during the term of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REMEDIES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 Irreparable Harm. The parties acknowledge and agree that irreparable harm would result in the event of a breach or threat of a breach by Employee of Section 5 or the making of any untrue representation or warranty by Employee in this Agreement. Therefore, in such an event, and notwithstanding any other provision of this Agreement:</w:t>
      </w:r>
    </w:p>
    <w:p>
      <w:pPr>
        <w:spacing w:after="0" w:line="174" w:lineRule="exact"/>
        <w:rPr>
          <w:sz w:val="20"/>
          <w:szCs w:val="20"/>
          <w:color w:val="auto"/>
        </w:rPr>
      </w:pPr>
    </w:p>
    <w:p>
      <w:pPr>
        <w:ind w:left="520" w:right="3119" w:firstLine="3"/>
        <w:spacing w:after="0" w:line="239"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shall be entitled to a restraining order, order of specific performance, or other injunctive relief, without showing actual damage and without bond or other security; and</w:t>
      </w:r>
    </w:p>
    <w:p>
      <w:pPr>
        <w:spacing w:after="0" w:line="175" w:lineRule="exact"/>
        <w:rPr>
          <w:rFonts w:ascii="Courier New" w:cs="Courier New" w:eastAsia="Courier New" w:hAnsi="Courier New"/>
          <w:sz w:val="15"/>
          <w:szCs w:val="15"/>
          <w:color w:val="auto"/>
        </w:rPr>
      </w:pPr>
    </w:p>
    <w:p>
      <w:pPr>
        <w:jc w:val="both"/>
        <w:ind w:left="520" w:right="3119" w:firstLine="3"/>
        <w:spacing w:after="0" w:line="239"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obligation to make any payment or provide any benefit under this Agreement, including without limitation any severance benefits, shall immediately cease.</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b. Remedies Not Exclusive. Employer's remedies under this Section are not exclusive, and shall not prejudice or prohibit any other rights or remedies under this Agreement or otherwise. To the extent required to be enforceable by applicable law, the cessation of Employer's obligation to make payments or continue benefits under this Section shall be deemed to be in the nature of liquidated damages and not a penalty.</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c. Cessation of Payments. In the event Employer obtains relief as provided in this Section, or in the event of Employee's breach of Section 5 or the making of any untrue representation or warranty by Employee in this Agreement, Employer's obligation</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88" w:name="page89"/>
    <w:bookmarkEnd w:id="88"/>
    <w:p>
      <w:pPr>
        <w:ind w:right="3299"/>
        <w:spacing w:after="0" w:line="238" w:lineRule="auto"/>
        <w:rPr>
          <w:sz w:val="20"/>
          <w:szCs w:val="20"/>
          <w:color w:val="auto"/>
        </w:rPr>
      </w:pPr>
      <w:r>
        <w:rPr>
          <w:rFonts w:ascii="Courier New" w:cs="Courier New" w:eastAsia="Courier New" w:hAnsi="Courier New"/>
          <w:sz w:val="15"/>
          <w:szCs w:val="15"/>
          <w:color w:val="auto"/>
        </w:rPr>
        <w:t>to make any payment or provide any benefit under this Agreement, including any severance benefits, shall immediately cease.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LEGAL COUNSEL</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a. Understanding, Voluntary Agreement. Employee represents and warrants that he has been afforded a reasonable opportunity to review this Agreement, to understand its terms, and to discuss it with an attorney of his choice, and that he knowingly and voluntarily enters this Agreement.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 Waiver of Separate Representation. To the extent Employee has not engaged separate legal counsel to represent him in connection with this Agreement, the parties acknowledge an agree that their respective interest in this Agreement are in conflict, that they have the right to retain independent counsel, that they have been fully informed about this right and conflicts of interest that arise from retaining the same legal counsel to represent both of them, and that this Section constitutes written disclosure of these conflicts. The parties further affirm that they are waiving separate representation freely, voluntarily, and with full knowledge of the effect of this waiver. NO party shall at any time claim that this Agreement is void or unenforceable in any respect because of the lack of use of independent counsel, or that the legal counsel who prepared this Agreement acted improperly in doing so.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CONFIDENTIAL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Agreement is confidential, Employee and Employer shall keep its provisions confidential and shall not disclose them to anyone, including any past, present, or prospective employee of Employer; provided, that this Section shall not prohibit Employee from discussing this Agreement in confidential communications with his family members, attorneys, accountants, or other professional advisors, provided that the provisions of Section 5 shall at all times apply to communications with any such persons, and provided Employer may disclose the terms of this Agreement to the extent it is required by federal or state law, rule or regulation.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MISCELLANEOUS PROVISIONS</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a. Waivers. No assent, express or implied, by any party to any breach or default under this Agreement shall constitute a waiver of or assent to any breach or default of any other provision of this Agreement or any breach or default of the same provision on any other occasion.</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b. Entire Agreement, Modification. This Agreement constitutes the entire agreement of the parties concerning its subject matter and supersedes all other oral or written understandings, discussions, and agreements, and may be modified only in a writing signed by both parties.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89" w:name="page90"/>
    <w:bookmarkEnd w:id="89"/>
    <w:p>
      <w:pPr>
        <w:ind w:right="3219" w:firstLine="532"/>
        <w:spacing w:after="0"/>
        <w:rPr>
          <w:sz w:val="20"/>
          <w:szCs w:val="20"/>
          <w:color w:val="auto"/>
        </w:rPr>
      </w:pPr>
      <w:r>
        <w:rPr>
          <w:rFonts w:ascii="Courier New" w:cs="Courier New" w:eastAsia="Courier New" w:hAnsi="Courier New"/>
          <w:sz w:val="15"/>
          <w:szCs w:val="15"/>
          <w:color w:val="auto"/>
        </w:rPr>
        <w:t>c. Binding Effect; No Third Party Beneficiaries This Agreement shall bind and benefit the parties and their respective heirs, devisees, beneficiaries, grantees, donees, legal representatives, successors, and assigns. Nothing in this Agreement shall be construed to confer any rights or benefits on third parties.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d. Assignment. Neither party may assign its interest in this Agreement without the other's prior written consent; provided that Employer may assign its interest to another entity which controls, is controlled by, or is under common control with Employer.</w:t>
      </w:r>
    </w:p>
    <w:p>
      <w:pPr>
        <w:spacing w:after="0" w:line="17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e. Severability. If any provision of this Agreement, including the restriction on time and geographic area contained in the Covenant Not to Compete and Confidential Information provisions of this Agreement, is found in binding arbitration or by a court or other tribunal of competent jurisdiction to be invalid or unenforceable, the attempt shall first be made to read that provision in such a way to make it valid and enforceable in light of the parties' apparent intent as evidenced by this Agreement. If such a reading is impossible, the tribunal having jurisdiction may revise the provision in any reasonable manner, to the extent necessary to make it binding and enforceable. If no such revision is possible, the offending provision shall be deemed stricken from the Agreement, and every other provision shall remain in full force and effect.</w:t>
      </w:r>
    </w:p>
    <w:p>
      <w:pPr>
        <w:spacing w:after="0" w:line="16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f. Forum. All lawsuits, actions, and other proceedings arising from this Agreement or the transactions it contemplates shall be prosecuted in the appropriate court in New Jersey and all parties agree to both subject matter and in personam jurisdiction in that forum.</w:t>
      </w:r>
    </w:p>
    <w:p>
      <w:pPr>
        <w:spacing w:after="0" w:line="176"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g. Governing Law. This Agreement shall be governed by and construed under the laws of the State of Rhode Island.</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h. Legal Counsel. The parties acknowledge that they have read and fully understand the contents of this Agreement and execute it after having had an opportunity to consult with legal counsel.</w:t>
      </w:r>
    </w:p>
    <w:p>
      <w:pPr>
        <w:spacing w:after="0" w:line="175"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IN WITNESS WHEREOF, the partied have executed this Agreement to be effective as specified above.</w:t>
      </w:r>
    </w:p>
    <w:p>
      <w:pPr>
        <w:sectPr>
          <w:pgSz w:w="11900" w:h="16838" w:orient="portrait"/>
          <w:cols w:equalWidth="0" w:num="1">
            <w:col w:w="10219"/>
          </w:cols>
          <w:pgMar w:left="240" w:top="631"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K. YACHMETZ</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ectPr>
          <w:pgSz w:w="11900" w:h="16838" w:orient="portrait"/>
          <w:cols w:equalWidth="0" w:num="2">
            <w:col w:w="2460" w:space="720"/>
            <w:col w:w="7039"/>
          </w:cols>
          <w:pgMar w:left="240" w:top="631"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Philip K. Yachmetz</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M. Rose, MD</w:t>
      </w:r>
    </w:p>
    <w:p>
      <w:pPr>
        <w:spacing w:after="0" w:line="1" w:lineRule="exact"/>
        <w:rPr>
          <w:sz w:val="20"/>
          <w:szCs w:val="20"/>
          <w:color w:val="auto"/>
        </w:rPr>
      </w:pPr>
    </w:p>
    <w:p>
      <w:pPr>
        <w:ind w:left="540"/>
        <w:spacing w:after="0"/>
        <w:tabs>
          <w:tab w:leader="none" w:pos="1500" w:val="left"/>
        </w:tabs>
        <w:rPr>
          <w:sz w:val="20"/>
          <w:szCs w:val="20"/>
          <w:color w:val="auto"/>
        </w:rPr>
      </w:pPr>
      <w:r>
        <w:rPr>
          <w:rFonts w:ascii="Courier New" w:cs="Courier New" w:eastAsia="Courier New" w:hAnsi="Courier New"/>
          <w:sz w:val="15"/>
          <w:szCs w:val="15"/>
          <w:color w:val="auto"/>
        </w:rPr>
        <w:t>President</w:t>
        <w:tab/>
        <w:t>&amp; CEO</w:t>
      </w:r>
    </w:p>
    <w:p>
      <w:pPr>
        <w:spacing w:after="0" w:line="200" w:lineRule="exact"/>
        <w:rPr>
          <w:sz w:val="20"/>
          <w:szCs w:val="20"/>
          <w:color w:val="auto"/>
        </w:rPr>
      </w:pPr>
    </w:p>
    <w:p>
      <w:pPr>
        <w:sectPr>
          <w:pgSz w:w="11900" w:h="16838" w:orient="portrait"/>
          <w:cols w:equalWidth="0" w:num="2">
            <w:col w:w="2920" w:space="260"/>
            <w:col w:w="7039"/>
          </w:cols>
          <w:pgMar w:left="240" w:top="631" w:right="1440"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631" w:right="1440" w:bottom="1440" w:gutter="0" w:footer="0" w:header="0"/>
          <w:type w:val="continuous"/>
        </w:sectPr>
      </w:pPr>
    </w:p>
    <w:bookmarkStart w:id="90" w:name="page91"/>
    <w:bookmarkEnd w:id="90"/>
    <w:p>
      <w:pPr>
        <w:jc w:val="right"/>
        <w:ind w:right="3119"/>
        <w:spacing w:after="0"/>
        <w:rPr>
          <w:sz w:val="20"/>
          <w:szCs w:val="20"/>
          <w:color w:val="auto"/>
        </w:rPr>
      </w:pPr>
      <w:r>
        <w:rPr>
          <w:rFonts w:ascii="Courier New" w:cs="Courier New" w:eastAsia="Courier New" w:hAnsi="Courier New"/>
          <w:sz w:val="15"/>
          <w:szCs w:val="15"/>
          <w:color w:val="auto"/>
        </w:rPr>
        <w:t>EXHIBIT 10.91</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CYTOTHERAPEUTICS,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LINCOLN, RHODE ISLAND 02865</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As of July 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 Atherton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Atherton, California 94027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John:</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This letter will confirm our agreement with respect to the amendment, with effect from July 1, 1999, of your Letter Agreement with CytoTherapeutics, Inc. (the "Company"), dated December 19, 1999 (the "Agreement").</w:t>
      </w:r>
    </w:p>
    <w:p>
      <w:pPr>
        <w:spacing w:after="0" w:line="175"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Section 2. "Compensation; Time Commitment" shall be modified such that subsection 2.a.(iii) shall read:</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"(iii) One Hundred Thirty Two Thousand Dollars ($132,000) per year,</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plus a fee of One Thousand Five Hundred Dollars ($1,500) per Board meeting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or Committee meeting (if held at a date and time separate from the Board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meeting) where you are physically present, plus Five Hundred Dollars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($500) per Board meeting or Committee meeting (if held at a date and time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separate from the Board meeting) held by conference call, payable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quarterly in arrears (this cash compensation plus any other compensation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provided for herein shall be referred to as the "Compensation"). "</w:t>
      </w:r>
    </w:p>
    <w:p>
      <w:pPr>
        <w:spacing w:after="0" w:line="174"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Section 2. " Compensation; Time Commitment" shall be further modified such that Subsection b. shall read:</w:t>
      </w:r>
    </w:p>
    <w:p>
      <w:pPr>
        <w:spacing w:after="0" w:line="175" w:lineRule="exact"/>
        <w:rPr>
          <w:sz w:val="20"/>
          <w:szCs w:val="20"/>
          <w:color w:val="auto"/>
        </w:rPr>
      </w:pPr>
    </w:p>
    <w:p>
      <w:pPr>
        <w:ind w:left="520" w:right="3219" w:firstLine="533"/>
        <w:spacing w:after="0"/>
        <w:rPr>
          <w:sz w:val="20"/>
          <w:szCs w:val="20"/>
          <w:color w:val="auto"/>
        </w:rPr>
      </w:pPr>
      <w:r>
        <w:rPr>
          <w:rFonts w:ascii="Courier New" w:cs="Courier New" w:eastAsia="Courier New" w:hAnsi="Courier New"/>
          <w:sz w:val="15"/>
          <w:szCs w:val="15"/>
          <w:color w:val="auto"/>
        </w:rPr>
        <w:t>"b. As Chairman of the Board of Directors, you will be expected to devote no less than thirty (30) business days per calendar quarter to the performance of your duties and responsibilities collectively under this Agreement and the Consulting Agreement (hereinafter "Duties and Responsibilities"). In the event you devote more than thirty (30) days in any calendar quarter to the performance of your</w:t>
      </w:r>
    </w:p>
    <w:p>
      <w:pPr>
        <w:sectPr>
          <w:pgSz w:w="11900" w:h="16838" w:orient="portrait"/>
          <w:cols w:equalWidth="0" w:num="1">
            <w:col w:w="10219"/>
          </w:cols>
          <w:pgMar w:left="240" w:top="798" w:right="1440" w:bottom="1440" w:gutter="0" w:footer="0" w:header="0"/>
        </w:sectPr>
      </w:pPr>
    </w:p>
    <w:bookmarkStart w:id="91" w:name="page92"/>
    <w:bookmarkEnd w:id="91"/>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July 1, 1999</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Duties and Responsibilities, you shall, within thirty (30) days of the end of the calendar quarter, provide an accounting to the President and Chief Executive Officer of the Company detailing the actual time spent during such preceding calendar quarter. After review and approval by the President and Chief Executive Officer of the Company you will be promptly further compensated for additional days exceeding thirty (30) in any calendar quarter at the rate of One Thousand Five Hundred Dollars ($1,500) per day. All such additional payments made shall be promptly reported by the President and Chief Executive Officer to the Compensation Committee of the Board (the "Compensation Committee") for subsequent ratification by such Compensation Committee, such ratification not to delay the payment of any such additional payments."</w:t>
      </w:r>
    </w:p>
    <w:p>
      <w:pPr>
        <w:spacing w:after="0" w:line="180"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Except as specifically modified hereby, all other terms and conditions of the Agreement remain in full force and effect</w:t>
      </w:r>
    </w:p>
    <w:p>
      <w:pPr>
        <w:spacing w:after="0" w:line="175"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amendment of the Agreement between you and the Company on the basis set forth above as of the date first above written.</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Sincerely yours,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M. Rose, M.D.</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President &amp;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2460" w:space="720"/>
            <w:col w:w="7039"/>
          </w:cols>
          <w:pgMar w:left="240" w:top="628"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w:t>
      </w:r>
    </w:p>
    <w:p>
      <w:pPr>
        <w:spacing w:after="0" w:line="34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2 of 2</w:t>
      </w:r>
    </w:p>
    <w:p>
      <w:pPr>
        <w:sectPr>
          <w:pgSz w:w="11900" w:h="16838" w:orient="portrait"/>
          <w:cols w:equalWidth="0" w:num="1">
            <w:col w:w="10219"/>
          </w:cols>
          <w:pgMar w:left="240" w:top="628" w:right="1440" w:bottom="1440" w:gutter="0" w:footer="0" w:header="0"/>
          <w:type w:val="continuous"/>
        </w:sectPr>
      </w:pPr>
    </w:p>
    <w:bookmarkStart w:id="92" w:name="page93"/>
    <w:bookmarkEnd w:id="92"/>
    <w:p>
      <w:pPr>
        <w:jc w:val="right"/>
        <w:ind w:right="3119"/>
        <w:spacing w:after="0"/>
        <w:rPr>
          <w:sz w:val="20"/>
          <w:szCs w:val="20"/>
          <w:color w:val="auto"/>
        </w:rPr>
      </w:pPr>
      <w:r>
        <w:rPr>
          <w:rFonts w:ascii="Courier New" w:cs="Courier New" w:eastAsia="Courier New" w:hAnsi="Courier New"/>
          <w:sz w:val="15"/>
          <w:szCs w:val="15"/>
          <w:color w:val="auto"/>
        </w:rPr>
        <w:t>EXHIBIT 10.93</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CYTOTHERAPEUTICS, INC.</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701 George Washington Highway</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Lincoln, RI 02865</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401-288-1000</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August 30,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Moses Goddard, MD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155 Pelletier Lane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Tiverton, RI 02878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Moses:</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As we have discussed, we have determined that it is in our mutual best interests to effect a voluntary end to your employment with CytoTherapeutics, Inc. ("CTI" or the "Company"). If accepted by you, this letter will confirm that you hereby resign as Vice President, Chief Technical Officer--Cell Encapsulation</w:t>
      </w:r>
    </w:p>
    <w:p>
      <w:pPr>
        <w:spacing w:after="0" w:line="1" w:lineRule="exact"/>
        <w:rPr>
          <w:sz w:val="20"/>
          <w:szCs w:val="20"/>
          <w:color w:val="auto"/>
        </w:rPr>
      </w:pPr>
    </w:p>
    <w:p>
      <w:pPr>
        <w:ind w:left="9" w:right="3119" w:hanging="9"/>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Manager Cell Encapsulation, Director and employee of CTI and from all other positions you hold in CTI and its Affiliates (as defined herein), effective as of August 31, 1999. It is understood that CTI will take actions in reliance on your resignation and that it shall become irrevocable on the effective date of this Agreement. In consideration of your resignation from your employment with CTI effective on August 31, 1999, CTI is offering you the severance package set forth below. If you accept it, this letter will constitute the agreement between you and CTI concerning your severance arrangements, as follows:</w:t>
      </w:r>
    </w:p>
    <w:p>
      <w:pPr>
        <w:spacing w:after="0" w:line="177" w:lineRule="exact"/>
        <w:rPr>
          <w:rFonts w:ascii="Courier New" w:cs="Courier New" w:eastAsia="Courier New" w:hAnsi="Courier New"/>
          <w:sz w:val="15"/>
          <w:szCs w:val="15"/>
          <w:color w:val="auto"/>
        </w:rPr>
      </w:pPr>
    </w:p>
    <w:p>
      <w:pPr>
        <w:jc w:val="both"/>
        <w:ind w:left="9" w:right="3219" w:firstLine="523"/>
        <w:spacing w:after="0" w:line="239" w:lineRule="auto"/>
        <w:tabs>
          <w:tab w:leader="none" w:pos="8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from the date of this letter, written above, through August 31, 1999 you will continue to be employed by the Company at your current rate of pay.</w:t>
      </w:r>
    </w:p>
    <w:p>
      <w:pPr>
        <w:spacing w:after="0" w:line="175" w:lineRule="exact"/>
        <w:rPr>
          <w:rFonts w:ascii="Courier New" w:cs="Courier New" w:eastAsia="Courier New" w:hAnsi="Courier New"/>
          <w:sz w:val="15"/>
          <w:szCs w:val="15"/>
          <w:color w:val="auto"/>
        </w:rPr>
      </w:pPr>
    </w:p>
    <w:p>
      <w:pPr>
        <w:ind w:left="9" w:right="3119" w:firstLine="523"/>
        <w:spacing w:after="0" w:line="259" w:lineRule="auto"/>
        <w:tabs>
          <w:tab w:leader="none" w:pos="808"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CTI will provide you on or before August 31, 1999 with a lump-sum payment equal to (i) two months salary at your final base rate of pay, plus (ii) the amount payable to you under the Company severance policy currently in effect calculated through October 31, 1999, provided that you also shall receive a pro-rated portion of the amount payable per year of service under the severance policy for the partial year of service ended October 31, 1999, plus (iii) all vacation time earned but not used through and including August 31, 1999, reduced by the amount of any Company loan or loans outstanding under the Company's 401(k) Plan. You agree that from August 31, 1999 through October 31, 1999 (the "Transitional Period"), at the Company's request, you will provide up to ten (10) days of consulting services relating to the Company's encapsulated</w:t>
      </w:r>
    </w:p>
    <w:p>
      <w:pPr>
        <w:spacing w:after="0" w:line="33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799" w:right="1440" w:bottom="1440" w:gutter="0" w:footer="0" w:header="0"/>
        </w:sectPr>
      </w:pPr>
    </w:p>
    <w:bookmarkStart w:id="93" w:name="page94"/>
    <w:bookmarkEnd w:id="93"/>
    <w:p>
      <w:pPr>
        <w:ind w:right="3119"/>
        <w:spacing w:after="0"/>
        <w:rPr>
          <w:sz w:val="20"/>
          <w:szCs w:val="20"/>
          <w:color w:val="auto"/>
        </w:rPr>
      </w:pPr>
      <w:r>
        <w:rPr>
          <w:rFonts w:ascii="Courier New" w:cs="Courier New" w:eastAsia="Courier New" w:hAnsi="Courier New"/>
          <w:sz w:val="15"/>
          <w:szCs w:val="15"/>
          <w:color w:val="auto"/>
        </w:rPr>
        <w:t>cell therapy technology and transactions related thereto at no cost to the Company. If the time commitment required of you during the Transitional Period exceeds ten (10) days, you shall be compensated at the rate of $1,000 per day. After the Transitional Period you agree to remain available, at the request of the Company, for consulting services relating to the Company's encapsulated cell therapy technology and transactions related thereto for which you will be compensated at the rate of $1,500 per day, plus expenses.</w:t>
      </w:r>
    </w:p>
    <w:p>
      <w:pPr>
        <w:spacing w:after="0" w:line="176" w:lineRule="exact"/>
        <w:rPr>
          <w:sz w:val="20"/>
          <w:szCs w:val="20"/>
          <w:color w:val="auto"/>
        </w:rPr>
      </w:pPr>
    </w:p>
    <w:p>
      <w:pPr>
        <w:ind w:right="3119" w:firstLine="1056"/>
        <w:spacing w:after="0"/>
        <w:tabs>
          <w:tab w:leader="none" w:pos="142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above, upon the approval of the Company's Board of Directors, you will receive an option to acquire 18, 000 shares of the common stock of the Company, at a strike price equal to the price per share of the Company's common stock of the date of the approval of the grant by the Company's Board of Directors. This time-based option will vest at a rate of 1,500 shares per month on the first day of each month for the twelve months commencing with November 1, 1999, provided that you continue to remain available for the consulting services discussed above. The Company may terminate the consulting arrangement on no less than sixty (60) days written notice to you. Any options which remain unvested as of the termination date cited in the Company's notice to you shall expire as of such date. You shall have six (6) months from the last vesting date of options under this grant within which to exercise such option.</w:t>
      </w:r>
    </w:p>
    <w:p>
      <w:pPr>
        <w:spacing w:after="0" w:line="180" w:lineRule="exact"/>
        <w:rPr>
          <w:rFonts w:ascii="Courier New" w:cs="Courier New" w:eastAsia="Courier New" w:hAnsi="Courier New"/>
          <w:sz w:val="15"/>
          <w:szCs w:val="15"/>
          <w:color w:val="auto"/>
        </w:rPr>
      </w:pPr>
    </w:p>
    <w:p>
      <w:pPr>
        <w:ind w:right="3119" w:firstLine="523"/>
        <w:spacing w:after="0"/>
        <w:tabs>
          <w:tab w:leader="none" w:pos="7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Transitional Period, the Company will continue your participation in those Company employee benefit plans and which you are currently a participant, to the extent permitted by the terms of those plans and generally applicable Company policies. Except for the options granted to you under Section 2.(b) above, stock options granted to you and not yet expired, exercised, canceled or otherwise become unexercisable shall continue to vest through August 31, 1999, but not thereafter. In addition, subject to approval by the Company's Board of Directors, the exercise period for all of the options previously granted to you which shall have vested as of August 31, 1999 shall be extended to February 28, 2000 (the "Exercise Period Extension"), provided, however, that all such options shall be exercisable only for so long as you continue to comply with your obligations under this Agreement, including, without limitation, your obligations under paragraph 9 of this Agreement. I will strongly recommend approval of the Exercise Period Extension at a meeting of the Board of Directors to be held prior to August 31, 1999.</w:t>
      </w:r>
    </w:p>
    <w:p>
      <w:pPr>
        <w:spacing w:after="0" w:line="181" w:lineRule="exact"/>
        <w:rPr>
          <w:rFonts w:ascii="Courier New" w:cs="Courier New" w:eastAsia="Courier New" w:hAnsi="Courier New"/>
          <w:sz w:val="15"/>
          <w:szCs w:val="15"/>
          <w:color w:val="auto"/>
        </w:rPr>
      </w:pPr>
    </w:p>
    <w:p>
      <w:pPr>
        <w:ind w:right="3119" w:firstLine="523"/>
        <w:spacing w:after="0" w:line="258" w:lineRule="auto"/>
        <w:tabs>
          <w:tab w:leader="none" w:pos="79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the terms of the Company's group health and dental plans and by its health and dental plan insurers or providers, as applicable, the Company will continue your participation and that of your eligible dependents in its group health and dental plan to the same extent as you and they currently participate and will pay the premium costs of such participation to the same extent currently paid, from August 31, 1999 through the earlier of (i) November 30, 1999 or (ii) the date you commence other employment and become eligible for coverage under the plans of your new employer. If the Company is unable to provide the continuations contemplated in the first sentence of this section, you may exercise your right to continue your coverage and that of your eligible dependents in the Company's group health and dental plan under the federal law known as COBRA, provided you are eligible to do so, and, if you are eligible and so elect, then, until the earlier of November 30, 1999 or the date you cease to be eligible for continuation under</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COBRA,</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94" w:name="page95"/>
    <w:bookmarkEnd w:id="94"/>
    <w:p>
      <w:pPr>
        <w:ind w:right="3219"/>
        <w:spacing w:after="0"/>
        <w:rPr>
          <w:sz w:val="20"/>
          <w:szCs w:val="20"/>
          <w:color w:val="auto"/>
        </w:rPr>
      </w:pPr>
      <w:r>
        <w:rPr>
          <w:rFonts w:ascii="Courier New" w:cs="Courier New" w:eastAsia="Courier New" w:hAnsi="Courier New"/>
          <w:sz w:val="15"/>
          <w:szCs w:val="15"/>
          <w:color w:val="auto"/>
        </w:rPr>
        <w:t>the Company will pay the premium costs of your coverage and that of your eligible dependents. Alternatively, the Company may satisfy its obligations to you under this paragraph by paying to you on October 31, 1999 a lump sum amount equal to the cost to the Company of your previous month's group health plan insurance coverage, and, shall so satisfy its obligation to you in the event that the Company has no group health plan willing to provide COBRA coverage to you on terms comparable to those in effect on the date of this agreement. Coverage under all other benefit plans of the Company, including, without limitation, the Company's group life insurance plan, shall cease as of August 31, 1999.</w:t>
      </w:r>
    </w:p>
    <w:p>
      <w:pPr>
        <w:spacing w:after="0" w:line="178" w:lineRule="exact"/>
        <w:rPr>
          <w:sz w:val="20"/>
          <w:szCs w:val="20"/>
          <w:color w:val="auto"/>
        </w:rPr>
      </w:pPr>
    </w:p>
    <w:p>
      <w:pPr>
        <w:ind w:right="3299" w:firstLine="523"/>
        <w:spacing w:after="0" w:line="239" w:lineRule="auto"/>
        <w:tabs>
          <w:tab w:leader="none" w:pos="7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for the costs of the four month outplacement services program to be rendered to you by Executive Destinations in accordance with their agreement with the Company.</w:t>
      </w:r>
    </w:p>
    <w:p>
      <w:pPr>
        <w:spacing w:after="0" w:line="175" w:lineRule="exact"/>
        <w:rPr>
          <w:rFonts w:ascii="Courier New" w:cs="Courier New" w:eastAsia="Courier New" w:hAnsi="Courier New"/>
          <w:sz w:val="15"/>
          <w:szCs w:val="15"/>
          <w:color w:val="auto"/>
        </w:rPr>
      </w:pPr>
    </w:p>
    <w:p>
      <w:pPr>
        <w:ind w:right="3119" w:firstLine="523"/>
        <w:spacing w:after="0" w:line="239" w:lineRule="auto"/>
        <w:tabs>
          <w:tab w:leader="none" w:pos="7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by the Company under this Agreement will be reduced by all taxes and other amounts that the Company is required to withhold under applicable law and all other deductions authorized by you.</w:t>
      </w:r>
    </w:p>
    <w:p>
      <w:pPr>
        <w:spacing w:after="0" w:line="175" w:lineRule="exact"/>
        <w:rPr>
          <w:rFonts w:ascii="Courier New" w:cs="Courier New" w:eastAsia="Courier New" w:hAnsi="Courier New"/>
          <w:sz w:val="15"/>
          <w:szCs w:val="15"/>
          <w:color w:val="auto"/>
        </w:rPr>
      </w:pPr>
    </w:p>
    <w:p>
      <w:pPr>
        <w:ind w:right="3219" w:firstLine="523"/>
        <w:spacing w:after="0" w:line="260" w:lineRule="auto"/>
        <w:tabs>
          <w:tab w:leader="none" w:pos="79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signing this agreement, you acknowledge that, on receipt by you of the payments to be provided you in accordance with Sections 1 and 2 hereof, you will have received payment in full of any and all sums which are now, or might hereafter have become, owing to you from CTI, whether for services rendered by you during your employment with CTI or otherwise, including without limitation any and all salary, vacation pay, severance pay and bonuses.</w:t>
      </w:r>
    </w:p>
    <w:p>
      <w:pPr>
        <w:spacing w:after="0" w:line="163" w:lineRule="exact"/>
        <w:rPr>
          <w:rFonts w:ascii="Courier New" w:cs="Courier New" w:eastAsia="Courier New" w:hAnsi="Courier New"/>
          <w:sz w:val="14"/>
          <w:szCs w:val="14"/>
          <w:color w:val="auto"/>
        </w:rPr>
      </w:pPr>
    </w:p>
    <w:p>
      <w:pPr>
        <w:ind w:right="3119" w:firstLine="523"/>
        <w:spacing w:after="0"/>
        <w:tabs>
          <w:tab w:leader="none" w:pos="7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disclose this agreement or any of its terms or provisions, directly or by implication, except to members of your immediate family and to your legal and tax advisors, and then only on condition that they agree not to further disclose this agreement or any of its terms or provisions to others.</w:t>
      </w:r>
    </w:p>
    <w:p>
      <w:pPr>
        <w:spacing w:after="0" w:line="174" w:lineRule="exact"/>
        <w:rPr>
          <w:rFonts w:ascii="Courier New" w:cs="Courier New" w:eastAsia="Courier New" w:hAnsi="Courier New"/>
          <w:sz w:val="15"/>
          <w:szCs w:val="15"/>
          <w:color w:val="auto"/>
        </w:rPr>
      </w:pPr>
    </w:p>
    <w:p>
      <w:pPr>
        <w:ind w:right="3119" w:firstLine="523"/>
        <w:spacing w:after="0" w:line="260" w:lineRule="auto"/>
        <w:tabs>
          <w:tab w:leader="none" w:pos="79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you will not disparage CTI or any of its Affiliates or any of their directors, trustees, officers or employees; and that you will not otherwise do or say anything that could disrupt the good morale of the employees of CTI and its Affiliates or otherwise harm the interests or reputation of CTI or any of its Affiliates. "Affiliates" means all persons and entities directly or indirectly controlling, controlled by or under common control with CTI, where control may be by management authority, equity interest, trusteeship, membership or otherwise. Affiliates of CTI include, without limitation, StemCells, Inc.</w:t>
      </w:r>
    </w:p>
    <w:p>
      <w:pPr>
        <w:spacing w:after="0" w:line="161" w:lineRule="exact"/>
        <w:rPr>
          <w:rFonts w:ascii="Courier New" w:cs="Courier New" w:eastAsia="Courier New" w:hAnsi="Courier New"/>
          <w:sz w:val="14"/>
          <w:szCs w:val="14"/>
          <w:color w:val="auto"/>
        </w:rPr>
      </w:pPr>
    </w:p>
    <w:p>
      <w:pPr>
        <w:ind w:right="3119" w:firstLine="523"/>
        <w:spacing w:after="0"/>
        <w:tabs>
          <w:tab w:leader="none" w:pos="8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signing this agreement, you give CTI assurance that on or prior to August 31, 1999 you will return to CTI any and all documents, materials and information related to the business, whether present or otherwise, of CTI and its Affiliates, and all keys and other property of CTI and its Affiliates in your possession or control (other than the cellular telephone previously provided to you by the Company, which you may retain, subject to your paying all service charges therefor after August 31, 1999). Recognizing that your employment with CTI will have been terminated, you</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95" w:name="page96"/>
    <w:bookmarkEnd w:id="95"/>
    <w:p>
      <w:pPr>
        <w:ind w:right="3219"/>
        <w:spacing w:after="0"/>
        <w:rPr>
          <w:sz w:val="20"/>
          <w:szCs w:val="20"/>
          <w:color w:val="auto"/>
        </w:rPr>
      </w:pPr>
      <w:r>
        <w:rPr>
          <w:rFonts w:ascii="Courier New" w:cs="Courier New" w:eastAsia="Courier New" w:hAnsi="Courier New"/>
          <w:sz w:val="15"/>
          <w:szCs w:val="15"/>
          <w:color w:val="auto"/>
        </w:rPr>
        <w:t>agree that after August 31, 1999 you will not, for any purpose, attempt to access or use any computer or computer network or system of CTI or any of its Affiliates, including without limitation their electronic mail system(s). Notwithstanding the above, during the period that you are consulting with the Company pursuant to Paragraph 2(a), you shall continue to have access to, and are allowed to maintain copies of, documents, materials and information related to the Company's business and shall continue to have access to the Company's premises.</w:t>
      </w:r>
    </w:p>
    <w:p>
      <w:pPr>
        <w:spacing w:after="0" w:line="177" w:lineRule="exact"/>
        <w:rPr>
          <w:sz w:val="20"/>
          <w:szCs w:val="20"/>
          <w:color w:val="auto"/>
        </w:rPr>
      </w:pPr>
    </w:p>
    <w:p>
      <w:pPr>
        <w:ind w:right="3219" w:firstLine="523"/>
        <w:spacing w:after="0" w:line="260" w:lineRule="auto"/>
        <w:tabs>
          <w:tab w:leader="none" w:pos="8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have signed an agreement with the Company dealing with, among other matters, confidentiality, inventions and noncompetition (the "Employee Agreement"). You agree to meet all of your obligations under the Employee Agreement, both during the remainder of your employment with the Company and following termination of your employment, in accordance with the terms of the Employee Agreement; provided, however, that if you meet all of your obligations under this agreement, then the Company will relieve you of those obligations of the Employee Agreement which prohibit your competition with the Company.</w:t>
      </w:r>
    </w:p>
    <w:p>
      <w:pPr>
        <w:spacing w:after="0" w:line="161" w:lineRule="exact"/>
        <w:rPr>
          <w:rFonts w:ascii="Courier New" w:cs="Courier New" w:eastAsia="Courier New" w:hAnsi="Courier New"/>
          <w:sz w:val="14"/>
          <w:szCs w:val="14"/>
          <w:color w:val="auto"/>
        </w:rPr>
      </w:pPr>
    </w:p>
    <w:p>
      <w:pPr>
        <w:ind w:right="3219" w:firstLine="523"/>
        <w:spacing w:after="0"/>
        <w:tabs>
          <w:tab w:leader="none" w:pos="8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cooperate with CTI at any time within three years hereafter with respect to all matters arising during or related to your employment, including but not limited to all matters in connection with any governmental investigation, litigation or regulatory or other proceeding which may have arisen or which may arise following the signing of this agreement. CTI shall reimburse you for any reasonable, documented lodging, travel or similar normally reimbursable out-of-pocket expenses incurred by you in fulfilling your obligations under this paragraph.</w:t>
      </w:r>
    </w:p>
    <w:p>
      <w:pPr>
        <w:spacing w:after="0" w:line="176" w:lineRule="exact"/>
        <w:rPr>
          <w:rFonts w:ascii="Courier New" w:cs="Courier New" w:eastAsia="Courier New" w:hAnsi="Courier New"/>
          <w:sz w:val="15"/>
          <w:szCs w:val="15"/>
          <w:color w:val="auto"/>
        </w:rPr>
      </w:pPr>
    </w:p>
    <w:p>
      <w:pPr>
        <w:ind w:right="3219" w:firstLine="523"/>
        <w:spacing w:after="0" w:line="262" w:lineRule="auto"/>
        <w:tabs>
          <w:tab w:leader="none" w:pos="8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be certain that this agreement will resolve any and all concerns that you might have, CTI requests that you carefully consider its terms, including the release of claims set forth below and, in that regard, encourages you to seek the advice of an attorney before signing this agreement.</w:t>
      </w:r>
    </w:p>
    <w:p>
      <w:pPr>
        <w:spacing w:after="0" w:line="160" w:lineRule="exact"/>
        <w:rPr>
          <w:rFonts w:ascii="Courier New" w:cs="Courier New" w:eastAsia="Courier New" w:hAnsi="Courier New"/>
          <w:sz w:val="14"/>
          <w:szCs w:val="14"/>
          <w:color w:val="auto"/>
        </w:rPr>
      </w:pPr>
    </w:p>
    <w:p>
      <w:pPr>
        <w:ind w:right="3119" w:firstLine="523"/>
        <w:spacing w:after="0"/>
        <w:tabs>
          <w:tab w:leader="none" w:pos="8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exhibits hereto constitutes the entire agreement between you and CTI and supersedes any and all prior and contemporaneous communications, agreements and understandings, whether written or oral, with respect to your employment by CTI, the termination of that employment and all matters pertaining thereto, excluding only the Employee Agreement (modified as provided above), the parties' obligations under CTI's 1992 Equity Incentive Plan, any other obligations which you may have to CTI or any of its Affiliates with respect to confidential information, non-competition, assignment of intellectual property or the like under contract or applicable law. In signing this Agreement, you represent and affirm that you have not relied on any promises or representations, written or oral, express or implied, by anyone connected with CTI or any of its Affiliates that are not set forth expressly in this Agreement.</w:t>
      </w:r>
    </w:p>
    <w:p>
      <w:pPr>
        <w:spacing w:after="0" w:line="180" w:lineRule="exact"/>
        <w:rPr>
          <w:rFonts w:ascii="Courier New" w:cs="Courier New" w:eastAsia="Courier New" w:hAnsi="Courier New"/>
          <w:sz w:val="15"/>
          <w:szCs w:val="15"/>
          <w:color w:val="auto"/>
        </w:rPr>
      </w:pPr>
    </w:p>
    <w:p>
      <w:pPr>
        <w:ind w:right="3119" w:firstLine="523"/>
        <w:spacing w:after="0" w:line="261" w:lineRule="auto"/>
        <w:tabs>
          <w:tab w:leader="none" w:pos="8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this agreement shall be in complete and final settlement of any and all causes of action, rights or claims that you have had in the past, now have, or might now have, in any way related to, connected with or arising out of your employment by the Company or service as a director of the Company or the termination thereof or pursuant to Title VII of the Civil Rights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96" w:name="page97"/>
    <w:bookmarkEnd w:id="96"/>
    <w:p>
      <w:pPr>
        <w:ind w:right="3119"/>
        <w:spacing w:after="0"/>
        <w:rPr>
          <w:sz w:val="20"/>
          <w:szCs w:val="20"/>
          <w:color w:val="auto"/>
        </w:rPr>
      </w:pPr>
      <w:r>
        <w:rPr>
          <w:rFonts w:ascii="Courier New" w:cs="Courier New" w:eastAsia="Courier New" w:hAnsi="Courier New"/>
          <w:sz w:val="15"/>
          <w:szCs w:val="15"/>
          <w:color w:val="auto"/>
        </w:rPr>
        <w:t>Act, the Americans with Disabilities Act, the Age Discrimination in Employment Act, or any other federal, state or local employment law, regulation or other requirement and you, on your own behalf and on behalf of your heirs, executors, administrators, personal representatives and assigns, hereby release and forever discharge CTI and its Affiliates and all of their respective past and present directors, shareholders, officers, employees, agents, successors and assigns and all others connected with any of them, both individually and in their official capacities, from any and all such causes of action, rights or claims. Nothing contained herein shall modify or eliminate any right you may have to indemnification as a result of your status as executive officer or director of the Company or your rights to enforce the provisions of this Agreement or your rights as a stockholder in the Company.</w:t>
      </w:r>
    </w:p>
    <w:p>
      <w:pPr>
        <w:spacing w:after="0" w:line="180" w:lineRule="exact"/>
        <w:rPr>
          <w:sz w:val="20"/>
          <w:szCs w:val="20"/>
          <w:color w:val="auto"/>
        </w:rPr>
      </w:pPr>
    </w:p>
    <w:p>
      <w:pPr>
        <w:ind w:right="3119" w:firstLine="523"/>
        <w:spacing w:after="0" w:line="260" w:lineRule="auto"/>
        <w:tabs>
          <w:tab w:leader="none" w:pos="8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signing this agreement, you give CTI assurance that you have signed it voluntarily and with a full understanding of its terms and that you have had sufficient opportunity to consider this agreement before signing it. This Agreement, including the release of claims contained in the Section immediately above, contains binding legal obligations. This Agreement may be amended only by a writing signed by you and an expressly authorized representative of CTI.</w:t>
      </w:r>
    </w:p>
    <w:p>
      <w:pPr>
        <w:spacing w:after="0" w:line="16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If the terms of this agreement are acceptable to you, please sign, date and return it to me within twenty-one days of the date you receive it. You may revoke this agreement at any time during the seven-day period immediately following the date of your signing. If you do not do so, then, at the expiration of that seven-day period, this letter will take effect as a legally binding agreement between you and CTI (and each party's successors and assigns) on the basis set forth above, to be enforced under and construed in accordance with the laws of the State of Rhode Island without regard to the conflict of law principles thereof. The enclosed copy of this letter, which you should also sign and date, is for your records.</w:t>
      </w:r>
    </w:p>
    <w:p>
      <w:pPr>
        <w:spacing w:after="0" w:line="34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Philip K. Yachmetz, Esquire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Senior Vice President, Business Development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and General Counsel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__________________________________</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Moses Goddard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______________________________________</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Date: ______________________________________</w:t>
      </w:r>
    </w:p>
    <w:p>
      <w:pPr>
        <w:sectPr>
          <w:pgSz w:w="11900" w:h="16838" w:orient="portrait"/>
          <w:cols w:equalWidth="0" w:num="1">
            <w:col w:w="10219"/>
          </w:cols>
          <w:pgMar w:left="240" w:top="801" w:right="1440" w:bottom="1440" w:gutter="0" w:footer="0" w:header="0"/>
        </w:sectPr>
      </w:pP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801" w:right="1440" w:bottom="1440" w:gutter="0" w:footer="0" w:header="0"/>
          <w:type w:val="continuous"/>
        </w:sectPr>
      </w:pPr>
    </w:p>
    <w:bookmarkStart w:id="98" w:name="page99"/>
    <w:bookmarkEnd w:id="98"/>
    <w:p>
      <w:pPr>
        <w:jc w:val="right"/>
        <w:ind w:right="3119"/>
        <w:spacing w:after="0"/>
        <w:rPr>
          <w:sz w:val="20"/>
          <w:szCs w:val="20"/>
          <w:color w:val="auto"/>
        </w:rPr>
      </w:pPr>
      <w:r>
        <w:rPr>
          <w:rFonts w:ascii="Courier New" w:cs="Courier New" w:eastAsia="Courier New" w:hAnsi="Courier New"/>
          <w:sz w:val="15"/>
          <w:szCs w:val="15"/>
          <w:color w:val="auto"/>
        </w:rPr>
        <w:t>EXHIBIT 10.95</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525 Del Rey Avenue, Suite C</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Sunnyvale, CA 94086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November 17,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George Dunbar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George:</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behalf of StemCells, Inc. (the "Company"), I am pleased to invite you to join the Company as Acting President of StemCells, Inc. reporting to the Company's Board of Directors. The effective date of your employment will be November 8,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this offer of employment are as follows:</w:t>
      </w:r>
    </w:p>
    <w:p>
      <w:pPr>
        <w:spacing w:after="0" w:line="174" w:lineRule="exact"/>
        <w:rPr>
          <w:sz w:val="20"/>
          <w:szCs w:val="20"/>
          <w:color w:val="auto"/>
        </w:rPr>
      </w:pPr>
    </w:p>
    <w:p>
      <w:pPr>
        <w:jc w:val="both"/>
        <w:ind w:right="3119" w:firstLine="523"/>
        <w:spacing w:after="0" w:line="239" w:lineRule="auto"/>
        <w:tabs>
          <w:tab w:leader="none" w:pos="7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Your Base Salary will be $6,730.77 biweekly ($175,000 per year) subject to review and adjustment from time to time. Your salary will begin as of the effective date of employment.</w:t>
      </w:r>
    </w:p>
    <w:p>
      <w:pPr>
        <w:spacing w:after="0" w:line="175" w:lineRule="exact"/>
        <w:rPr>
          <w:rFonts w:ascii="Courier New" w:cs="Courier New" w:eastAsia="Courier New" w:hAnsi="Courier New"/>
          <w:sz w:val="15"/>
          <w:szCs w:val="15"/>
          <w:color w:val="auto"/>
        </w:rPr>
      </w:pPr>
    </w:p>
    <w:p>
      <w:pPr>
        <w:ind w:right="3119" w:firstLine="523"/>
        <w:spacing w:after="0" w:line="258" w:lineRule="auto"/>
        <w:tabs>
          <w:tab w:leader="none" w:pos="79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Responsibilities. Your responsibilities as Acting President will be to perform such services as are customarily performed by the President of a biotechnology company, as requested by the Board from time to time. Specific responsibilities will be to provide the management and leadership role on behalf of the Board to accelerate the timely and cost effective exit from its parent's Rhode Island operations, and to establish consolidated corporate headquarters around the existing Sunnyvale, California facility. The priorities in Rhode Island include the early sale and disposition of the Lincoln, Rhode Island ECT pilot plant, leasing the existing science and administration facility, appropriate partnering of the ECT technology, and the sorting out with the State of Rhode Island any dispute that might exist regarding their initial "seed loan" to the Company's parent, CytoTherapeutics, Inc. The corporate relocation priorities are to initiate the minimum infrastructure necessary to manage the ongoing scientific and medical infrastructure necessary to manage the ongoing scientific and medical activities with limited disruption and to ensure all public company obligations are being met. Attention to other business development and shareholder drivers will be discussed and reviewed at the discretion of the Board. It is understood by the parties that the terms of this letter, including any provisions for compensation, stock options and benefits, all have to do with this interim position, and that if you were to become a permanent officer the terms and conditions would first be renegotiated.</w:t>
      </w:r>
    </w:p>
    <w:p>
      <w:pPr>
        <w:spacing w:after="0" w:line="344" w:lineRule="exact"/>
        <w:rPr>
          <w:rFonts w:ascii="Courier New" w:cs="Courier New" w:eastAsia="Courier New" w:hAnsi="Courier New"/>
          <w:sz w:val="14"/>
          <w:szCs w:val="14"/>
          <w:color w:val="auto"/>
        </w:rPr>
      </w:pPr>
    </w:p>
    <w:p>
      <w:pPr>
        <w:ind w:right="3219" w:firstLine="523"/>
        <w:spacing w:after="0" w:line="239" w:lineRule="auto"/>
        <w:tabs>
          <w:tab w:leader="none" w:pos="7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Subject to the approval of the Board of Directors of CytoTherapeutics, you will be granted the following shares of CytoTherapeutics' stock at a price equal to the fair market value at the time of your countersigning this letter:</w:t>
      </w:r>
    </w:p>
    <w:p>
      <w:pPr>
        <w:sectPr>
          <w:pgSz w:w="11900" w:h="16838" w:orient="portrait"/>
          <w:cols w:equalWidth="0" w:num="1">
            <w:col w:w="10219"/>
          </w:cols>
          <w:pgMar w:left="240" w:top="480"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Mr. George Dunbar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17,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3</w:t>
      </w:r>
    </w:p>
    <w:p>
      <w:pPr>
        <w:spacing w:after="0" w:line="174" w:lineRule="exact"/>
        <w:rPr>
          <w:sz w:val="20"/>
          <w:szCs w:val="20"/>
          <w:color w:val="auto"/>
        </w:rPr>
      </w:pPr>
    </w:p>
    <w:p>
      <w:pPr>
        <w:ind w:left="1060" w:right="3299" w:hanging="537"/>
        <w:spacing w:after="0" w:line="262"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option for 4,000 shares each month. In its absolute discretion, each quarter the Board of Directors will also consider an additional grant of up to 3,000 additional options if, it deems the services provided by you to be truly outstanding.</w:t>
      </w:r>
    </w:p>
    <w:p>
      <w:pPr>
        <w:spacing w:after="0" w:line="161" w:lineRule="exact"/>
        <w:rPr>
          <w:sz w:val="20"/>
          <w:szCs w:val="20"/>
          <w:color w:val="auto"/>
        </w:rPr>
      </w:pPr>
    </w:p>
    <w:p>
      <w:pPr>
        <w:ind w:right="3119" w:firstLine="523"/>
        <w:spacing w:after="0"/>
        <w:tabs>
          <w:tab w:leader="none" w:pos="7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Will Employment. You should be aware that your employment with the Company is for no specified period and constitutes "at-will" employment. As a result, you are free to terminate your employment at any time, for any reason or for no reason. Similarly, the Company is free to terminate your employment at any time, for any reason or for no reason. In the event of termination of your employment, you will not be entitled to any payments, benefits, damages or compensation.</w:t>
      </w:r>
    </w:p>
    <w:p>
      <w:pPr>
        <w:spacing w:after="0" w:line="175" w:lineRule="exact"/>
        <w:rPr>
          <w:rFonts w:ascii="Courier New" w:cs="Courier New" w:eastAsia="Courier New" w:hAnsi="Courier New"/>
          <w:sz w:val="15"/>
          <w:szCs w:val="15"/>
          <w:color w:val="auto"/>
        </w:rPr>
      </w:pPr>
    </w:p>
    <w:p>
      <w:pPr>
        <w:ind w:right="3579" w:firstLine="523"/>
        <w:spacing w:after="0" w:line="239" w:lineRule="auto"/>
        <w:tabs>
          <w:tab w:leader="none" w:pos="7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As a condition of accepting this offer of employment, you will be required to complete, sign and return the Company's standard form of Employment Agreement.</w:t>
      </w:r>
    </w:p>
    <w:p>
      <w:pPr>
        <w:spacing w:after="0" w:line="175" w:lineRule="exact"/>
        <w:rPr>
          <w:rFonts w:ascii="Courier New" w:cs="Courier New" w:eastAsia="Courier New" w:hAnsi="Courier New"/>
          <w:sz w:val="15"/>
          <w:szCs w:val="15"/>
          <w:color w:val="auto"/>
        </w:rPr>
      </w:pPr>
    </w:p>
    <w:p>
      <w:pPr>
        <w:ind w:right="3119" w:firstLine="523"/>
        <w:spacing w:after="0" w:line="261" w:lineRule="auto"/>
        <w:tabs>
          <w:tab w:leader="none" w:pos="79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Laws. For the purposes of federal immigration laws, you will be required to provide to the Company documentary evidence of your identity and eligibility for employment in the United States. Such documentation must be provided within 3 (three) business days of the effective date of your employment, or your employment relationship with the Company may be terminated.</w:t>
      </w:r>
    </w:p>
    <w:p>
      <w:pPr>
        <w:spacing w:after="0" w:line="161" w:lineRule="exact"/>
        <w:rPr>
          <w:rFonts w:ascii="Courier New" w:cs="Courier New" w:eastAsia="Courier New" w:hAnsi="Courier New"/>
          <w:sz w:val="14"/>
          <w:szCs w:val="14"/>
          <w:color w:val="auto"/>
        </w:rPr>
      </w:pPr>
    </w:p>
    <w:p>
      <w:pPr>
        <w:ind w:right="3119" w:firstLine="523"/>
        <w:spacing w:after="0"/>
        <w:tabs>
          <w:tab w:leader="none" w:pos="7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offer letter, the Employment Agreement and the Employee Stock Option Agreement, when signed by you, sets forth the terms of your employment with the Company and supersedes any and all prior representations and agreements, whether written or oral. This agreement can only be amended in a written document signed by you and an officer of the Company. This agreement will be governed by California law.</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We look forward to you joining the Company. If the foregoing terms are agreeable, please indicate your acceptance by signing both enclosed copies of this letter in the space below, keeping one copy for your files and returning one copy to 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w:t>
      </w:r>
    </w:p>
    <w:p>
      <w:pPr>
        <w:sectPr>
          <w:pgSz w:w="11900" w:h="16838" w:orient="portrait"/>
          <w:cols w:equalWidth="0" w:num="1">
            <w:col w:w="10219"/>
          </w:cols>
          <w:pgMar w:left="240" w:top="628"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Mr. George Dunbar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17,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of 3</w:t>
      </w:r>
    </w:p>
    <w:p>
      <w:pPr>
        <w:sectPr>
          <w:pgSz w:w="11900" w:h="16838" w:orient="portrait"/>
          <w:cols w:equalWidth="0" w:num="1">
            <w:col w:w="10219"/>
          </w:cols>
          <w:pgMar w:left="240" w:top="630"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_____ day of November, 1999</w:t>
      </w:r>
    </w:p>
    <w:p>
      <w:pPr>
        <w:spacing w:after="0" w:line="180" w:lineRule="exact"/>
        <w:rPr>
          <w:sz w:val="20"/>
          <w:szCs w:val="20"/>
          <w:color w:val="auto"/>
        </w:rPr>
      </w:pPr>
    </w:p>
    <w:p>
      <w:pPr>
        <w:sectPr>
          <w:pgSz w:w="11900" w:h="16838" w:orient="portrait"/>
          <w:cols w:equalWidth="0" w:num="2">
            <w:col w:w="3280" w:space="520"/>
            <w:col w:w="6419"/>
          </w:cols>
          <w:pgMar w:left="240" w:top="63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Offer Letter Copy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Information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I-9 Form</w:t>
      </w:r>
    </w:p>
    <w:p>
      <w:pPr>
        <w:sectPr>
          <w:pgSz w:w="11900" w:h="16838" w:orient="portrait"/>
          <w:cols w:equalWidth="0" w:num="2">
            <w:col w:w="340" w:space="180"/>
            <w:col w:w="9699"/>
          </w:cols>
          <w:pgMar w:left="240" w:top="630" w:right="1440" w:bottom="1440" w:gutter="0" w:footer="0" w:header="0"/>
          <w:type w:val="continuous"/>
        </w:sectPr>
      </w:pPr>
    </w:p>
    <w:bookmarkStart w:id="101" w:name="page102"/>
    <w:bookmarkEnd w:id="101"/>
    <w:p>
      <w:pPr>
        <w:jc w:val="right"/>
        <w:ind w:right="3119"/>
        <w:spacing w:after="0"/>
        <w:rPr>
          <w:sz w:val="20"/>
          <w:szCs w:val="20"/>
          <w:color w:val="auto"/>
        </w:rPr>
      </w:pPr>
      <w:r>
        <w:rPr>
          <w:rFonts w:ascii="Courier New" w:cs="Courier New" w:eastAsia="Courier New" w:hAnsi="Courier New"/>
          <w:sz w:val="15"/>
          <w:szCs w:val="15"/>
          <w:color w:val="auto"/>
        </w:rPr>
        <w:t>525 Del Rey Avenue, Suite ^</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Sunnyvale, CA 94086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CytoTherapeutics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10.96</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November 17, 1999</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Dr. Kenneth D. Coleman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President/CEO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David Powell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iCEO, L.L.C.</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Re: Mr. George Dunbar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Ken and David:</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CTI would very much like to engage George Dunbar to serve as Acting President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StemCells, Inc., a subsidiary of CTI, on the following terms:</w:t>
      </w:r>
    </w:p>
    <w:p>
      <w:pPr>
        <w:spacing w:after="0" w:line="174" w:lineRule="exact"/>
        <w:rPr>
          <w:sz w:val="20"/>
          <w:szCs w:val="20"/>
          <w:color w:val="auto"/>
        </w:rPr>
      </w:pPr>
    </w:p>
    <w:p>
      <w:pPr>
        <w:ind w:left="529" w:right="3579" w:hanging="529"/>
        <w:spacing w:after="0" w:line="238" w:lineRule="auto"/>
        <w:tabs>
          <w:tab w:leader="none" w:pos="52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would expect George to sign our normal Employment Offer letter and Employment Agreement, substantially in the form attached.</w:t>
      </w:r>
    </w:p>
    <w:p>
      <w:pPr>
        <w:spacing w:after="0" w:line="4"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Acting President's responsibilities will be to perform such services as are customarily performed by the President of a biotechnology company, as requested by the Board from time to time. Specific responsibilities will be to provide the management and leadership role on behalf of the Board to accelerate the timely and cost effective exit from its parent's Rhode Island operations, and to consolidate corporate headquarters around the existing Sunnyvale, California facility. The priorities in Rhode Island include the early sale and disposition of the Lincoln, Rhode Island ECT pilot plant, leasing the existing science and administration facility, appropriate partnering of the ECT technology, and the sorting out with the State of Rhode Island any dispute that might exist regarding their initial "seed loan" to CTI. The corporate relocation priorities are to initiate the minimum infrastructure necessary to manage the ongoing scientific and medical infrastructure necessary to manage the ongoing scientific and medical activities with limited disruption and to ensure all CTI's public company obligations are being met. Attention to other business development and shareholder drivers will be discussed and reviewed at the discretion of the Board. CTI acknowledges and understands that iCEO, L.L.C. cannot and does not guarantee that CTI will obtain funding that it deems acceptable or adequate as a result of the Acting President's performance of services.</w:t>
      </w:r>
    </w:p>
    <w:p>
      <w:pPr>
        <w:spacing w:after="0" w:line="18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would begin as of November 7, 1999, and, of course, would commit to the time necessary to carry out his responsibilities, as you said. We would, as you also note, want to meet with you and George as necessary to discuss any issues that arise in connection with this appointment. George's employment will</w:t>
      </w:r>
    </w:p>
    <w:p>
      <w:pPr>
        <w:sectPr>
          <w:pgSz w:w="11900" w:h="16838" w:orient="portrait"/>
          <w:cols w:equalWidth="0" w:num="1">
            <w:col w:w="10228"/>
          </w:cols>
          <w:pgMar w:left="231" w:top="480" w:right="1440" w:bottom="1440" w:gutter="0" w:footer="0" w:header="0"/>
        </w:sectPr>
      </w:pPr>
    </w:p>
    <w:bookmarkStart w:id="102" w:name="page103"/>
    <w:bookmarkEnd w:id="102"/>
    <w:p>
      <w:pPr>
        <w:ind w:left="9"/>
        <w:spacing w:after="0"/>
        <w:rPr>
          <w:sz w:val="20"/>
          <w:szCs w:val="20"/>
          <w:color w:val="auto"/>
        </w:rPr>
      </w:pPr>
      <w:r>
        <w:rPr>
          <w:rFonts w:ascii="Courier New" w:cs="Courier New" w:eastAsia="Courier New" w:hAnsi="Courier New"/>
          <w:sz w:val="14"/>
          <w:szCs w:val="14"/>
          <w:color w:val="auto"/>
        </w:rPr>
        <w:t>Dr. Kenneth D. Coleman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November 1, 1999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 of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CONFIDENTIAL</w:t>
      </w:r>
    </w:p>
    <w:p>
      <w:pPr>
        <w:spacing w:after="0" w:line="549" w:lineRule="exact"/>
        <w:rPr>
          <w:sz w:val="20"/>
          <w:szCs w:val="20"/>
          <w:color w:val="auto"/>
        </w:rPr>
      </w:pPr>
    </w:p>
    <w:p>
      <w:pPr>
        <w:sectPr>
          <w:pgSz w:w="11900" w:h="16838" w:orient="portrait"/>
          <w:cols w:equalWidth="0" w:num="2">
            <w:col w:w="4609" w:space="720"/>
            <w:col w:w="4899"/>
          </w:cols>
          <w:pgMar w:left="231" w:top="631" w:right="1440" w:bottom="1440" w:gutter="0" w:footer="0" w:header="0"/>
        </w:sectPr>
      </w:pPr>
    </w:p>
    <w:p>
      <w:pPr>
        <w:spacing w:after="0" w:line="145" w:lineRule="exact"/>
        <w:rPr>
          <w:sz w:val="20"/>
          <w:szCs w:val="20"/>
          <w:color w:val="auto"/>
        </w:rPr>
      </w:pPr>
    </w:p>
    <w:p>
      <w:pPr>
        <w:jc w:val="both"/>
        <w:ind w:left="529" w:right="3119"/>
        <w:spacing w:after="0" w:line="239" w:lineRule="auto"/>
        <w:rPr>
          <w:sz w:val="20"/>
          <w:szCs w:val="20"/>
          <w:color w:val="auto"/>
        </w:rPr>
      </w:pPr>
      <w:r>
        <w:rPr>
          <w:rFonts w:ascii="Courier New" w:cs="Courier New" w:eastAsia="Courier New" w:hAnsi="Courier New"/>
          <w:sz w:val="15"/>
          <w:szCs w:val="15"/>
          <w:color w:val="auto"/>
        </w:rPr>
        <w:t>be at will, continuing until terminated by either him or us, neither party having any obligation to give the other party advance notice, as reflected in the enclosed engagement letter.</w:t>
      </w:r>
    </w:p>
    <w:p>
      <w:pPr>
        <w:spacing w:after="0" w:line="4" w:lineRule="exact"/>
        <w:rPr>
          <w:sz w:val="20"/>
          <w:szCs w:val="20"/>
          <w:color w:val="auto"/>
        </w:rPr>
      </w:pPr>
    </w:p>
    <w:p>
      <w:pPr>
        <w:ind w:left="529" w:right="3119" w:hanging="529"/>
        <w:spacing w:after="0" w:line="258" w:lineRule="auto"/>
        <w:tabs>
          <w:tab w:leader="none" w:pos="52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pay at the total annual rate of $250,000 so long as George is in our employ as Acting President. We will pay iCEO, L.L.C. that part of the total rate that you direct. The remainder will constitute George's salary; we will also pay the employer's share of payroll taxes, and withhold taxes and other amounts as appropriate, on the amounts paid to George. George will be paid on the same schedule as all CTI employees, which is currently every two weeks, and iCEO will bill us for its share on the 15th and the last day of the month for the prior period, amounts to be due on receipt.</w:t>
      </w:r>
    </w:p>
    <w:p>
      <w:pPr>
        <w:spacing w:after="0" w:line="1" w:lineRule="exact"/>
        <w:rPr>
          <w:rFonts w:ascii="Courier New" w:cs="Courier New" w:eastAsia="Courier New" w:hAnsi="Courier New"/>
          <w:sz w:val="14"/>
          <w:szCs w:val="14"/>
          <w:color w:val="auto"/>
        </w:rPr>
      </w:pPr>
    </w:p>
    <w:p>
      <w:pPr>
        <w:ind w:left="529" w:right="3219" w:hanging="529"/>
        <w:spacing w:after="0"/>
        <w:tabs>
          <w:tab w:leader="none" w:pos="52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grant options to purchase a total of 8,000 shares of CTI stock every month; every three months, the CTI Board of Directors will also consider an additional grant of up to a total of 6,000 additional options if, in its absolute discretion, it deems the services provided by George are truly outstanding. The shares will be divided between George and iCEO as you direct in your reply to this letter. The strike price for all options will be the price of the shares at the close of business on the date of grant, which will occur at CTI's first Board meeting in November, 1999.</w:t>
      </w:r>
    </w:p>
    <w:p>
      <w:pPr>
        <w:spacing w:after="0" w:line="6"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reimburse George promptly for his reasonable expenses incurred on behalf of StemCells. We will, of course, require that he follow normal business practices with respect to receipts and advance authorization where required.</w:t>
      </w:r>
    </w:p>
    <w:p>
      <w:pPr>
        <w:spacing w:after="0" w:line="5" w:lineRule="exact"/>
        <w:rPr>
          <w:rFonts w:ascii="Courier New" w:cs="Courier New" w:eastAsia="Courier New" w:hAnsi="Courier New"/>
          <w:sz w:val="15"/>
          <w:szCs w:val="15"/>
          <w:color w:val="auto"/>
        </w:rPr>
      </w:pPr>
    </w:p>
    <w:p>
      <w:pPr>
        <w:ind w:left="529" w:right="3399" w:hanging="529"/>
        <w:spacing w:after="0" w:line="258" w:lineRule="auto"/>
        <w:tabs>
          <w:tab w:leader="none" w:pos="52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left space below for you to let us know how the monetary payment and the options should be divided up. We will use that information to complete the engagement letter, and send you a copy of the completed package once the remaining documents are fully executed.</w:t>
      </w:r>
    </w:p>
    <w:p>
      <w:pPr>
        <w:ind w:left="529" w:right="3119" w:hanging="529"/>
        <w:spacing w:after="0"/>
        <w:tabs>
          <w:tab w:leader="none" w:pos="52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CTI agrees that if, within 120 days following the termination of George's employment as Acting President of StemCells, it or StemCells should engage George on a permanent basis rather than as Acting President, it will pay iCEO, L.L.C. an amount equal to one third of his first year's targeted cash compensation, including base salary and bonus, in such permanent position.</w:t>
      </w:r>
    </w:p>
    <w:p>
      <w:pPr>
        <w:spacing w:after="0" w:line="4"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by all parties that the terms of this agreement, as well as the Employment Offer letter and Employment Agreement, all have to do with an interim position, and that if George were to become CEO of CTI on a permanent basis the terms and conditions would first be renegotiated. It is further understood that George has certain consulting agreements which have been disclosed and which are listed in Exhibit B to the Employment Agreement, and it is agreed that in light of the interim nature of this appointment, he is entitled to continue to provide services under those agreements so long as their performance does not interfere in any way with his carrying out of his responsibilities toward StemCells or its parent. It is also understood and agreed that George is free to interview with other companies during his appointment as Acting President, again so long as this does not interfere in any way with his</w:t>
      </w:r>
    </w:p>
    <w:p>
      <w:pPr>
        <w:sectPr>
          <w:pgSz w:w="11900" w:h="16838" w:orient="portrait"/>
          <w:cols w:equalWidth="0" w:num="1">
            <w:col w:w="10228"/>
          </w:cols>
          <w:pgMar w:left="231" w:top="631" w:right="1440" w:bottom="1440" w:gutter="0" w:footer="0" w:header="0"/>
          <w:type w:val="continuous"/>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Dr. Kenneth D. Coleman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of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CONFIDENTIAL</w:t>
      </w:r>
    </w:p>
    <w:p>
      <w:pPr>
        <w:spacing w:after="0" w:line="549" w:lineRule="exact"/>
        <w:rPr>
          <w:sz w:val="20"/>
          <w:szCs w:val="20"/>
          <w:color w:val="auto"/>
        </w:rPr>
      </w:pPr>
    </w:p>
    <w:p>
      <w:pPr>
        <w:sectPr>
          <w:pgSz w:w="11900" w:h="16838" w:orient="portrait"/>
          <w:cols w:equalWidth="0" w:num="2">
            <w:col w:w="4600" w:space="720"/>
            <w:col w:w="4899"/>
          </w:cols>
          <w:pgMar w:left="240" w:top="631" w:right="1440" w:bottom="1440" w:gutter="0" w:footer="0" w:header="0"/>
        </w:sectPr>
      </w:pPr>
    </w:p>
    <w:p>
      <w:pPr>
        <w:spacing w:after="0" w:line="145"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carrying out of his responsibilities toward StemCells or its parent. Moreover, if at any time during the duration of his appointment as Acting President of StemCells George should be dissatisfied with his compensation because he finds his responsibilities significantly different from what he now believes they will be, he and you should feel free to meet with the Chairman of the Board of CTI to discuss the problem and how it could be ameliorated.</w:t>
      </w:r>
    </w:p>
    <w:p>
      <w:pPr>
        <w:spacing w:after="0" w:line="176"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 believe this obviates the need for Exhibit A to your letter, but if I have omitted anything of importance, please let me know.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Schwartz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Accepted, with the condition that $6,250 per month of the annual amount of $250,000 referred to in paragraph 4 (i.e., thirty percent) above be paid to iCEO, L.L.C., and fifty percent of the options for 8,000 shares of CTI stock (i.e., 4,000 shares) per month and fifty percent of any additional options granted as set out in paragraph 5 above, be granted to iCEO Diversified Stock Fund.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iCEO, L.L.C.</w:t>
      </w:r>
    </w:p>
    <w:p>
      <w:pPr>
        <w:sectPr>
          <w:pgSz w:w="11900" w:h="16838" w:orient="portrait"/>
          <w:cols w:equalWidth="0" w:num="1">
            <w:col w:w="10219"/>
          </w:cols>
          <w:pgMar w:left="240" w:top="631" w:right="1440" w:bottom="1440" w:gutter="0" w:footer="0" w:header="0"/>
          <w:type w:val="continuous"/>
        </w:sectPr>
      </w:pPr>
    </w:p>
    <w:bookmarkStart w:id="104" w:name="page105"/>
    <w:bookmarkEnd w:id="104"/>
    <w:p>
      <w:pPr>
        <w:jc w:val="right"/>
        <w:ind w:right="3119"/>
        <w:spacing w:after="0"/>
        <w:rPr>
          <w:sz w:val="20"/>
          <w:szCs w:val="20"/>
          <w:color w:val="auto"/>
        </w:rPr>
      </w:pPr>
      <w:r>
        <w:rPr>
          <w:rFonts w:ascii="Courier New" w:cs="Courier New" w:eastAsia="Courier New" w:hAnsi="Courier New"/>
          <w:sz w:val="15"/>
          <w:szCs w:val="15"/>
          <w:color w:val="auto"/>
        </w:rPr>
        <w:t>EXHIBIT 21</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SUBSIDIARIES OF STEMCELLS, INC.</w:t>
      </w:r>
    </w:p>
    <w:p>
      <w:pPr>
        <w:sectPr>
          <w:pgSz w:w="11900" w:h="16838" w:orient="portrait"/>
          <w:cols w:equalWidth="0" w:num="1">
            <w:col w:w="10219"/>
          </w:cols>
          <w:pgMar w:left="240" w:top="309"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JURISDICTION OF INCORPORATION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900" w:space="720"/>
            <w:col w:w="6599"/>
          </w:cols>
          <w:pgMar w:left="240" w:top="3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StemCells California,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California</w:t>
      </w:r>
    </w:p>
    <w:p>
      <w:pPr>
        <w:sectPr>
          <w:pgSz w:w="11900" w:h="16838" w:orient="portrait"/>
          <w:cols w:equalWidth="0" w:num="2">
            <w:col w:w="2740" w:space="720"/>
            <w:col w:w="6759"/>
          </w:cols>
          <w:pgMar w:left="240" w:top="309" w:right="1440" w:bottom="1440" w:gutter="0" w:footer="0" w:header="0"/>
          <w:type w:val="continuous"/>
        </w:sectPr>
      </w:pPr>
    </w:p>
    <w:bookmarkStart w:id="105" w:name="page106"/>
    <w:bookmarkEnd w:id="105"/>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consent to the use of our report dated April 14, 2000, included in the Annual Report on Form 10-K of StemCells, Inc. (formerly CytoTherapeutics, Inc.) for the year ended December 31, 1999, with respect to the consolidated financial statements, as amended, included in this Form 10-K/A.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2000</w:t>
      </w:r>
    </w:p>
    <w:p>
      <w:pPr>
        <w:sectPr>
          <w:pgSz w:w="11900" w:h="16838" w:orient="portrait"/>
          <w:cols w:equalWidth="0" w:num="1">
            <w:col w:w="10219"/>
          </w:cols>
          <w:pgMar w:left="240" w:top="309" w:right="1440" w:bottom="1440"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099"/>
        <w:spacing w:after="0" w:line="239" w:lineRule="auto"/>
        <w:rPr>
          <w:sz w:val="20"/>
          <w:szCs w:val="20"/>
          <w:color w:val="auto"/>
        </w:rPr>
      </w:pPr>
      <w:r>
        <w:rPr>
          <w:rFonts w:ascii="Courier New" w:cs="Courier New" w:eastAsia="Courier New" w:hAnsi="Courier New"/>
          <w:sz w:val="15"/>
          <w:szCs w:val="15"/>
          <w:color w:val="auto"/>
        </w:rPr>
        <w:t>This schedule contains summary information extracted from the consolidated statement of earnings for the year ended December 31, 1999 and the consolidated balance sheet at December 31, 1999 and is qualified in its entirety by reference to such financial statements.</w:t>
      </w:r>
    </w:p>
    <w:p>
      <w:pPr>
        <w:spacing w:after="0" w:line="200" w:lineRule="exact"/>
        <w:rPr>
          <w:sz w:val="20"/>
          <w:szCs w:val="20"/>
          <w:color w:val="auto"/>
        </w:rPr>
      </w:pPr>
    </w:p>
    <w:p>
      <w:pPr>
        <w:spacing w:after="0" w:line="31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DEC-31-1999</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DEC-31-1999</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4,760,064</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3,000,000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8,970,855</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5,779,777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(828,401)</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15,780,999</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3,560,550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2,937,083</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186,355</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3,320,048</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15,780,999</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5,021,707</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20,959,136</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335,203</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(15,708,626)</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(15,708,626)</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(15,708,626)</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199"/>
          </w:cols>
          <w:pgMar w:left="260" w:top="139" w:right="1440" w:bottom="1440" w:gutter="0" w:footer="0" w:header="0"/>
        </w:sectPr>
      </w:pPr>
    </w:p>
    <w:bookmarkStart w:id="108" w:name="page109"/>
    <w:bookmarkEnd w:id="108"/>
    <w:p>
      <w:pPr>
        <w:jc w:val="center"/>
        <w:ind w:right="3110"/>
        <w:spacing w:after="0"/>
        <w:rPr>
          <w:sz w:val="20"/>
          <w:szCs w:val="20"/>
          <w:color w:val="auto"/>
        </w:rPr>
      </w:pPr>
      <w:r>
        <w:rPr>
          <w:rFonts w:ascii="Courier New" w:cs="Courier New" w:eastAsia="Courier New" w:hAnsi="Courier New"/>
          <w:sz w:val="15"/>
          <w:szCs w:val="15"/>
          <w:color w:val="auto"/>
        </w:rPr>
        <w:t>EXHIBIT 99</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200" w:lineRule="exact"/>
        <w:rPr>
          <w:sz w:val="20"/>
          <w:szCs w:val="20"/>
          <w:color w:val="auto"/>
        </w:rPr>
      </w:pPr>
    </w:p>
    <w:p>
      <w:pPr>
        <w:spacing w:after="0" w:line="315"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200" w:lineRule="exact"/>
        <w:rPr>
          <w:sz w:val="20"/>
          <w:szCs w:val="20"/>
          <w:color w:val="auto"/>
        </w:rPr>
      </w:pPr>
    </w:p>
    <w:p>
      <w:pPr>
        <w:spacing w:after="0" w:line="318"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0" w:lineRule="exact"/>
        <w:rPr>
          <w:sz w:val="20"/>
          <w:szCs w:val="20"/>
          <w:color w:val="auto"/>
        </w:rPr>
      </w:pPr>
    </w:p>
    <w:p>
      <w:pPr>
        <w:spacing w:after="0" w:line="318"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spacing w:after="0" w:line="1" w:lineRule="exact"/>
        <w:rPr>
          <w:sz w:val="20"/>
          <w:szCs w:val="20"/>
          <w:color w:val="auto"/>
        </w:rPr>
      </w:pPr>
    </w:p>
    <w:p>
      <w:pPr>
        <w:ind w:left="9" w:right="3299" w:hanging="9"/>
        <w:spacing w:after="0" w:line="259" w:lineRule="auto"/>
        <w:tabs>
          <w:tab w:leader="none" w:pos="54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integrate into existing tissue in the desired manner, or (iv) 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200" w:lineRule="exact"/>
        <w:rPr>
          <w:sz w:val="20"/>
          <w:szCs w:val="20"/>
          <w:color w:val="auto"/>
        </w:rPr>
      </w:pPr>
    </w:p>
    <w:p>
      <w:pPr>
        <w:spacing w:after="0" w:line="307"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0" w:lineRule="exact"/>
        <w:rPr>
          <w:sz w:val="20"/>
          <w:szCs w:val="20"/>
          <w:color w:val="auto"/>
        </w:rPr>
      </w:pPr>
    </w:p>
    <w:p>
      <w:pPr>
        <w:spacing w:after="0" w:line="318" w:lineRule="exact"/>
        <w:rPr>
          <w:sz w:val="20"/>
          <w:szCs w:val="20"/>
          <w:color w:val="auto"/>
        </w:rPr>
      </w:pPr>
    </w:p>
    <w:p>
      <w:pPr>
        <w:ind w:left="9" w:right="365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200" w:lineRule="exact"/>
        <w:rPr>
          <w:sz w:val="20"/>
          <w:szCs w:val="20"/>
          <w:color w:val="auto"/>
        </w:rPr>
      </w:pPr>
    </w:p>
    <w:p>
      <w:pPr>
        <w:spacing w:after="0" w:line="316"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200" w:lineRule="exact"/>
        <w:rPr>
          <w:sz w:val="20"/>
          <w:szCs w:val="20"/>
          <w:color w:val="auto"/>
        </w:rPr>
      </w:pPr>
    </w:p>
    <w:p>
      <w:pPr>
        <w:spacing w:after="0" w:line="30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Even though we owned 126,193 shares of Modex Therapeutics Ltd., stock with an estimated fair market value on June 30, 2000 of $19,220,165 based on the per share price of approximately $152.00, which we converted from a market price of 247.50 Swiss francs on June 30, 2000, we are restricted from selling these shares until December 23, 2000. On October 31, 2000, the market price on Modex stock was 329.50 Swiss francs, which converts to $183.28 using the exchange rates on that date, and represents an estimated fair market value of $23,128,598 for our holdings.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200" w:lineRule="exact"/>
        <w:rPr>
          <w:sz w:val="20"/>
          <w:szCs w:val="20"/>
          <w:color w:val="auto"/>
        </w:rPr>
      </w:pPr>
    </w:p>
    <w:p>
      <w:pPr>
        <w:spacing w:after="0" w:line="324"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w:t>
      </w:r>
    </w:p>
    <w:p>
      <w:pPr>
        <w:sectPr>
          <w:pgSz w:w="11900" w:h="16838" w:orient="portrait"/>
          <w:cols w:equalWidth="0" w:num="1">
            <w:col w:w="10228"/>
          </w:cols>
          <w:pgMar w:left="231" w:top="480" w:right="1440" w:bottom="421" w:gutter="0" w:footer="0" w:header="0"/>
        </w:sectPr>
      </w:pPr>
    </w:p>
    <w:bookmarkStart w:id="109" w:name="page110"/>
    <w:bookmarkEnd w:id="109"/>
    <w:p>
      <w:pPr>
        <w:ind w:right="3219"/>
        <w:spacing w:after="0"/>
        <w:rPr>
          <w:sz w:val="20"/>
          <w:szCs w:val="20"/>
          <w:color w:val="auto"/>
        </w:rPr>
      </w:pPr>
      <w:r>
        <w:rPr>
          <w:rFonts w:ascii="Courier New" w:cs="Courier New" w:eastAsia="Courier New" w:hAnsi="Courier New"/>
          <w:sz w:val="15"/>
          <w:szCs w:val="15"/>
          <w:color w:val="auto"/>
        </w:rPr>
        <w:t>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has agreed not to take any action as a result of this violation until November 19, 2000. We intend to seek an additional period of forebearance from the landlord, but we cannot give any assurance that the landlord will grant this additional forebearance or that we will be able to sublease the premises during any additional period of time. If the landlord decides to pursue its rights after any period of forebearance, we may be required to pay the landlord the entire amount due for the rest of the lease period.</w:t>
      </w:r>
    </w:p>
    <w:p>
      <w:pPr>
        <w:spacing w:after="0" w:line="200" w:lineRule="exact"/>
        <w:rPr>
          <w:sz w:val="20"/>
          <w:szCs w:val="20"/>
          <w:color w:val="auto"/>
        </w:rPr>
      </w:pPr>
    </w:p>
    <w:p>
      <w:pPr>
        <w:spacing w:after="0" w:line="328"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200" w:lineRule="exact"/>
        <w:rPr>
          <w:sz w:val="20"/>
          <w:szCs w:val="20"/>
          <w:color w:val="auto"/>
        </w:rPr>
      </w:pPr>
    </w:p>
    <w:p>
      <w:pPr>
        <w:spacing w:after="0" w:line="30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 or options to license the inventions resulting from the research. This agreement expired on November 14, 2000 and we are negotiating with Scripps to extend the term of this agreement or to enter into a new agreement. As of the date of this report, we have not yet completed our negotiations with Scripps and we cannot give any assurance that our negotiations will be successful. If we are unable to extend the term of this agreement or enter into a new agreement, we will have to find a replacement to perform this research or we will have to perform this research ourselves. In either case, we may experience delay and additional expense in connection with this research effort.</w:t>
      </w:r>
    </w:p>
    <w:p>
      <w:pPr>
        <w:spacing w:after="0" w:line="200" w:lineRule="exact"/>
        <w:rPr>
          <w:sz w:val="20"/>
          <w:szCs w:val="20"/>
          <w:color w:val="auto"/>
        </w:rPr>
      </w:pPr>
    </w:p>
    <w:p>
      <w:pPr>
        <w:spacing w:after="0" w:line="320"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incurred $124,237,900 in operating losses through September 30, 2000 and expect to continue to incur substantial operating losses in the future in order to conduct our research and development activities, and if those activities are successful, to fund clinical trials and other expenses. These expenses</w:t>
      </w:r>
    </w:p>
    <w:p>
      <w:pPr>
        <w:sectPr>
          <w:pgSz w:w="11900" w:h="16838" w:orient="portrait"/>
          <w:cols w:equalWidth="0" w:num="1">
            <w:col w:w="10219"/>
          </w:cols>
          <w:pgMar w:left="240" w:top="631" w:right="1440" w:bottom="287" w:gutter="0" w:footer="0" w:header="0"/>
        </w:sectPr>
      </w:pPr>
    </w:p>
    <w:bookmarkStart w:id="110" w:name="page111"/>
    <w:bookmarkEnd w:id="110"/>
    <w:p>
      <w:pPr>
        <w:ind w:right="3219"/>
        <w:spacing w:after="0"/>
        <w:rPr>
          <w:sz w:val="20"/>
          <w:szCs w:val="20"/>
          <w:color w:val="auto"/>
        </w:rPr>
      </w:pPr>
      <w:r>
        <w:rPr>
          <w:rFonts w:ascii="Courier New" w:cs="Courier New" w:eastAsia="Courier New" w:hAnsi="Courier New"/>
          <w:sz w:val="15"/>
          <w:szCs w:val="15"/>
          <w:color w:val="auto"/>
        </w:rPr>
        <w:t>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200" w:lineRule="exact"/>
        <w:rPr>
          <w:sz w:val="20"/>
          <w:szCs w:val="20"/>
          <w:color w:val="auto"/>
        </w:rPr>
      </w:pPr>
    </w:p>
    <w:p>
      <w:pPr>
        <w:spacing w:after="0" w:line="319" w:lineRule="exact"/>
        <w:rPr>
          <w:sz w:val="20"/>
          <w:szCs w:val="20"/>
          <w:color w:val="auto"/>
        </w:rPr>
      </w:pPr>
    </w:p>
    <w:p>
      <w:pPr>
        <w:ind w:right="3919" w:firstLine="355"/>
        <w:spacing w:after="0" w:line="238" w:lineRule="auto"/>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200" w:lineRule="exact"/>
        <w:rPr>
          <w:sz w:val="20"/>
          <w:szCs w:val="20"/>
          <w:color w:val="auto"/>
        </w:rPr>
      </w:pPr>
    </w:p>
    <w:p>
      <w:pPr>
        <w:spacing w:after="0" w:line="30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OPERATIONS WILL BE HARMED.</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200" w:lineRule="exact"/>
        <w:rPr>
          <w:sz w:val="20"/>
          <w:szCs w:val="20"/>
          <w:color w:val="auto"/>
        </w:rPr>
      </w:pPr>
    </w:p>
    <w:p>
      <w:pPr>
        <w:spacing w:after="0" w:line="30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w:t>
      </w:r>
    </w:p>
    <w:p>
      <w:pPr>
        <w:sectPr>
          <w:pgSz w:w="11900" w:h="16838" w:orient="portrait"/>
          <w:cols w:equalWidth="0" w:num="1">
            <w:col w:w="10219"/>
          </w:cols>
          <w:pgMar w:left="240" w:top="631" w:right="1440" w:bottom="0" w:gutter="0" w:footer="0" w:header="0"/>
        </w:sectPr>
      </w:pPr>
    </w:p>
    <w:bookmarkStart w:id="111" w:name="page112"/>
    <w:bookmarkEnd w:id="111"/>
    <w:p>
      <w:pPr>
        <w:ind w:right="3219"/>
        <w:spacing w:after="0" w:line="239" w:lineRule="auto"/>
        <w:rPr>
          <w:sz w:val="20"/>
          <w:szCs w:val="20"/>
          <w:color w:val="auto"/>
        </w:rPr>
      </w:pPr>
      <w:r>
        <w:rPr>
          <w:rFonts w:ascii="Courier New" w:cs="Courier New" w:eastAsia="Courier New" w:hAnsi="Courier New"/>
          <w:sz w:val="15"/>
          <w:szCs w:val="15"/>
          <w:color w:val="auto"/>
        </w:rPr>
        <w:t>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200" w:lineRule="exact"/>
        <w:rPr>
          <w:sz w:val="20"/>
          <w:szCs w:val="20"/>
          <w:color w:val="auto"/>
        </w:rPr>
      </w:pPr>
    </w:p>
    <w:p>
      <w:pPr>
        <w:spacing w:after="0" w:line="31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200" w:lineRule="exact"/>
        <w:rPr>
          <w:sz w:val="20"/>
          <w:szCs w:val="20"/>
          <w:color w:val="auto"/>
        </w:rPr>
      </w:pPr>
    </w:p>
    <w:p>
      <w:pPr>
        <w:spacing w:after="0" w:line="32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200" w:lineRule="exact"/>
        <w:rPr>
          <w:sz w:val="20"/>
          <w:szCs w:val="20"/>
          <w:color w:val="auto"/>
        </w:rPr>
      </w:pPr>
    </w:p>
    <w:p>
      <w:pPr>
        <w:spacing w:after="0" w:line="30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200" w:lineRule="exact"/>
        <w:rPr>
          <w:sz w:val="20"/>
          <w:szCs w:val="20"/>
          <w:color w:val="auto"/>
        </w:rPr>
      </w:pPr>
    </w:p>
    <w:p>
      <w:pPr>
        <w:spacing w:after="0" w:line="31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00" w:lineRule="exact"/>
        <w:rPr>
          <w:sz w:val="20"/>
          <w:szCs w:val="20"/>
          <w:color w:val="auto"/>
        </w:rPr>
      </w:pPr>
    </w:p>
    <w:p>
      <w:pPr>
        <w:spacing w:after="0" w:line="316"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64" w:lineRule="auto"/>
        <w:rPr>
          <w:sz w:val="20"/>
          <w:szCs w:val="20"/>
          <w:color w:val="auto"/>
        </w:rPr>
      </w:pPr>
      <w:r>
        <w:rPr>
          <w:rFonts w:ascii="Courier New" w:cs="Courier New" w:eastAsia="Courier New" w:hAnsi="Courier New"/>
          <w:sz w:val="14"/>
          <w:szCs w:val="14"/>
          <w:color w:val="auto"/>
        </w:rPr>
        <w:t>Our research and development efforts, as well as any future clinical trials, and the manufacturing and marketing of any products we may develop, will be subject to extensive regulation by governmental authorities in the United States</w:t>
      </w:r>
    </w:p>
    <w:p>
      <w:pPr>
        <w:sectPr>
          <w:pgSz w:w="11900" w:h="16838" w:orient="portrait"/>
          <w:cols w:equalWidth="0" w:num="1">
            <w:col w:w="10219"/>
          </w:cols>
          <w:pgMar w:left="240" w:top="631"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and other countries. The process of obtaining U.S. Food and Drug</w:t>
      </w:r>
    </w:p>
    <w:p>
      <w:pPr>
        <w:sectPr>
          <w:pgSz w:w="11900" w:h="16838" w:orient="portrait"/>
          <w:cols w:equalWidth="0" w:num="1">
            <w:col w:w="10219"/>
          </w:cols>
          <w:pgMar w:left="240" w:top="142" w:right="1440" w:bottom="1440" w:gutter="0" w:footer="0" w:header="0"/>
        </w:sectPr>
      </w:pPr>
    </w:p>
    <w:bookmarkStart w:id="113" w:name="page114"/>
    <w:bookmarkEnd w:id="113"/>
    <w:p>
      <w:pPr>
        <w:ind w:right="3119"/>
        <w:spacing w:after="0"/>
        <w:rPr>
          <w:sz w:val="20"/>
          <w:szCs w:val="20"/>
          <w:color w:val="auto"/>
        </w:rPr>
      </w:pPr>
      <w:r>
        <w:rPr>
          <w:rFonts w:ascii="Courier New" w:cs="Courier New" w:eastAsia="Courier New" w:hAnsi="Courier New"/>
          <w:sz w:val="15"/>
          <w:szCs w:val="15"/>
          <w:color w:val="auto"/>
        </w:rPr>
        <w:t>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0" w:lineRule="exact"/>
        <w:rPr>
          <w:sz w:val="20"/>
          <w:szCs w:val="20"/>
          <w:color w:val="auto"/>
        </w:rPr>
      </w:pPr>
    </w:p>
    <w:p>
      <w:pPr>
        <w:spacing w:after="0" w:line="31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200" w:lineRule="exact"/>
        <w:rPr>
          <w:sz w:val="20"/>
          <w:szCs w:val="20"/>
          <w:color w:val="auto"/>
        </w:rPr>
      </w:pPr>
    </w:p>
    <w:p>
      <w:pPr>
        <w:spacing w:after="0" w:line="31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200" w:lineRule="exact"/>
        <w:rPr>
          <w:sz w:val="20"/>
          <w:szCs w:val="20"/>
          <w:color w:val="auto"/>
        </w:rPr>
      </w:pPr>
    </w:p>
    <w:p>
      <w:pPr>
        <w:spacing w:after="0" w:line="31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On September 22, 2000 we announced that George Dunbar, our acting President and Chief Executive Officer, would be phasing out his service. Mr. Dunbar will continue in his position on a reduced time basis during this transition period. We are actively seeking to hire a permanent chief executive officer, but we can give no assurance that we will be able to find a candidate possessing the necessary qualifications. If we are unable to hire and retain a qualified chief executive officer, our business and operations could suffer materially.</w:t>
      </w:r>
    </w:p>
    <w:p>
      <w:pPr>
        <w:spacing w:after="0" w:line="200" w:lineRule="exact"/>
        <w:rPr>
          <w:sz w:val="20"/>
          <w:szCs w:val="20"/>
          <w:color w:val="auto"/>
        </w:rPr>
      </w:pPr>
    </w:p>
    <w:p>
      <w:pPr>
        <w:spacing w:after="0" w:line="30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w:t>
      </w:r>
    </w:p>
    <w:p>
      <w:pPr>
        <w:sectPr>
          <w:pgSz w:w="11900" w:h="16838" w:orient="portrait"/>
          <w:cols w:equalWidth="0" w:num="1">
            <w:col w:w="10219"/>
          </w:cols>
          <w:pgMar w:left="240" w:top="631" w:right="1440" w:bottom="1440" w:gutter="0" w:footer="0" w:header="0"/>
        </w:sectPr>
      </w:pPr>
    </w:p>
    <w:bookmarkStart w:id="114" w:name="page115"/>
    <w:bookmarkEnd w:id="114"/>
    <w:p>
      <w:pPr>
        <w:ind w:right="3119"/>
        <w:spacing w:after="0"/>
        <w:rPr>
          <w:sz w:val="20"/>
          <w:szCs w:val="20"/>
          <w:color w:val="auto"/>
        </w:rPr>
      </w:pPr>
      <w:r>
        <w:rPr>
          <w:rFonts w:ascii="Courier New" w:cs="Courier New" w:eastAsia="Courier New" w:hAnsi="Courier New"/>
          <w:sz w:val="15"/>
          <w:szCs w:val="15"/>
          <w:color w:val="auto"/>
        </w:rPr>
        <w:t>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 Our stock price may be volatile and this volatility could result in lawsuits or make it difficult to raise capital. 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200" w:lineRule="exact"/>
        <w:rPr>
          <w:sz w:val="20"/>
          <w:szCs w:val="20"/>
          <w:color w:val="auto"/>
        </w:rPr>
      </w:pPr>
    </w:p>
    <w:p>
      <w:pPr>
        <w:spacing w:after="0" w:line="32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200" w:lineRule="exact"/>
        <w:rPr>
          <w:sz w:val="20"/>
          <w:szCs w:val="20"/>
          <w:color w:val="auto"/>
        </w:rPr>
      </w:pPr>
    </w:p>
    <w:p>
      <w:pPr>
        <w:spacing w:after="0" w:line="321"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October 31, 2000, we had outstanding stock options to purchase approximately 2,566,530 shares of common stock, at an average exercise price of approximately $4.402 per share, subject to adjustment in certain circumstances. Of this total, options covering approximately 941,309 shares are currently exercisable at an average exercise price of approximately $4.742 per share.</w:t>
      </w:r>
    </w:p>
    <w:sectPr>
      <w:pgSz w:w="11900" w:h="16838" w:orient="portrait"/>
      <w:cols w:equalWidth="0" w:num="1">
        <w:col w:w="10219"/>
      </w:cols>
      <w:pgMar w:left="240" w:top="6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2"/>
    </w:lvl>
  </w:abstractNum>
  <w:abstractNum w:abstractNumId="12">
    <w:nsid w:val="3804823E"/>
    <w:multiLevelType w:val="hybridMultilevel"/>
    <w:lvl w:ilvl="0">
      <w:lvlJc w:val="left"/>
      <w:lvlText w:val="%1."/>
      <w:numFmt w:val="decimal"/>
      <w:start w:val="3"/>
    </w:lvl>
  </w:abstractNum>
  <w:abstractNum w:abstractNumId="13">
    <w:nsid w:val="77465F01"/>
    <w:multiLevelType w:val="hybridMultilevel"/>
    <w:lvl w:ilvl="0">
      <w:lvlJc w:val="left"/>
      <w:lvlText w:val="%1."/>
      <w:numFmt w:val="decimal"/>
      <w:start w:val="4"/>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5"/>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decimal"/>
      <w:start w:val="2"/>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5"/>
    </w:lvl>
  </w:abstractNum>
  <w:abstractNum w:abstractNumId="22">
    <w:nsid w:val="3855585C"/>
    <w:multiLevelType w:val="hybridMultilevel"/>
    <w:lvl w:ilvl="0">
      <w:lvlJc w:val="left"/>
      <w:lvlText w:val="%1."/>
      <w:numFmt w:val="decimal"/>
      <w:start w:val="10"/>
    </w:lvl>
  </w:abstractNum>
  <w:abstractNum w:abstractNumId="23">
    <w:nsid w:val="70A64E2A"/>
    <w:multiLevelType w:val="hybridMultilevel"/>
    <w:lvl w:ilvl="0">
      <w:lvlJc w:val="left"/>
      <w:lvlText w:val="%1."/>
      <w:numFmt w:val="decimal"/>
      <w:start w:val="11"/>
    </w:lvl>
  </w:abstractNum>
  <w:abstractNum w:abstractNumId="24">
    <w:nsid w:val="6A2342EC"/>
    <w:multiLevelType w:val="hybridMultilevel"/>
    <w:lvl w:ilvl="0">
      <w:lvlJc w:val="left"/>
      <w:lvlText w:val="%1."/>
      <w:numFmt w:val="decimal"/>
      <w:start w:val="12"/>
    </w:lvl>
  </w:abstractNum>
  <w:abstractNum w:abstractNumId="25">
    <w:nsid w:val="2A487CB0"/>
    <w:multiLevelType w:val="hybridMultilevel"/>
    <w:lvl w:ilvl="0">
      <w:lvlJc w:val="left"/>
      <w:lvlText w:val="%1."/>
      <w:numFmt w:val="decimal"/>
      <w:start w:val="17"/>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decimal"/>
      <w:start w:val="27"/>
    </w:lvl>
  </w:abstractNum>
  <w:abstractNum w:abstractNumId="28">
    <w:nsid w:val="2CD89A32"/>
    <w:multiLevelType w:val="hybridMultilevel"/>
    <w:lvl w:ilvl="0">
      <w:lvlJc w:val="left"/>
      <w:lvlText w:val="%1"/>
      <w:numFmt w:val="decimal"/>
      <w:start w:val="99"/>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decimal"/>
      <w:start w:val="2"/>
    </w:lvl>
    <w:lvl w:ilvl="1">
      <w:lvlJc w:val="left"/>
      <w:lvlText w:val="(%2)"/>
      <w:numFmt w:val="lowerLetter"/>
      <w:start w:val="1"/>
    </w:lvl>
  </w:abstractNum>
  <w:abstractNum w:abstractNumId="33">
    <w:nsid w:val="6DE91B18"/>
    <w:multiLevelType w:val="hybridMultilevel"/>
    <w:lvl w:ilvl="0">
      <w:lvlJc w:val="left"/>
      <w:lvlText w:val="%1."/>
      <w:numFmt w:val="decimal"/>
      <w:start w:val="2"/>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decimal"/>
      <w:start w:val="5"/>
    </w:lvl>
  </w:abstractNum>
  <w:abstractNum w:abstractNumId="38">
    <w:nsid w:val="579478FE"/>
    <w:multiLevelType w:val="hybridMultilevel"/>
    <w:lvl w:ilvl="0">
      <w:lvlJc w:val="left"/>
      <w:lvlText w:val="%1."/>
      <w:numFmt w:val="decimal"/>
      <w:start w:val="10"/>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lowerLetter"/>
      <w:start w:val="2"/>
    </w:lvl>
    <w:lvl w:ilvl="1">
      <w:lvlJc w:val="left"/>
      <w:lvlText w:val="(%2)"/>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90"/>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amp;"/>
      <w:numFmt w:val="bullet"/>
      <w:start w:val="1"/>
    </w:lvl>
    <w:lvl w:ilvl="1">
      <w:lvlJc w:val="left"/>
      <w:lvlText w:val="%2."/>
      <w:numFmt w:val="decimal"/>
      <w:start w:val="1"/>
    </w:lvl>
  </w:abstractNum>
  <w:abstractNum w:abstractNumId="49">
    <w:nsid w:val="23F9C13C"/>
    <w:multiLevelType w:val="hybridMultilevel"/>
    <w:lvl w:ilvl="0">
      <w:lvlJc w:val="left"/>
      <w:lvlText w:val="%1"/>
      <w:numFmt w:val="decimal"/>
      <w:start w:val="1"/>
    </w:lvl>
    <w:lvl w:ilvl="1">
      <w:lvlJc w:val="left"/>
      <w:lvlText w:val="(%2)"/>
      <w:numFmt w:val="lowerLetter"/>
      <w:start w:val="2"/>
    </w:lvl>
  </w:abstractNum>
  <w:abstractNum w:abstractNumId="50">
    <w:nsid w:val="649BB77C"/>
    <w:multiLevelType w:val="hybridMultilevel"/>
    <w:lvl w:ilvl="0">
      <w:lvlJc w:val="left"/>
      <w:lvlText w:val="%1."/>
      <w:numFmt w:val="decimal"/>
      <w:start w:val="3"/>
    </w:lvl>
    <w:lvl w:ilvl="1">
      <w:lvlJc w:val="left"/>
      <w:lvlText w:val="%2"/>
      <w:numFmt w:val="lowerLetter"/>
      <w:start w:val="1"/>
    </w:lvl>
  </w:abstractNum>
  <w:abstractNum w:abstractNumId="51">
    <w:nsid w:val="275AC794"/>
    <w:multiLevelType w:val="hybridMultilevel"/>
    <w:lvl w:ilvl="0">
      <w:lvlJc w:val="left"/>
      <w:lvlText w:val="%1."/>
      <w:numFmt w:val="decimal"/>
      <w:start w:val="5"/>
    </w:lvl>
  </w:abstractNum>
  <w:abstractNum w:abstractNumId="52">
    <w:nsid w:val="39386575"/>
    <w:multiLevelType w:val="hybridMultilevel"/>
    <w:lvl w:ilvl="0">
      <w:lvlJc w:val="left"/>
      <w:lvlText w:val="%1."/>
      <w:numFmt w:val="decimal"/>
      <w:start w:val="11"/>
    </w:lvl>
  </w:abstractNum>
  <w:abstractNum w:abstractNumId="53">
    <w:nsid w:val="1CF10FD8"/>
    <w:multiLevelType w:val="hybridMultilevel"/>
    <w:lvl w:ilvl="0">
      <w:lvlJc w:val="left"/>
      <w:lvlText w:val="%1."/>
      <w:numFmt w:val="decimal"/>
      <w:start w:val="16"/>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o"/>
      <w:numFmt w:val="bullet"/>
      <w:start w:val="1"/>
    </w:lvl>
  </w:abstractNum>
  <w:abstractNum w:abstractNumId="56">
    <w:nsid w:val="47398C89"/>
    <w:multiLevelType w:val="hybridMultilevel"/>
    <w:lvl w:ilvl="0">
      <w:lvlJc w:val="left"/>
      <w:lvlText w:val="%1."/>
      <w:numFmt w:val="decimal"/>
      <w:start w:val="4"/>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4"/>
    </w:lvl>
  </w:abstractNum>
  <w:abstractNum w:abstractNumId="59">
    <w:nsid w:val="741226B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2019-12-13T21:03:32Z</dcterms:created>
  <dcterms:modified xsi:type="dcterms:W3CDTF">2019-12-13T21:03:32Z</dcterms:modified>
</cp:coreProperties>
</file>