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5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9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50"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CURRENT REPORT</w:t>
      </w:r>
    </w:p>
    <w:p>
      <w:pPr>
        <w:spacing w:after="0" w:line="198"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Pursuant to</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Section 13 or 15(d) of</w:t>
      </w:r>
    </w:p>
    <w:p>
      <w:pPr>
        <w:spacing w:after="0" w:line="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16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Date of Report (Date of Earliest Event Reported): July 30, 2004</w:t>
      </w:r>
    </w:p>
    <w:p>
      <w:pPr>
        <w:spacing w:after="0" w:line="200" w:lineRule="exact"/>
        <w:rPr>
          <w:sz w:val="20"/>
          <w:szCs w:val="20"/>
          <w:color w:val="auto"/>
        </w:rPr>
      </w:pPr>
    </w:p>
    <w:p>
      <w:pPr>
        <w:spacing w:after="0" w:line="20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43"/>
          <w:szCs w:val="43"/>
          <w:b w:val="1"/>
          <w:bCs w:val="1"/>
          <w:color w:val="auto"/>
        </w:rPr>
        <w:t>STEMCELLS, INC.</w:t>
      </w:r>
    </w:p>
    <w:p>
      <w:pPr>
        <w:spacing w:after="0" w:line="200" w:lineRule="exact"/>
        <w:rPr>
          <w:sz w:val="20"/>
          <w:szCs w:val="20"/>
          <w:color w:val="auto"/>
        </w:rPr>
      </w:pPr>
    </w:p>
    <w:p>
      <w:pPr>
        <w:spacing w:after="0" w:line="270"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3960" w:type="dxa"/>
            <w:vAlign w:val="bottom"/>
            <w:gridSpan w:val="5"/>
          </w:tcPr>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2260" w:type="dxa"/>
            <w:vAlign w:val="bottom"/>
          </w:tcPr>
          <w:p>
            <w:pPr>
              <w:spacing w:after="0"/>
              <w:rPr>
                <w:sz w:val="20"/>
                <w:szCs w:val="20"/>
                <w:color w:val="auto"/>
              </w:rPr>
            </w:pPr>
          </w:p>
        </w:tc>
      </w:tr>
      <w:tr>
        <w:trPr>
          <w:trHeight w:val="439"/>
        </w:trPr>
        <w:tc>
          <w:tcPr>
            <w:tcW w:w="232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9"/>
              </w:rPr>
              <w:t>0-19871</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94-3078125</w:t>
            </w:r>
          </w:p>
        </w:tc>
      </w:tr>
      <w:tr>
        <w:trPr>
          <w:trHeight w:val="211"/>
        </w:trPr>
        <w:tc>
          <w:tcPr>
            <w:tcW w:w="2320" w:type="dxa"/>
            <w:vAlign w:val="bottom"/>
            <w:tcBorders>
              <w:top w:val="single" w:sz="8" w:color="808080"/>
            </w:tcBorders>
          </w:tcPr>
          <w:p>
            <w:pPr>
              <w:jc w:val="center"/>
              <w:ind w:left="1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0" w:type="dxa"/>
            <w:vAlign w:val="bottom"/>
            <w:tcBorders>
              <w:top w:val="single" w:sz="8" w:color="808080"/>
            </w:tcBorders>
          </w:tcPr>
          <w:p>
            <w:pPr>
              <w:spacing w:after="0"/>
              <w:rPr>
                <w:sz w:val="18"/>
                <w:szCs w:val="18"/>
                <w:color w:val="auto"/>
              </w:rPr>
            </w:pPr>
          </w:p>
        </w:tc>
        <w:tc>
          <w:tcPr>
            <w:tcW w:w="440" w:type="dxa"/>
            <w:vAlign w:val="bottom"/>
          </w:tcPr>
          <w:p>
            <w:pPr>
              <w:spacing w:after="0"/>
              <w:rPr>
                <w:sz w:val="18"/>
                <w:szCs w:val="18"/>
                <w:color w:val="auto"/>
              </w:rPr>
            </w:pPr>
          </w:p>
        </w:tc>
        <w:tc>
          <w:tcPr>
            <w:tcW w:w="2560" w:type="dxa"/>
            <w:vAlign w:val="bottom"/>
            <w:tcBorders>
              <w:top w:val="single" w:sz="8" w:color="808080"/>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440" w:type="dxa"/>
            <w:vAlign w:val="bottom"/>
          </w:tcPr>
          <w:p>
            <w:pPr>
              <w:spacing w:after="0"/>
              <w:rPr>
                <w:sz w:val="18"/>
                <w:szCs w:val="18"/>
                <w:color w:val="auto"/>
              </w:rPr>
            </w:pPr>
          </w:p>
        </w:tc>
        <w:tc>
          <w:tcPr>
            <w:tcW w:w="280" w:type="dxa"/>
            <w:vAlign w:val="bottom"/>
            <w:tcBorders>
              <w:top w:val="single" w:sz="8" w:color="808080"/>
            </w:tcBorders>
          </w:tcPr>
          <w:p>
            <w:pPr>
              <w:spacing w:after="0"/>
              <w:rPr>
                <w:sz w:val="18"/>
                <w:szCs w:val="18"/>
                <w:color w:val="auto"/>
              </w:rPr>
            </w:pPr>
          </w:p>
        </w:tc>
        <w:tc>
          <w:tcPr>
            <w:tcW w:w="2260" w:type="dxa"/>
            <w:vAlign w:val="bottom"/>
            <w:tcBorders>
              <w:top w:val="single" w:sz="8" w:color="808080"/>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320" w:type="dxa"/>
            <w:vAlign w:val="bottom"/>
          </w:tcPr>
          <w:p>
            <w:pPr>
              <w:jc w:val="center"/>
              <w:ind w:left="1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369"/>
        </w:trPr>
        <w:tc>
          <w:tcPr>
            <w:tcW w:w="2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8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w w:val="99"/>
              </w:rPr>
              <w:t>3155 Porter Drive</w:t>
            </w:r>
          </w:p>
        </w:tc>
        <w:tc>
          <w:tcPr>
            <w:tcW w:w="2260" w:type="dxa"/>
            <w:vAlign w:val="bottom"/>
          </w:tcPr>
          <w:p>
            <w:pPr>
              <w:spacing w:after="0"/>
              <w:rPr>
                <w:sz w:val="24"/>
                <w:szCs w:val="24"/>
                <w:color w:val="auto"/>
              </w:rPr>
            </w:pPr>
          </w:p>
        </w:tc>
      </w:tr>
      <w:tr>
        <w:trPr>
          <w:trHeight w:val="238"/>
        </w:trPr>
        <w:tc>
          <w:tcPr>
            <w:tcW w:w="2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8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Palo Alto, California 94304</w:t>
            </w:r>
          </w:p>
        </w:tc>
        <w:tc>
          <w:tcPr>
            <w:tcW w:w="2260" w:type="dxa"/>
            <w:vAlign w:val="bottom"/>
          </w:tcPr>
          <w:p>
            <w:pPr>
              <w:spacing w:after="0"/>
              <w:rPr>
                <w:sz w:val="20"/>
                <w:szCs w:val="20"/>
                <w:color w:val="auto"/>
              </w:rPr>
            </w:pPr>
          </w:p>
        </w:tc>
      </w:tr>
    </w:tbl>
    <w:p>
      <w:pPr>
        <w:spacing w:after="0" w:line="17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181"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b w:val="1"/>
          <w:bCs w:val="1"/>
          <w:color w:val="auto"/>
        </w:rPr>
        <w:t>(650) 475-3100</w:t>
      </w:r>
    </w:p>
    <w:p>
      <w:pPr>
        <w:spacing w:after="0" w:line="18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555625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2" w:name="page3"/>
    <w:bookmarkEnd w:id="2"/>
    <w:p>
      <w:pPr>
        <w:ind w:left="398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1" w:lineRule="exact"/>
        <w:rPr>
          <w:sz w:val="20"/>
          <w:szCs w:val="20"/>
          <w:color w:val="auto"/>
        </w:rPr>
      </w:pPr>
    </w:p>
    <w:p>
      <w:pPr>
        <w:ind w:left="320"/>
        <w:spacing w:after="0"/>
        <w:rPr>
          <w:rFonts w:ascii="Times New Roman" w:cs="Times New Roman" w:eastAsia="Times New Roman" w:hAnsi="Times New Roman"/>
          <w:sz w:val="21"/>
          <w:szCs w:val="21"/>
          <w:u w:val="single" w:color="auto"/>
          <w:color w:val="0000EE"/>
        </w:rPr>
      </w:pPr>
      <w:hyperlink w:anchor="page4">
        <w:r>
          <w:rPr>
            <w:rFonts w:ascii="Times New Roman" w:cs="Times New Roman" w:eastAsia="Times New Roman" w:hAnsi="Times New Roman"/>
            <w:sz w:val="21"/>
            <w:szCs w:val="21"/>
            <w:u w:val="single" w:color="auto"/>
            <w:color w:val="0000EE"/>
          </w:rPr>
          <w:t>Item 7. Financial Statements, Pro Forma Financial Information And Exhibits.</w:t>
        </w:r>
      </w:hyperlink>
    </w:p>
    <w:p>
      <w:pPr>
        <w:spacing w:after="0" w:line="16" w:lineRule="exact"/>
        <w:rPr>
          <w:sz w:val="20"/>
          <w:szCs w:val="20"/>
          <w:color w:val="auto"/>
        </w:rPr>
      </w:pPr>
    </w:p>
    <w:p>
      <w:pPr>
        <w:ind w:left="320"/>
        <w:spacing w:after="0"/>
        <w:rPr>
          <w:rFonts w:ascii="Times New Roman" w:cs="Times New Roman" w:eastAsia="Times New Roman" w:hAnsi="Times New Roman"/>
          <w:sz w:val="22"/>
          <w:szCs w:val="22"/>
          <w:u w:val="single" w:color="auto"/>
          <w:color w:val="0000EE"/>
        </w:rPr>
      </w:pPr>
      <w:hyperlink w:anchor="page4">
        <w:r>
          <w:rPr>
            <w:rFonts w:ascii="Times New Roman" w:cs="Times New Roman" w:eastAsia="Times New Roman" w:hAnsi="Times New Roman"/>
            <w:sz w:val="22"/>
            <w:szCs w:val="22"/>
            <w:u w:val="single" w:color="auto"/>
            <w:color w:val="0000EE"/>
          </w:rPr>
          <w:t>Item 12. Results of Operations and Financial Condition.</w:t>
        </w:r>
      </w:hyperlink>
    </w:p>
    <w:p>
      <w:pPr>
        <w:spacing w:after="0" w:line="230" w:lineRule="auto"/>
        <w:rPr>
          <w:rFonts w:ascii="Times New Roman" w:cs="Times New Roman" w:eastAsia="Times New Roman" w:hAnsi="Times New Roman"/>
          <w:sz w:val="22"/>
          <w:szCs w:val="22"/>
          <w:u w:val="single" w:color="auto"/>
          <w:color w:val="0000EE"/>
        </w:rPr>
      </w:pPr>
      <w:hyperlink w:anchor="page6">
        <w:r>
          <w:rPr>
            <w:rFonts w:ascii="Times New Roman" w:cs="Times New Roman" w:eastAsia="Times New Roman" w:hAnsi="Times New Roman"/>
            <w:sz w:val="22"/>
            <w:szCs w:val="22"/>
            <w:u w:val="single" w:color="auto"/>
            <w:color w:val="0000EE"/>
          </w:rPr>
          <w:t>EXHIBIT INDEX</w:t>
        </w:r>
      </w:hyperlink>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0000EE"/>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08" w:right="1440"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Financial Statements, Pro Forma Financial Information And Exhibits.</w:t>
      </w:r>
    </w:p>
    <w:p>
      <w:pPr>
        <w:spacing w:after="0" w:line="202" w:lineRule="exact"/>
        <w:rPr>
          <w:sz w:val="20"/>
          <w:szCs w:val="20"/>
          <w:color w:val="auto"/>
        </w:rPr>
      </w:pPr>
    </w:p>
    <w:p>
      <w:pPr>
        <w:ind w:left="480" w:hanging="247"/>
        <w:spacing w:after="0"/>
        <w:tabs>
          <w:tab w:leader="none" w:pos="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84"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184" w:lineRule="exact"/>
        <w:rPr>
          <w:rFonts w:ascii="Times New Roman" w:cs="Times New Roman" w:eastAsia="Times New Roman" w:hAnsi="Times New Roman"/>
          <w:sz w:val="18"/>
          <w:szCs w:val="18"/>
          <w:color w:val="auto"/>
        </w:rPr>
      </w:pPr>
    </w:p>
    <w:p>
      <w:pPr>
        <w:ind w:left="480" w:hanging="247"/>
        <w:spacing w:after="0"/>
        <w:tabs>
          <w:tab w:leader="none" w:pos="4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 The following exhibit is furnished as part of this Report.</w:t>
      </w:r>
    </w:p>
    <w:p>
      <w:pPr>
        <w:spacing w:after="0" w:line="395"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13"/>
                <w:szCs w:val="13"/>
                <w:color w:val="auto"/>
              </w:rPr>
            </w:pPr>
          </w:p>
        </w:tc>
        <w:tc>
          <w:tcPr>
            <w:tcW w:w="520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6"/>
                <w:szCs w:val="16"/>
                <w:color w:val="auto"/>
              </w:rPr>
            </w:pPr>
          </w:p>
        </w:tc>
        <w:tc>
          <w:tcPr>
            <w:tcW w:w="5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76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5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Press Release dated July 30, 2004.</w:t>
            </w: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Results of Operations and Financial Condition.</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July 30, 2004, StemCells, Inc. (the “Company”) issued a press release reporting the Company’s financial results for the second quarter of fiscal year 2004 (the “Press Release”). The Press Release is being furnished as Exhibit 99.1 to this Report.</w:t>
      </w:r>
    </w:p>
    <w:p>
      <w:pPr>
        <w:spacing w:after="0" w:line="13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being furnished under this Item 12 shall not be deemed “filed” for purposes of Section 18 of the Securities and Exchange Act of 1934, nor shall it be deemed incorporated by reference in any filing under the Securities Act of 1933 or the Securities and Exchange Act of 1934, except as shall be expressly set forth by specific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370205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2"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STEMCELLS, INC.</w:t>
      </w:r>
    </w:p>
    <w:p>
      <w:pPr>
        <w:spacing w:after="0" w:line="225"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By: /s/ Martin McGlynn</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5" w:right="11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58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529"/>
        </w:trPr>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20" w:type="dxa"/>
            <w:vAlign w:val="bottom"/>
          </w:tcPr>
          <w:p>
            <w:pPr>
              <w:spacing w:after="0"/>
              <w:rPr>
                <w:sz w:val="24"/>
                <w:szCs w:val="24"/>
                <w:color w:val="auto"/>
              </w:rPr>
            </w:pPr>
          </w:p>
        </w:tc>
        <w:tc>
          <w:tcPr>
            <w:tcW w:w="520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0"/>
        </w:trPr>
        <w:tc>
          <w:tcPr>
            <w:tcW w:w="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6"/>
                <w:szCs w:val="16"/>
                <w:color w:val="auto"/>
              </w:rPr>
            </w:pPr>
          </w:p>
        </w:tc>
        <w:tc>
          <w:tcPr>
            <w:tcW w:w="5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76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52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52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Press Release dated July 30, 2004.</w:t>
            </w:r>
          </w:p>
        </w:tc>
        <w:tc>
          <w:tcPr>
            <w:tcW w:w="0" w:type="dxa"/>
            <w:vAlign w:val="bottom"/>
          </w:tcPr>
          <w:p>
            <w:pPr>
              <w:spacing w:after="0"/>
              <w:rPr>
                <w:sz w:val="1"/>
                <w:szCs w:val="1"/>
                <w:color w:val="auto"/>
              </w:rPr>
            </w:pPr>
          </w:p>
        </w:tc>
      </w:tr>
    </w:tbl>
    <w:p>
      <w:pPr>
        <w:sectPr>
          <w:pgSz w:w="11900" w:h="16838" w:orient="portrait"/>
          <w:cols w:equalWidth="0" w:num="1">
            <w:col w:w="10219"/>
          </w:cols>
          <w:pgMar w:left="240" w:top="415"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LOGO]</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 (Ticker: STEM, Exchange: NASDAQ)</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News Release -- July 30, 2004</w:t>
      </w:r>
    </w:p>
    <w:p>
      <w:pPr>
        <w:spacing w:after="0" w:line="169"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STEMCELLS ANNOUNCES SECOND QUARTER 2004 FINANCIAL RESULTS</w:t>
      </w:r>
    </w:p>
    <w:p>
      <w:pPr>
        <w:spacing w:after="0" w:line="201"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PALO ALTO, Calif., July 30, 2004 - StemCells, Inc. (NASDAQ: STEM) today reported its financial results for the second quarter ended June 30, 2004.</w:t>
      </w:r>
    </w:p>
    <w:p>
      <w:pPr>
        <w:spacing w:after="0" w:line="18" w:lineRule="exact"/>
        <w:rPr>
          <w:sz w:val="20"/>
          <w:szCs w:val="20"/>
          <w:color w:val="auto"/>
        </w:rPr>
      </w:pPr>
    </w:p>
    <w:p>
      <w:pPr>
        <w:ind w:right="1779"/>
        <w:spacing w:after="0" w:line="247" w:lineRule="auto"/>
        <w:rPr>
          <w:sz w:val="20"/>
          <w:szCs w:val="20"/>
          <w:color w:val="auto"/>
        </w:rPr>
      </w:pPr>
      <w:r>
        <w:rPr>
          <w:rFonts w:ascii="Courier New" w:cs="Courier New" w:eastAsia="Courier New" w:hAnsi="Courier New"/>
          <w:sz w:val="18"/>
          <w:szCs w:val="18"/>
          <w:color w:val="auto"/>
        </w:rPr>
        <w:t>The Company reported a loss of $3,303,000, or $0.08 per share, for the second quarter ended June 30, 2004, compared to a loss before dividends and deemed dividends of $2,713,000, or $0.09 per share, for the second quarter ended June 30, 2003. For the second quarter in 2003, net loss applicable to common shareholders after dividends and deemed dividends to preferred shareholders was $3,928,000 or $0.13 per share. There were no dividends or deemed dividends for the same period in 2004, as all of the Company's previously outstanding cumulative convertible preferred stock was converted to the Company's common stock prior to the end of 2003. Total revenue for the second quarter of 2004 and 2003 was $6,000 and $60,000 respectively. Revenue for 2004 and 2003 was primarily from grants and licensing agreements. Cash and cash equivalents were $26,022,000 at the end of June 30, 2004, compared with $6,534,000 at the end of June 30, 2003.</w:t>
      </w:r>
    </w:p>
    <w:p>
      <w:pPr>
        <w:spacing w:after="0" w:line="108" w:lineRule="exact"/>
        <w:rPr>
          <w:sz w:val="20"/>
          <w:szCs w:val="20"/>
          <w:color w:val="auto"/>
        </w:rPr>
      </w:pPr>
    </w:p>
    <w:p>
      <w:pPr>
        <w:ind w:right="1999"/>
        <w:spacing w:after="0" w:line="289" w:lineRule="auto"/>
        <w:rPr>
          <w:sz w:val="20"/>
          <w:szCs w:val="20"/>
          <w:color w:val="auto"/>
        </w:rPr>
      </w:pPr>
      <w:r>
        <w:rPr>
          <w:rFonts w:ascii="Courier New" w:cs="Courier New" w:eastAsia="Courier New" w:hAnsi="Courier New"/>
          <w:sz w:val="16"/>
          <w:szCs w:val="16"/>
          <w:color w:val="auto"/>
        </w:rPr>
        <w:t>The increase in net loss from 2003 to 2004 for the quarter reported was primarily attributable to the increase in expenditures required for various activities undertaken toward our planned IND (Investigational New Drug) filing and a revision to our accrued wind-down expenses associated with our former corporate headquarters in Rhode Island. As previously reported, the Company is targeting the filing of its first IND early next year, to evaluate the safety and efficacy of its proprietary human neural stem cells as a treatment for Batten disease, an always fatal neurodegenerative lysosomal storage disorder.</w:t>
      </w:r>
    </w:p>
    <w:p>
      <w:pPr>
        <w:spacing w:after="0" w:line="77" w:lineRule="exact"/>
        <w:rPr>
          <w:sz w:val="20"/>
          <w:szCs w:val="20"/>
          <w:color w:val="auto"/>
        </w:rPr>
      </w:pPr>
    </w:p>
    <w:p>
      <w:pPr>
        <w:ind w:right="2099"/>
        <w:spacing w:after="0" w:line="274" w:lineRule="auto"/>
        <w:rPr>
          <w:sz w:val="20"/>
          <w:szCs w:val="20"/>
          <w:color w:val="auto"/>
        </w:rPr>
      </w:pPr>
      <w:r>
        <w:rPr>
          <w:rFonts w:ascii="Courier New" w:cs="Courier New" w:eastAsia="Courier New" w:hAnsi="Courier New"/>
          <w:sz w:val="18"/>
          <w:szCs w:val="18"/>
          <w:color w:val="auto"/>
        </w:rPr>
        <w:t>Martin McGlynn, President and CEO commented, "The Company remains on track to file the IND in the first quarter of next year and equally important, as a result of our recent financing on June 17, 2004, we now have the necessary capital to initiate the trial once it is approved by the FDA."</w:t>
      </w:r>
    </w:p>
    <w:p>
      <w:pPr>
        <w:spacing w:after="0" w:line="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STEMCELLS INC.</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StemCells, Inc. is a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Further information about the Company is available on its web site at www.stemcellsinc.com.</w:t>
      </w:r>
    </w:p>
    <w:p>
      <w:pPr>
        <w:spacing w:after="0" w:line="93"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APART FROM STATEMENTS OF HISTORICAL FACTS, THE TEXT OF THIS PRESS RELEASE CONSTITUTES FORWARD-LOOKING STATEMENTS REGARDING, AMONG OTHER THINGS, THE FUTURE BUSINESS OPERATIONS OF STEMCELLS, INC.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 COMPANY'S ABILITY TO OBTAIN THE CAPITAL RESOURCES NEEDED TO CONTINUE ITS CURRENT RESEARCH AND</w:t>
      </w:r>
    </w:p>
    <w:p>
      <w:pPr>
        <w:sectPr>
          <w:pgSz w:w="11900" w:h="16838" w:orient="portrait"/>
          <w:cols w:equalWidth="0" w:num="1">
            <w:col w:w="10219"/>
          </w:cols>
          <w:pgMar w:left="240" w:top="312" w:right="1440" w:bottom="1440" w:gutter="0" w:footer="0" w:header="0"/>
        </w:sectPr>
      </w:pPr>
    </w:p>
    <w:bookmarkStart w:id="7" w:name="page8"/>
    <w:bookmarkEnd w:id="7"/>
    <w:p>
      <w:pPr>
        <w:ind w:right="1779"/>
        <w:spacing w:after="0" w:line="249" w:lineRule="auto"/>
        <w:rPr>
          <w:sz w:val="20"/>
          <w:szCs w:val="20"/>
          <w:color w:val="auto"/>
        </w:rPr>
      </w:pPr>
      <w:r>
        <w:rPr>
          <w:rFonts w:ascii="Courier New" w:cs="Courier New" w:eastAsia="Courier New" w:hAnsi="Courier New"/>
          <w:sz w:val="18"/>
          <w:szCs w:val="18"/>
          <w:color w:val="auto"/>
        </w:rPr>
        <w:t>DEVELOPMENT OPERATIONS AND TO CONDUCT THE RESEARCH, PRECLINICAL DEVELOPMENT AND CLINICAL TRIALS NECESSARY FOR REGULATORY APPROVALS; THE FACT THAT THE COMPANY'S STEM CELL TECHNOLOGY IS AT THE PRE-CLINICAL STAGE AND HAS NOT YET LED TO THE DEVELOPMENT OF ANY PROPOSED PRODUCT; THE UNCERTAINTY WHETHER THE COMPANY WILL BE ABLE TO FILE AN IND IN THE TIME IT PROJECTS AND WHETHER THE FDA WILL PERMIT IT TO PROCEED TO CLINICAL TESTING;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ENTITLED "CAUTIONARY FACTORS RELEVANT TO FORWARD-LOOKING STATEMENTS."</w:t>
      </w:r>
    </w:p>
    <w:p>
      <w:pPr>
        <w:spacing w:after="0" w:line="1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Contact: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Martin McGlynn, President &amp; CEO</w:t>
      </w:r>
    </w:p>
    <w:p>
      <w:pPr>
        <w:spacing w:after="0"/>
        <w:rPr>
          <w:sz w:val="20"/>
          <w:szCs w:val="20"/>
          <w:color w:val="auto"/>
        </w:rPr>
      </w:pPr>
      <w:r>
        <w:rPr>
          <w:rFonts w:ascii="Courier New" w:cs="Courier New" w:eastAsia="Courier New" w:hAnsi="Courier New"/>
          <w:sz w:val="18"/>
          <w:szCs w:val="18"/>
          <w:color w:val="auto"/>
        </w:rPr>
        <w:t>650-475-3100, ext 108</w:t>
      </w:r>
    </w:p>
    <w:p>
      <w:pPr>
        <w:ind w:left="3900"/>
        <w:spacing w:after="0"/>
        <w:rPr>
          <w:sz w:val="20"/>
          <w:szCs w:val="20"/>
          <w:color w:val="auto"/>
        </w:rPr>
      </w:pPr>
      <w:r>
        <w:rPr>
          <w:rFonts w:ascii="Courier New" w:cs="Courier New" w:eastAsia="Courier New" w:hAnsi="Courier New"/>
          <w:sz w:val="18"/>
          <w:szCs w:val="18"/>
          <w:color w:val="auto"/>
        </w:rPr>
        <w:t>-more-</w:t>
      </w:r>
    </w:p>
    <w:p>
      <w:pPr>
        <w:sectPr>
          <w:pgSz w:w="11900" w:h="16838" w:orient="portrait"/>
          <w:cols w:equalWidth="0" w:num="1">
            <w:col w:w="10219"/>
          </w:cols>
          <w:pgMar w:left="240" w:top="488" w:right="1440" w:bottom="1440" w:gutter="0" w:footer="0" w:header="0"/>
        </w:sectPr>
      </w:pPr>
    </w:p>
    <w:bookmarkStart w:id="8" w:name="page9"/>
    <w:bookmarkEnd w:id="8"/>
    <w:p>
      <w:pPr>
        <w:jc w:val="center"/>
        <w:ind w:right="2940"/>
        <w:spacing w:after="0"/>
        <w:rPr>
          <w:sz w:val="20"/>
          <w:szCs w:val="20"/>
          <w:color w:val="auto"/>
        </w:rPr>
      </w:pPr>
      <w:r>
        <w:rPr>
          <w:rFonts w:ascii="Courier New" w:cs="Courier New" w:eastAsia="Courier New" w:hAnsi="Courier New"/>
          <w:sz w:val="18"/>
          <w:szCs w:val="18"/>
          <w:color w:val="auto"/>
        </w:rPr>
        <w:t>STEMCELLS INC.</w:t>
      </w:r>
    </w:p>
    <w:p>
      <w:pPr>
        <w:spacing w:after="0" w:line="29" w:lineRule="exact"/>
        <w:rPr>
          <w:sz w:val="20"/>
          <w:szCs w:val="20"/>
          <w:color w:val="auto"/>
        </w:rPr>
      </w:pPr>
    </w:p>
    <w:p>
      <w:pPr>
        <w:jc w:val="center"/>
        <w:ind w:right="2940"/>
        <w:spacing w:after="0"/>
        <w:rPr>
          <w:sz w:val="20"/>
          <w:szCs w:val="20"/>
          <w:color w:val="auto"/>
        </w:rPr>
      </w:pPr>
      <w:r>
        <w:rPr>
          <w:rFonts w:ascii="Courier New" w:cs="Courier New" w:eastAsia="Courier New" w:hAnsi="Courier New"/>
          <w:sz w:val="18"/>
          <w:szCs w:val="18"/>
          <w:color w:val="auto"/>
        </w:rPr>
        <w:t>CONDENSED CONSOLIDATED STATEMENT OF OPERATIONS</w:t>
      </w:r>
    </w:p>
    <w:p>
      <w:pPr>
        <w:jc w:val="center"/>
        <w:ind w:right="2940"/>
        <w:spacing w:after="0"/>
        <w:rPr>
          <w:sz w:val="20"/>
          <w:szCs w:val="20"/>
          <w:color w:val="auto"/>
        </w:rPr>
      </w:pPr>
      <w:r>
        <w:rPr>
          <w:rFonts w:ascii="Courier New" w:cs="Courier New" w:eastAsia="Courier New" w:hAnsi="Courier New"/>
          <w:sz w:val="18"/>
          <w:szCs w:val="18"/>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60" w:type="dxa"/>
            <w:vAlign w:val="bottom"/>
          </w:tcPr>
          <w:p>
            <w:pPr>
              <w:spacing w:after="0"/>
              <w:rPr>
                <w:sz w:val="17"/>
                <w:szCs w:val="17"/>
                <w:color w:val="auto"/>
              </w:rPr>
            </w:pPr>
          </w:p>
        </w:tc>
        <w:tc>
          <w:tcPr>
            <w:tcW w:w="3380" w:type="dxa"/>
            <w:vAlign w:val="bottom"/>
            <w:gridSpan w:val="2"/>
          </w:tcPr>
          <w:p>
            <w:pPr>
              <w:jc w:val="right"/>
              <w:ind w:right="872"/>
              <w:spacing w:after="0"/>
              <w:rPr>
                <w:sz w:val="20"/>
                <w:szCs w:val="20"/>
                <w:color w:val="auto"/>
              </w:rPr>
            </w:pPr>
            <w:r>
              <w:rPr>
                <w:rFonts w:ascii="Courier New" w:cs="Courier New" w:eastAsia="Courier New" w:hAnsi="Courier New"/>
                <w:sz w:val="18"/>
                <w:szCs w:val="18"/>
                <w:color w:val="auto"/>
              </w:rPr>
              <w:t>Three months ended</w:t>
            </w:r>
          </w:p>
        </w:tc>
        <w:tc>
          <w:tcPr>
            <w:tcW w:w="294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Six months ended</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33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33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June 30,</w:t>
            </w:r>
          </w:p>
        </w:tc>
        <w:tc>
          <w:tcPr>
            <w:tcW w:w="2940" w:type="dxa"/>
            <w:vAlign w:val="bottom"/>
            <w:gridSpan w:val="2"/>
          </w:tcPr>
          <w:p>
            <w:pPr>
              <w:jc w:val="right"/>
              <w:ind w:right="952"/>
              <w:spacing w:after="0" w:line="203" w:lineRule="exact"/>
              <w:rPr>
                <w:sz w:val="20"/>
                <w:szCs w:val="20"/>
                <w:color w:val="auto"/>
              </w:rPr>
            </w:pPr>
            <w:r>
              <w:rPr>
                <w:rFonts w:ascii="Courier New" w:cs="Courier New" w:eastAsia="Courier New" w:hAnsi="Courier New"/>
                <w:sz w:val="18"/>
                <w:szCs w:val="18"/>
                <w:color w:val="auto"/>
              </w:rPr>
              <w:t>June 30,</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338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2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1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2004</w:t>
            </w:r>
          </w:p>
        </w:tc>
        <w:tc>
          <w:tcPr>
            <w:tcW w:w="180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2003</w:t>
            </w:r>
          </w:p>
        </w:tc>
        <w:tc>
          <w:tcPr>
            <w:tcW w:w="15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2004</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2003</w:t>
            </w: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Revenue from grants and licensing agreements</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$6</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$60</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$99</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$119</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Expenses</w:t>
            </w: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1,939</w:t>
            </w:r>
          </w:p>
        </w:tc>
        <w:tc>
          <w:tcPr>
            <w:tcW w:w="180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1,740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3,807</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3,080</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58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General &amp; administrative</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877</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782</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1,741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1,598</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Wind-down expenses related to our</w:t>
            </w: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468</w:t>
            </w:r>
          </w:p>
        </w:tc>
        <w:tc>
          <w:tcPr>
            <w:tcW w:w="1800" w:type="dxa"/>
            <w:vAlign w:val="bottom"/>
            <w:vMerge w:val="restart"/>
          </w:tcPr>
          <w:p>
            <w:pPr>
              <w:jc w:val="right"/>
              <w:ind w:right="452"/>
              <w:spacing w:after="0"/>
              <w:rPr>
                <w:sz w:val="20"/>
                <w:szCs w:val="20"/>
                <w:color w:val="auto"/>
              </w:rPr>
            </w:pPr>
            <w:r>
              <w:rPr>
                <w:rFonts w:ascii="Courier New" w:cs="Courier New" w:eastAsia="Courier New" w:hAnsi="Courier New"/>
                <w:sz w:val="18"/>
                <w:szCs w:val="18"/>
                <w:color w:val="auto"/>
              </w:rPr>
              <w:t>220</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598</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473</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former corporate headquarters</w:t>
            </w:r>
          </w:p>
        </w:tc>
        <w:tc>
          <w:tcPr>
            <w:tcW w:w="158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Total operating expenses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3,284</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2,742</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6,146</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5,151</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Loss from operations</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(3,278)</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(2,682)</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(6,047)</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(5,032)</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(expense)</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w:t>
            </w:r>
          </w:p>
        </w:tc>
        <w:tc>
          <w:tcPr>
            <w:tcW w:w="0" w:type="dxa"/>
            <w:vAlign w:val="bottom"/>
          </w:tcPr>
          <w:p>
            <w:pPr>
              <w:spacing w:after="0"/>
              <w:rPr>
                <w:sz w:val="1"/>
                <w:szCs w:val="1"/>
                <w:color w:val="auto"/>
              </w:rPr>
            </w:pPr>
          </w:p>
        </w:tc>
      </w:tr>
      <w:tr>
        <w:trPr>
          <w:trHeight w:val="203"/>
        </w:trPr>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Net loss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(3,303)</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(2,712)</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(6,073)</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(5,122)</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 to preferred shareholders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47</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Deemed dividend</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1,168</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1,488</w:t>
            </w:r>
          </w:p>
        </w:tc>
        <w:tc>
          <w:tcPr>
            <w:tcW w:w="1520" w:type="dxa"/>
            <w:vAlign w:val="bottom"/>
            <w:vMerge w:val="restart"/>
          </w:tcPr>
          <w:p>
            <w:pPr>
              <w:jc w:val="right"/>
              <w:ind w:right="272"/>
              <w:spacing w:after="0"/>
              <w:rPr>
                <w:sz w:val="20"/>
                <w:szCs w:val="20"/>
                <w:color w:val="auto"/>
              </w:rPr>
            </w:pPr>
            <w:r>
              <w:rPr>
                <w:rFonts w:ascii="Courier New" w:cs="Courier New" w:eastAsia="Courier New" w:hAnsi="Courier New"/>
                <w:sz w:val="18"/>
                <w:szCs w:val="18"/>
                <w:color w:val="auto"/>
              </w:rPr>
              <w:t>----------</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Net loss applicable to common shareholders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($3,303)</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($3,927)</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($6,073)</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($6,657)</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loss per share applicable to common</w:t>
            </w:r>
          </w:p>
        </w:tc>
        <w:tc>
          <w:tcPr>
            <w:tcW w:w="1580" w:type="dxa"/>
            <w:vAlign w:val="bottom"/>
            <w:vMerge w:val="restart"/>
          </w:tcPr>
          <w:p>
            <w:pPr>
              <w:jc w:val="right"/>
              <w:ind w:right="232"/>
              <w:spacing w:after="0"/>
              <w:rPr>
                <w:sz w:val="20"/>
                <w:szCs w:val="20"/>
                <w:color w:val="auto"/>
              </w:rPr>
            </w:pPr>
            <w:r>
              <w:rPr>
                <w:rFonts w:ascii="Courier New" w:cs="Courier New" w:eastAsia="Courier New" w:hAnsi="Courier New"/>
                <w:sz w:val="18"/>
                <w:szCs w:val="18"/>
                <w:color w:val="auto"/>
              </w:rPr>
              <w:t>($0.08)</w:t>
            </w:r>
          </w:p>
        </w:tc>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($0.13)</w:t>
            </w:r>
          </w:p>
        </w:tc>
        <w:tc>
          <w:tcPr>
            <w:tcW w:w="1520" w:type="dxa"/>
            <w:vAlign w:val="bottom"/>
            <w:vMerge w:val="restart"/>
          </w:tcPr>
          <w:p>
            <w:pPr>
              <w:jc w:val="right"/>
              <w:ind w:right="172"/>
              <w:spacing w:after="0"/>
              <w:rPr>
                <w:sz w:val="20"/>
                <w:szCs w:val="20"/>
                <w:color w:val="auto"/>
              </w:rPr>
            </w:pPr>
            <w:r>
              <w:rPr>
                <w:rFonts w:ascii="Courier New" w:cs="Courier New" w:eastAsia="Courier New" w:hAnsi="Courier New"/>
                <w:sz w:val="18"/>
                <w:szCs w:val="18"/>
                <w:color w:val="auto"/>
              </w:rPr>
              <w:t>($0.14)</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($0.23)</w:t>
            </w: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basic and diluted</w:t>
            </w:r>
          </w:p>
        </w:tc>
        <w:tc>
          <w:tcPr>
            <w:tcW w:w="158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0"/>
                <w:szCs w:val="20"/>
                <w:color w:val="auto"/>
              </w:rPr>
            </w:pPr>
            <w:r>
              <w:rPr>
                <w:rFonts w:ascii="Courier New" w:cs="Courier New" w:eastAsia="Courier New" w:hAnsi="Courier New"/>
                <w:sz w:val="18"/>
                <w:szCs w:val="18"/>
                <w:color w:val="auto"/>
              </w:rPr>
              <w:t>Weighted average shares - basic and diluted</w:t>
            </w: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43,066,807</w:t>
            </w:r>
          </w:p>
        </w:tc>
        <w:tc>
          <w:tcPr>
            <w:tcW w:w="180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31,157,909</w:t>
            </w:r>
          </w:p>
        </w:tc>
        <w:tc>
          <w:tcPr>
            <w:tcW w:w="15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42,038,437</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29,062,107</w:t>
            </w:r>
          </w:p>
        </w:tc>
        <w:tc>
          <w:tcPr>
            <w:tcW w:w="0" w:type="dxa"/>
            <w:vAlign w:val="bottom"/>
          </w:tcPr>
          <w:p>
            <w:pPr>
              <w:spacing w:after="0"/>
              <w:rPr>
                <w:sz w:val="1"/>
                <w:szCs w:val="1"/>
                <w:color w:val="auto"/>
              </w:rPr>
            </w:pPr>
          </w:p>
        </w:tc>
      </w:tr>
      <w:tr>
        <w:trPr>
          <w:trHeight w:val="514"/>
        </w:trPr>
        <w:tc>
          <w:tcPr>
            <w:tcW w:w="5060" w:type="dxa"/>
            <w:vAlign w:val="bottom"/>
          </w:tcPr>
          <w:p>
            <w:pPr>
              <w:ind w:left="3480"/>
              <w:spacing w:after="0"/>
              <w:rPr>
                <w:sz w:val="20"/>
                <w:szCs w:val="20"/>
                <w:color w:val="auto"/>
              </w:rPr>
            </w:pPr>
            <w:r>
              <w:rPr>
                <w:rFonts w:ascii="Courier New" w:cs="Courier New" w:eastAsia="Courier New" w:hAnsi="Courier New"/>
                <w:sz w:val="18"/>
                <w:szCs w:val="18"/>
                <w:color w:val="auto"/>
              </w:rPr>
              <w:t>STEMCELLS INC.</w:t>
            </w: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64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CONDENSED CONSOLIDATED BALANCE SHEETS</w:t>
            </w: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17"/>
        </w:trPr>
        <w:tc>
          <w:tcPr>
            <w:tcW w:w="50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JUNE 30,</w:t>
            </w:r>
          </w:p>
        </w:tc>
        <w:tc>
          <w:tcPr>
            <w:tcW w:w="18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DECEMBER 31,</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15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2004</w:t>
            </w:r>
          </w:p>
        </w:tc>
        <w:tc>
          <w:tcPr>
            <w:tcW w:w="18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2003</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(IN THOUSANDS)</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060" w:type="dxa"/>
            <w:vAlign w:val="bottom"/>
            <w:vMerge w:val="continue"/>
          </w:tcPr>
          <w:p>
            <w:pPr>
              <w:spacing w:after="0"/>
              <w:rPr>
                <w:sz w:val="24"/>
                <w:szCs w:val="24"/>
                <w:color w:val="auto"/>
              </w:rPr>
            </w:pP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(UNAUDITED)</w:t>
            </w:r>
          </w:p>
        </w:tc>
        <w:tc>
          <w:tcPr>
            <w:tcW w:w="18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(a)</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50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5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26,022</w:t>
            </w:r>
          </w:p>
        </w:tc>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$13,082</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&amp; cash equivalents</w:t>
            </w:r>
          </w:p>
        </w:tc>
        <w:tc>
          <w:tcPr>
            <w:tcW w:w="158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current assets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325</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Total current assets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26,237</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13,407</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&amp; equipment, net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3,215</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3,611</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 net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2,719</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2,768</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Total assets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$32,171</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$19,786</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and stockholders' equity</w:t>
            </w:r>
          </w:p>
        </w:tc>
        <w:tc>
          <w:tcPr>
            <w:tcW w:w="158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$ 2,618</w:t>
            </w:r>
          </w:p>
        </w:tc>
        <w:tc>
          <w:tcPr>
            <w:tcW w:w="1800" w:type="dxa"/>
            <w:vAlign w:val="bottom"/>
            <w:vMerge w:val="restart"/>
          </w:tcPr>
          <w:p>
            <w:pPr>
              <w:jc w:val="right"/>
              <w:ind w:right="332"/>
              <w:spacing w:after="0"/>
              <w:rPr>
                <w:sz w:val="20"/>
                <w:szCs w:val="20"/>
                <w:color w:val="auto"/>
              </w:rPr>
            </w:pPr>
            <w:r>
              <w:rPr>
                <w:rFonts w:ascii="Courier New" w:cs="Courier New" w:eastAsia="Courier New" w:hAnsi="Courier New"/>
                <w:sz w:val="18"/>
                <w:szCs w:val="18"/>
                <w:color w:val="auto"/>
              </w:rPr>
              <w:t>$ 2,522</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580" w:type="dxa"/>
            <w:vAlign w:val="bottom"/>
            <w:vMerge w:val="continue"/>
          </w:tcPr>
          <w:p>
            <w:pPr>
              <w:spacing w:after="0"/>
              <w:rPr>
                <w:sz w:val="17"/>
                <w:szCs w:val="17"/>
                <w:color w:val="auto"/>
              </w:rPr>
            </w:pPr>
          </w:p>
        </w:tc>
        <w:tc>
          <w:tcPr>
            <w:tcW w:w="180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Non-current liabilities</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5,810</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6,300</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23,743</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10,964</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restart"/>
          </w:tcPr>
          <w:p>
            <w:pPr>
              <w:spacing w:after="0"/>
              <w:rPr>
                <w:sz w:val="20"/>
                <w:szCs w:val="20"/>
                <w:color w:val="auto"/>
              </w:rPr>
            </w:pPr>
            <w:r>
              <w:rPr>
                <w:rFonts w:ascii="Courier New" w:cs="Courier New" w:eastAsia="Courier New" w:hAnsi="Courier New"/>
                <w:sz w:val="18"/>
                <w:szCs w:val="18"/>
                <w:color w:val="auto"/>
              </w:rPr>
              <w:t>Total liabilities and stockholders' equity</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vMerge w:val="continue"/>
          </w:tcPr>
          <w:p>
            <w:pPr>
              <w:spacing w:after="0"/>
              <w:rPr>
                <w:sz w:val="17"/>
                <w:szCs w:val="17"/>
                <w:color w:val="auto"/>
              </w:rPr>
            </w:pP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$32,171</w:t>
            </w:r>
          </w:p>
        </w:tc>
        <w:tc>
          <w:tcPr>
            <w:tcW w:w="1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$19,786</w:t>
            </w:r>
          </w:p>
        </w:tc>
        <w:tc>
          <w:tcPr>
            <w:tcW w:w="1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5060" w:type="dxa"/>
            <w:vAlign w:val="bottom"/>
          </w:tcPr>
          <w:p>
            <w:pPr>
              <w:spacing w:after="0"/>
              <w:rPr>
                <w:sz w:val="24"/>
                <w:szCs w:val="24"/>
                <w:color w:val="auto"/>
              </w:rPr>
            </w:pPr>
          </w:p>
        </w:tc>
        <w:tc>
          <w:tcPr>
            <w:tcW w:w="15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8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ind w:left="540" w:right="3360" w:hanging="532"/>
        <w:spacing w:after="0" w:line="34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Derived from audited financial statements included in StemCells' annual report on form 10-K filed with the SEC.</w:t>
      </w:r>
    </w:p>
    <w:sectPr>
      <w:pgSz w:w="11900" w:h="16838" w:orient="portrait"/>
      <w:cols w:equalWidth="0" w:num="1">
        <w:col w:w="11380"/>
      </w:cols>
      <w:pgMar w:left="240" w:top="48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2019-12-13T21:51:44Z</dcterms:created>
  <dcterms:modified xsi:type="dcterms:W3CDTF">2019-12-13T21:51:44Z</dcterms:modified>
</cp:coreProperties>
</file>