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333-280113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3,211,671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preferred investment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65.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July 2, 2024, the last reported closing price of our common stock on the Nasdaq Capital Market was $0.99.</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July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194" w:lineRule="exact"/>
        <w:rPr>
          <w:rFonts w:ascii="Times New Roman" w:cs="Times New Roman" w:eastAsia="Times New Roman" w:hAnsi="Times New Roman"/>
          <w:sz w:val="18"/>
          <w:szCs w:val="18"/>
          <w:color w:val="auto"/>
        </w:rPr>
      </w:pPr>
    </w:p>
    <w:p>
      <w:pPr>
        <w:ind w:left="660" w:right="20" w:hanging="328"/>
        <w:spacing w:after="0" w:line="204"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feature is subject to a buy-back clause which was triggered, thus causing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amendment, dated July 1, 2024, to our At The Market Offering Agreement with H.C. Wainwright &amp; Co., LLC dated June 10, 2021, relating to the offer and sale of shares of our common stock having an aggregate offering price of up to $4,819,905 from time to time through Wainwright, acting as sales agent. As of the date of this prospectus, we have not sold any shares under such agreement but expect to do so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Brigham and Women’s Hospital, Boston, Massachusetts, will participate as a clinical trial site for the pivotal human clinical trial. Brigham and Women’s Hospital has completed the Site Initiation Visit, during which its clinical staff was trained on the clinical study protocols. In addition, a shipment of LIBERTY investigational units arrived at Brigham and Women’s Hospital for the clinical trial.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received Institutional Review Board approval and signed a Clinical Trial Agreement with Baptist Hospital of Miami, which will participate as the second clinical trial site for the pivotal human clinical trial.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 the process of engaging additional leading centers to participate in the trial. In parallel to commencing the pivotal human clinical trial, we are completing our biocompatibility tests as required by its IDE application.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and Concurrent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Additionally, the Plaintiffs and the Company each agreed to fully release the other from all claims arising out of the Financing, the SPA and/or the allegations and claims asserted in the Lawsuit, subject to customary carve-outs.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ectPr>
          <w:pgSz w:w="11900" w:h="16838" w:orient="portrait"/>
          <w:cols w:equalWidth="0" w:num="1">
            <w:col w:w="11240"/>
          </w:cols>
          <w:pgMar w:left="320" w:top="684" w:right="339" w:bottom="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“Business-Government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3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on June 3, 2024, we announced that we have received the FDA’s approval to proceed with our pivotal human clinical trial. See “-Recent Developments-FDA Approval to Proceed with Pivotal Human Clinical Trial” above and below.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had previously taken the first step to advance our European program by engaging with a leading Notified Body. As a result, we recently completed our on-site audits for ISO 13485 certification to ensure compliance of the Quality Management System (QMS) requirements, and the results are being reviewed by the Notified Body.</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 See “Risk Factors–Risks Relating to the Development and Commercialization of Microbot’s Product Candidates”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3,211,671 shares of our common stock, as follows:</w:t>
      </w:r>
    </w:p>
    <w:p>
      <w:pPr>
        <w:spacing w:after="0" w:line="225"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to certain of the selling stockholders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to certain of the selling stockholders upon the exercise of outstanding preferred investment options expiring in June 2026, at an exercise price per share of $1.875.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3,211,671 shares</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15,965,633 shares</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19,177,304 shares</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17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July 2, 2024.</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3,211,671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3,211,671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stated elsewhere in this prospectus, we have not generated any revenues, have sustained losses and have accumulated a significant deficit since our inception. Also, we estimate that our cash resources are only sufficient to fund our operations for less than one year from the filing date of this prospectus. As a result, our continued existence is dependent upon our ability to obtain additional debt or equity financing and to ultimately become a commercially viable organization. As of March 31, 2024, the Company had unrestricted cash, cash equivalents and marketable securities of approximately $6.35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preclinical studies in large animals and potentially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programs relating to the SCS device,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04"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7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85"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37"/>
          <w:szCs w:val="37"/>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 is subject to a buy-back clause which was triggered, causing us to lose rights to the technology.</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affect our ability to develop and 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as, if and when we restart that feature with our Nitiloop technology.</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5540" w:right="1300" w:hanging="5208"/>
        <w:spacing w:after="0" w:line="563" w:lineRule="auto"/>
        <w:tabs>
          <w:tab w:leader="none" w:pos="6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standard of care.</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 for its planned applications.</w:t>
      </w:r>
    </w:p>
    <w:p>
      <w:pPr>
        <w:spacing w:after="0" w:line="2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strike w:val="1"/>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2, 2024, there were approximately 97 holders of record of our common stock, and the closing price of our common stock as reported on the NASDAQ Capital Market was $0.99.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 net of insurance loss recoveries.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month periods ended March 31, 2024 and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(1,215)</w:t>
            </w:r>
          </w:p>
        </w:tc>
        <w:tc>
          <w:tcPr>
            <w:tcW w:w="3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reduction in payroll due to an increase in vacation utilization, deduction of government grants and decrease in expenses related to the outsourcing of the manufacturing of the Company’s LIBERTY product.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lower travel expenses in the first quarter of 2024 and lower payroll expenses compared to the comparable period in 2023, offset by increase in stock base compensation due to new option grants and increase in professional services.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three months ended March 31, 2024 compared to March 31,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differences and a decrease in interest income.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0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(7,736)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decrease in research and development expenses of approximately $2.0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net. The decrease in general and administrative expenses of approximately $1.4 million in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Income, net. </w:t>
      </w:r>
      <w:r>
        <w:rPr>
          <w:rFonts w:ascii="Times New Roman" w:cs="Times New Roman" w:eastAsia="Times New Roman" w:hAnsi="Times New Roman"/>
          <w:sz w:val="18"/>
          <w:szCs w:val="18"/>
          <w:color w:val="auto"/>
        </w:rPr>
        <w:t>Financing income for the year ended December 31, 2023 included income from interest, net, totaling $283,000 and was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exchange rate losses of $55,000, compared to 2022, which consisted of income from interest, net, totaling $54,000, combined with exchange rate gains of $64,000.</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legal settlement, net. </w:t>
      </w:r>
      <w:r>
        <w:rPr>
          <w:rFonts w:ascii="Times New Roman" w:cs="Times New Roman" w:eastAsia="Times New Roman" w:hAnsi="Times New Roman"/>
          <w:sz w:val="18"/>
          <w:szCs w:val="18"/>
          <w:color w:val="auto"/>
        </w:rPr>
        <w:t>Loss on legal settlement, net for the year ended December 31, 2023 is related to the January 2024 issuance of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settle the Lawsuit pursuant to the Settlement Agreement. See “Part I-Recent Developments-Settlement of Lawsuit.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March 31,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March 31, 2024, Microbot has raised cash proceeds of approximately $69.3 million and incurred a total cumulative loss of approximately $81.9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March 31,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$2.7 million in gross proceeds, before fees and expenses of approximately $333,000, from financing activities in January 2024, and approximately $2.35 million in gross proceeds, before fees and expenses of approximately $264,000 (not including legal fees and other company expenses), from financing activities in June 2024. We have also reactivated our At-the-Market Agreement with H.C. Wainwright &amp; Co., LLC, dated June 10, 2021, as amended on July 1, 2024, relating to the sale of shares of our common stock having an aggregate offering price of up to $4,819,905 from time to time through Wainwright, acting as sales agent. As of the date of this prospectus, no shares have been sold under such ATM facility, but we expect to do so from time to time.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744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(3,203)</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14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(1,284)</w:t>
            </w:r>
          </w:p>
        </w:tc>
        <w:tc>
          <w:tcPr>
            <w:tcW w:w="1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2,397</w:t>
            </w:r>
          </w:p>
        </w:tc>
        <w:tc>
          <w:tcPr>
            <w:tcW w:w="1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14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decrease in 2024 in net cash flows from operating activities was primarily from a decrease in research and development expenses 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2024 in net cash flows from investing activities was mainly due to an increase in the acquisition of marketable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2024 in net cash flows from financing activities was due to the Company’s raising of capital pursuant to its warrant reset offering which closed in January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6"/>
        </w:trPr>
        <w:tc>
          <w:tcPr>
            <w:tcW w:w="7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(3,836)</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2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2023 of cash flows used in operating activities compared to 2022 was primarily from a decrease in research and development expenses</w:t>
      </w:r>
    </w:p>
    <w:p>
      <w:pPr>
        <w:spacing w:after="0" w:line="2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8"/>
          <w:szCs w:val="18"/>
          <w:color w:val="auto"/>
        </w:rPr>
        <w:t>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in 2023 as a result of the Company’s May 2023 cost reduction plan and core-business focus program.</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investing activities increased in 2023 compared to 2022 by approximately $5.8 million, primarily from the net purchases of marketable securities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2023 by approximately $2.2 million due to increased issuances of common stock and warrants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March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3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on June 3, 2024, we announced that we have received the FDA’s approval to proceed with our pivotal human clinical trial. See “-Recent Developments-FDA Approval to Proceed with Pivotal Human Clinical Trial” above and below.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had previously taken the first step to advance our European program by engaging with a leading Notified Body. As a result, we recently completed our on-site audits for ISO 13485 certification to ensure compliance of the Quality Management System (QMS) requirements, and the results are being reviewed by the Notified Body.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 See “Risk Factors–Risks Relating to the Development and Commercialization of Microbot’s Product Candidates”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37"/>
          <w:szCs w:val="37"/>
          <w:b w:val="1"/>
          <w:bCs w:val="1"/>
          <w:i w:val="1"/>
          <w:iCs w:val="1"/>
          <w:color w:val="auto"/>
          <w:vertAlign w:val="superscript"/>
        </w:rPr>
        <w:t>®</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amendment, dated July 1, 2024, to our At The Market Offering Agreement with H.C. Wainwright &amp; Co., LLC dated June 10, 2021, relating to the offer and sale of shares of our common stock having an aggregate offering price of up to $4,819,905 from time to time through Wainwright, acting as sales agent. As of the date of this prospectus, we have not sold any shares under such agreement but expect to do so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Brigham and Women’s Hospital, Boston, Massachusetts, will participate as a clinical trial site for the pivotal human clinical trial. Brigham and Women’s Hospital has completed the Site Initiation Visit, during which its clinical staff was trained on the clinical study protocols. In addition, a shipment of LIBERTY investigational units arrived at Brigham and Women’s Hospital for the clinical trial.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received Institutional Review Board approval and signed a Clinical Trial Agreement with Baptist Hospital of Miami, which will participate as the second clinical trial site for the pivotal human clinical trial.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 the process of engaging additional leading centers to participate in the trial. In parallel to commencing the pivotal human clinical trial, we are completing our biocompatibility tests as required by its IDE application.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and Concurrent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options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Additionally, the Plaintiffs and the Company each agreed to fully release the other from all claims arising out of the Financing, the SPA and/or the allegations and claims asserted in the Lawsuit, subject to customary carve-outs.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ectPr>
          <w:pgSz w:w="11900" w:h="16838" w:orient="portrait"/>
          <w:cols w:equalWidth="0" w:num="1">
            <w:col w:w="11240"/>
          </w:cols>
          <w:pgMar w:left="320" w:top="688" w:right="339" w:bottom="181"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Core-Business Focus Program and Cost Reduction Plan</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MIS involves three major categories of devices: surgical, monitoring and visualization, and endoscopy. The global MIS surgery market is expected to reach $49.9 billion by 2029, growing at a CAGR of 9.5%, according to a 2024 MarketsandMarkets report. We believe that the market for surgical devices, including ablation, electrosurgery and medical robotic systems, accounts for the largest share of revenue and is also expected to show a high rate of growth, and that the market in surgical robots is projected to grow by approximately 17% CAGR from 2021 to 2030 according to a 2023 Strategic Market Research report.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other off-the-shelf products, it is well-positioned to deliver a value-added endovascular robotic system, with a focus on improving the ease and access and enhancing the safety of endovascular interventions.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and The Technion Research and Development</w:t>
      </w:r>
    </w:p>
    <w:p>
      <w:pPr>
        <w:jc w:val="both"/>
        <w:spacing w:after="0" w:line="217" w:lineRule="auto"/>
        <w:rPr>
          <w:sz w:val="20"/>
          <w:szCs w:val="20"/>
          <w:color w:val="auto"/>
        </w:rPr>
      </w:pPr>
      <w:r>
        <w:rPr>
          <w:rFonts w:ascii="Times New Roman" w:cs="Times New Roman" w:eastAsia="Times New Roman" w:hAnsi="Times New Roman"/>
          <w:sz w:val="18"/>
          <w:szCs w:val="18"/>
          <w:color w:val="auto"/>
        </w:rPr>
        <w:t>Foundation Ltd., or TRDF. The NovaCross</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13 patents issued/allowed and 60 patent applications pending worldwide. Microbot also holds 10 design patents issued/allowed and 5 design patents pending worldwide. It also has registered</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Israel, Europe, and UK, and pending in the U.S., in addition to having registered trademarks for the “One &amp; Done” wordmark in Israel, Europe, the U.S., UK, and Japan. Microbot also has a registered trademark in the U.S. for the NovaCross trademark.</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As of March 31, 2024, the Company received approximately $50,000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2023, respectively, Microbot incurred research and development expenses of approximately $7,736,000 and $5,724,000.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Microbot has not yet established a sales, marketing or product distribution infrastructure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52"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the IDE process. </w:t>
      </w:r>
      <w:r>
        <w:rPr>
          <w:rFonts w:ascii="Times New Roman" w:cs="Times New Roman" w:eastAsia="Times New Roman" w:hAnsi="Times New Roman"/>
          <w:sz w:val="18"/>
          <w:szCs w:val="18"/>
          <w:color w:val="auto"/>
        </w:rPr>
        <w:t>The IDE will become effective 30 days after receipt by the FDA, unless the FDA otherwise informs the sponsor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744"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656"/>
        <w:spacing w:after="0" w:line="282"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ectPr>
          <w:pgSz w:w="11900" w:h="16838" w:orient="portrait"/>
          <w:cols w:equalWidth="0" w:num="1">
            <w:col w:w="11240"/>
          </w:cols>
          <w:pgMar w:left="320" w:top="688" w:right="339" w:bottom="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quarterly financial statements for the quarter ended March 31, 2024, included elsewhere in this prospectus.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2024, we have 21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July 2,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Bornstein, Burell, Madden, Laxminarain and Wenderow, and Ms. Stockburger.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July 2,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7</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59"/>
        </w:trPr>
        <w:tc>
          <w:tcPr>
            <w:tcW w:w="3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40" w:type="dxa"/>
            <w:vAlign w:val="bottom"/>
          </w:tcPr>
          <w:p>
            <w:pPr>
              <w:spacing w:after="0"/>
              <w:rPr>
                <w:sz w:val="22"/>
                <w:szCs w:val="22"/>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194"/>
        </w:trPr>
        <w:tc>
          <w:tcPr>
            <w:tcW w:w="384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Directors</w:t>
            </w: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July 2, 2024.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514,049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1,838,166</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255,621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115,874(6)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146,403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181,235(8)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284,024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137,245(8)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142,012</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47,372(9)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120,847</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96,000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14,170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2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84" w:right="3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9,375</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11,375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23,625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12,500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4,750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07/18/2032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5,200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Eyal Morag</w:t>
            </w: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$ 13,125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74,123</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$ 11,250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$ 10,625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$ 64,386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75,011</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$ 63,701</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30"/>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1,463,806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556,846</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688,431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-882015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-334010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p>
      <w:pPr>
        <w:spacing w:after="0" w:line="38"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July 2,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July 2, 2024. We calculated percentage ownership in accordance with the rules of the SEC. The percentage of common stock beneficially owned is based on 15,965,633 shares outstanding as of July 2, 2024. In addition, shares issuable pursuant to options or other convertible securities that may be acquired within 60 days of July 2,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1,076,773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300,687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53,563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93,545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51,972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60,025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1,825,042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862,080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58,659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July 2, 2024.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The percentage of shares beneficially owned prior to the offering is based on 15,965,633 shares of our common stock outstanding as of July 2,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 Owned After Sale of</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Shares of Common Stock</w:t>
            </w:r>
          </w:p>
        </w:tc>
      </w:tr>
      <w:tr>
        <w:trPr>
          <w:trHeight w:val="259"/>
        </w:trPr>
        <w:tc>
          <w:tcPr>
            <w:tcW w:w="3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7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Pursuant to this Prospectus</w:t>
            </w:r>
          </w:p>
        </w:tc>
      </w:tr>
      <w:tr>
        <w:trPr>
          <w:trHeight w:val="19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Before</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440" w:type="dxa"/>
            <w:vAlign w:val="bottom"/>
            <w:tcBorders>
              <w:top w:val="single" w:sz="8" w:color="auto"/>
            </w:tcBorders>
            <w:gridSpan w:val="2"/>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4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Any Sale</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6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220" w:type="dxa"/>
            <w:vAlign w:val="bottom"/>
            <w:tcBorders>
              <w:bottom w:val="single" w:sz="8" w:color="CCEEFF"/>
            </w:tcBorders>
          </w:tcPr>
          <w:p>
            <w:pPr>
              <w:spacing w:after="0"/>
              <w:rPr>
                <w:sz w:val="21"/>
                <w:szCs w:val="21"/>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2,143,853</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1,360,517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1,004,398</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221,062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(4)(5)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887,433</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117,593</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92,918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239,388</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50,231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189,157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12,600</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3,734</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(7)</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5,192,335</w:t>
            </w:r>
          </w:p>
        </w:tc>
        <w:tc>
          <w:tcPr>
            <w:tcW w:w="1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24.54%</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3,211,671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1,980,664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w:t>
      </w:r>
    </w:p>
    <w:p>
      <w:pPr>
        <w:sectPr>
          <w:pgSz w:w="11900" w:h="16838" w:orient="portrait"/>
          <w:cols w:equalWidth="0" w:num="1">
            <w:col w:w="11240"/>
          </w:cols>
          <w:pgMar w:left="320" w:top="684" w:right="339" w:bottom="0" w:gutter="0" w:footer="0" w:header="0"/>
        </w:sectPr>
      </w:pPr>
    </w:p>
    <w:bookmarkStart w:id="70" w:name="page71"/>
    <w:bookmarkEnd w:id="70"/>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84" w:right="339" w:bottom="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spacing w:after="0" w:line="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15,965,633 shares were issued and outstanding as of July 2,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2024, we had:</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2,575,679 shares of our common stock issuable upon the exercise of outstanding stock options granted to employees, directors and consultants, with exercise prices ranging from approximately $0.005 to $15.75 and having a weighted-average exercise price of $4.6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51,529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2024, we had outstanding:</w:t>
      </w:r>
    </w:p>
    <w:p>
      <w:pPr>
        <w:spacing w:after="0" w:line="225" w:lineRule="exact"/>
        <w:rPr>
          <w:sz w:val="20"/>
          <w:szCs w:val="20"/>
          <w:color w:val="auto"/>
        </w:rPr>
      </w:pPr>
    </w:p>
    <w:p>
      <w:pPr>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660" w:right="2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w:t>
      </w:r>
    </w:p>
    <w:p>
      <w:pPr>
        <w:sectPr>
          <w:pgSz w:w="11900" w:h="16882" w:orient="portrait"/>
          <w:cols w:equalWidth="0" w:num="1">
            <w:col w:w="11240"/>
          </w:cols>
          <w:pgMar w:left="320" w:top="688" w:right="339" w:bottom="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exercise price per share of $1.50; and</w:t>
      </w:r>
    </w:p>
    <w:p>
      <w:pPr>
        <w:spacing w:after="0" w:line="27" w:lineRule="exact"/>
        <w:rPr>
          <w:sz w:val="20"/>
          <w:szCs w:val="20"/>
          <w:color w:val="auto"/>
        </w:rPr>
      </w:pPr>
    </w:p>
    <w:p>
      <w:pPr>
        <w:ind w:left="66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S-1 of which this prospectus forms a part, are underlying our 3,133,338 outstanding series F preferred investment options expiring in June 2026 and our 78,333 outstanding placement agent preferred investment options expiring in June 2026. See “Prospectus Summary-Recent Developments-Registered Direct Offering” above, for a summary of the terms of the series F preferred investment options and the placement agent preferred investment options.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7"/>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 F-34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March 31, 2024 (Unaudited) and December 31, 2023 (Audited)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F-39 - F-47</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6"/>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9" w:name="page80"/>
    <w:bookmarkEnd w:id="79"/>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Contingencies - Settlement of litigation resulting from the 2017 financing - Refer to Notes 9G and 16C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amount was recorded in the Company’s consolidated financial statements as non-operating loss, offset by loss recovery received from the Company’s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calculation of the contingent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3,917</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2,211</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2022; 11,707,317 and 7,890,628 shares issued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5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(79,501)</w:t>
            </w:r>
          </w:p>
        </w:tc>
        <w:tc>
          <w:tcPr>
            <w:tcW w:w="6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8"/>
                <w:szCs w:val="18"/>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(4,131)</w:t>
            </w:r>
          </w:p>
        </w:tc>
        <w:tc>
          <w:tcPr>
            <w:tcW w:w="6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w:t>
            </w:r>
          </w:p>
        </w:tc>
        <w:tc>
          <w:tcPr>
            <w:tcW w:w="6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CCEEFF"/>
              <w:bottom w:val="single" w:sz="8" w:color="CCEEFF"/>
            </w:tcBorders>
          </w:tcPr>
          <w:p>
            <w:pPr>
              <w:spacing w:after="0"/>
              <w:rPr>
                <w:sz w:val="22"/>
                <w:szCs w:val="22"/>
                <w:color w:val="auto"/>
              </w:rPr>
            </w:pPr>
          </w:p>
        </w:tc>
        <w:tc>
          <w:tcPr>
            <w:tcW w:w="1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6"/>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10,199,984</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7,260,344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4180" w:type="dxa"/>
            <w:vAlign w:val="bottom"/>
          </w:tcPr>
          <w:p>
            <w:pPr>
              <w:spacing w:after="0"/>
              <w:rPr>
                <w:sz w:val="22"/>
                <w:szCs w:val="22"/>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782,495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(10,740)</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580" w:firstLine="8"/>
        <w:spacing w:after="0" w:line="312" w:lineRule="auto"/>
        <w:tabs>
          <w:tab w:leader="none" w:pos="32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issuance costs in the amount of $676. (**) Net of issuance costs in the amount of $1,075.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6"/>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(10,060)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4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2,899</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9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02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1620" w:hanging="64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Acquisitions of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of $49 as of December 31, 2023, serves as collateral for the Company’s lease agreement, and $77 as of December 31, 2022, serves as collateral for lease agreements and credit cards.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480" w:type="dxa"/>
            <w:vAlign w:val="bottom"/>
          </w:tcPr>
          <w:p>
            <w:pPr>
              <w:spacing w:after="0"/>
              <w:rPr>
                <w:sz w:val="21"/>
                <w:szCs w:val="21"/>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6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Research and development expenses, net: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2023 and 2022:</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r>
      <w:tr>
        <w:trPr>
          <w:trHeight w:val="257"/>
        </w:trPr>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5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3,761</w:t>
            </w:r>
          </w:p>
        </w:tc>
      </w:tr>
      <w:tr>
        <w:trPr>
          <w:trHeight w:val="22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6,385</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$59 and $12 for the years ended December 31, 2023 and 2022,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2023 and 2022:</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6"/>
        </w:trPr>
        <w:tc>
          <w:tcPr>
            <w:tcW w:w="29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3"/>
              </w:rPr>
              <w:t>3,917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298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932"/>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2023 and 2022:</w:t>
      </w:r>
    </w:p>
    <w:tbl>
      <w:tblPr>
        <w:tblLayout w:type="fixed"/>
        <w:tblInd w:w="98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2023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5"/>
        </w:trPr>
        <w:tc>
          <w:tcPr>
            <w:tcW w:w="8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4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r>
      <w:tr>
        <w:trPr>
          <w:trHeight w:val="203"/>
        </w:trPr>
        <w:tc>
          <w:tcPr>
            <w:tcW w:w="8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7"/>
        </w:trPr>
        <w:tc>
          <w:tcPr>
            <w:tcW w:w="8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2023 and 2022:</w:t>
      </w:r>
    </w:p>
    <w:p>
      <w:pPr>
        <w:spacing w:after="0" w:line="23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1"/>
              </w:rPr>
              <w:t>9%</w:t>
            </w:r>
          </w:p>
        </w:tc>
        <w:tc>
          <w:tcPr>
            <w:tcW w:w="2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vMerge w:val="continue"/>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Cost: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top w:val="single" w:sz="8" w:color="CCEEFF"/>
              <w:bottom w:val="single" w:sz="8" w:color="CCEEFF"/>
            </w:tcBorders>
          </w:tcPr>
          <w:p>
            <w:pPr>
              <w:spacing w:after="0"/>
              <w:rPr>
                <w:sz w:val="18"/>
                <w:szCs w:val="18"/>
                <w:color w:val="auto"/>
              </w:rPr>
            </w:pPr>
          </w:p>
        </w:tc>
        <w:tc>
          <w:tcPr>
            <w:tcW w:w="19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top w:val="single" w:sz="8" w:color="CCEEFF"/>
              <w:bottom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F-17</w:t>
            </w: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2023, the Company received approximately $27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Company’s Self-Cleaning Shunt (SCS)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620" w:hanging="640"/>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Lawsuit was settled in January 2024. Refer to Note 16C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11,707,317 and 7,890,628 shares of common stock issued and outstanding, respectively.</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Preferred investment options amendment: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c>
          <w:tcPr>
            <w:tcW w:w="7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101.31%-122.39%</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3.85%- 4.93%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F-24</w:t>
            </w: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784"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1,507,137</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711,308</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997,148</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530,822</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899,609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aggregate intrinsic value of the outstanding options is $277 and $185, respectively, and the aggregate intrinsic value of the exercisable options is $102 and $185,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$1.40 and $4.50,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2023 and December 31, 2022,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of 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c>
          <w:tcPr>
            <w:tcW w:w="0" w:type="dxa"/>
            <w:vAlign w:val="bottom"/>
          </w:tcPr>
          <w:p>
            <w:pPr>
              <w:spacing w:after="0"/>
              <w:rPr>
                <w:sz w:val="1"/>
                <w:szCs w:val="1"/>
                <w:color w:val="auto"/>
              </w:rPr>
            </w:pPr>
          </w:p>
        </w:tc>
      </w:tr>
      <w:tr>
        <w:trPr>
          <w:trHeight w:val="245"/>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3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860,808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639,232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687,482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484,871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315,807</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49"/>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166,206</w:t>
            </w:r>
          </w:p>
        </w:tc>
        <w:tc>
          <w:tcPr>
            <w:tcW w:w="0" w:type="dxa"/>
            <w:vAlign w:val="bottom"/>
          </w:tcPr>
          <w:p>
            <w:pPr>
              <w:spacing w:after="0"/>
              <w:rPr>
                <w:sz w:val="1"/>
                <w:szCs w:val="1"/>
                <w:color w:val="auto"/>
              </w:rPr>
            </w:pPr>
          </w:p>
        </w:tc>
      </w:tr>
      <w:tr>
        <w:trPr>
          <w:trHeight w:val="217"/>
        </w:trPr>
        <w:tc>
          <w:tcPr>
            <w:tcW w:w="1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2023 and 2022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558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111.2%-161.7%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3.3%- 4.7%</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1.7%- 3.7%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45"/>
        </w:trPr>
        <w:tc>
          <w:tcPr>
            <w:tcW w:w="3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45,045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1,022,495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limit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350,878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2028</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2028</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17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October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1,022,495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2,044,990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51,125</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60,476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350,878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312,309</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2,095,362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1,507,137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color w:val="auto"/>
              </w:rPr>
              <w:t>F-29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2023 and 2022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2023 and 2022.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2023 and 2022. Microbot Israel has not received a final tax assessment since 2018.</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55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6"/>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115,778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113,393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accrual</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 from IIA</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116,371</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113,569</w:t>
            </w:r>
          </w:p>
        </w:tc>
        <w:tc>
          <w:tcPr>
            <w:tcW w:w="80" w:type="dxa"/>
            <w:vAlign w:val="bottom"/>
            <w:tcBorders>
              <w:top w:val="single" w:sz="8" w:color="CCEEFF"/>
            </w:tcBorders>
          </w:tcPr>
          <w:p>
            <w:pPr>
              <w:spacing w:after="0"/>
              <w:rPr>
                <w:sz w:val="17"/>
                <w:szCs w:val="17"/>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(116,014)</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 (Ministry of Economy)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18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Reinstatement of annual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reinstated in full of the annual compensation of the CEO, effective as of January 1, 2024. Such compensation was reduced by 50% in May 2023 as a result of the Company’s cost reduction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Settlement of litigation resulting from the 2017 financing: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Stock option grants and 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Return of CardioSert intellectual property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54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540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54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14,398,964 and 11,707,317</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March 31, 2024 and December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31, 2023, respectively.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7"/>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54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(1,169)</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7"/>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r>
      <w:tr>
        <w:trPr>
          <w:trHeight w:val="256"/>
        </w:trPr>
        <w:tc>
          <w:tcPr>
            <w:tcW w:w="69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97"/>
        </w:trPr>
        <w:tc>
          <w:tcPr>
            <w:tcW w:w="69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14,055,973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8,013,295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gridSpan w:val="2"/>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20"/>
                <w:szCs w:val="20"/>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Net of issuance costs in the amount of $333.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Note 3G.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80" w:type="dxa"/>
            <w:vAlign w:val="bottom"/>
            <w:gridSpan w:val="6"/>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(2,371)</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0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March 31, 2024, the Company had cash equivalents and marketable securities balance of approximately $6,349, excluding restricted cash. Due to continuing research and development activities, the Company expects to continue to incur additional losses for the foreseeable future. The Company implemented a cost reduction program in May 2023, and consummated capital raises in May,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Company’s latest annual audited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5,187</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5,187</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2,497</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3,917</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3"/>
              </w:rPr>
              <w:t>3,917</w:t>
            </w: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F-41</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March 31,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March 31,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jc w:val="both"/>
        <w:spacing w:after="0" w:line="221"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The Company expects the transfer of the Technology back to CardioSert will occur in the second fiscal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 contingent total bonus of NIS 230,736 (approximately $60), which is payable upon the Company raising at least $3,000 in new funds by September 30, 2024. The Company’s management is unable to predict the likelihood of securing additional capital; therefore, as of March 31, 2024, the Company has not recorded a liability for any contingent bonus.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respectively, 14,398,964 and 11,707,317 shares of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analyzed the accounting treatment for the series E preferred investment options and concluded that they should be classified as equity.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The Company’s management believes that meeting the performance conditions is tied to the Company’s ability to secure additional capital. Therefore, as of March 31, 2024, the Company has not recorded any expense related to this performance condition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5"/>
    </w:lvl>
  </w:abstractNum>
  <w:abstractNum w:abstractNumId="35">
    <w:nsid w:val="2CD89A32"/>
    <w:multiLevelType w:val="hybridMultilevel"/>
    <w:lvl w:ilvl="0">
      <w:lvlJc w:val="left"/>
      <w:lvlText w:val="(%1)"/>
      <w:numFmt w:val="lowerRoman"/>
      <w:start w:val="2"/>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lowerRoman"/>
      <w:start w:val="2"/>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2024-07-10T05:18:07Z</dcterms:created>
  <dcterms:modified xsi:type="dcterms:W3CDTF">2024-07-10T05:18:07Z</dcterms:modified>
</cp:coreProperties>
</file>