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MAY 29, 2003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144780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S-3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STEMCELLS,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2836</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94-3078125</w:t>
      </w:r>
    </w:p>
    <w:p>
      <w:pPr>
        <w:spacing w:after="0" w:line="1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0"/>
          <w:szCs w:val="20"/>
          <w:color w:val="auto"/>
        </w:rPr>
      </w:pPr>
    </w:p>
    <w:p>
      <w:pPr>
        <w:sectPr>
          <w:pgSz w:w="11900" w:h="16838" w:orient="portrait"/>
          <w:cols w:equalWidth="0" w:num="3">
            <w:col w:w="4200" w:space="720"/>
            <w:col w:w="2600" w:space="720"/>
            <w:col w:w="3180"/>
          </w:cols>
          <w:pgMar w:left="240" w:top="122"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IRIS BREST, ESQ.</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(Name, address, including zip code, and telephone number, including area code, of agent for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GEOFFREY B. DAVIS, ESQ.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Ropes &amp; Gray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5580" w:hanging="415"/>
        <w:spacing w:after="0"/>
        <w:tabs>
          <w:tab w:leader="none" w:pos="5580" w:val="left"/>
        </w:tabs>
        <w:numPr>
          <w:ilvl w:val="1"/>
          <w:numId w:val="1"/>
        </w:numPr>
        <w:rPr>
          <w:rFonts w:ascii="Arial" w:cs="Arial" w:eastAsia="Arial" w:hAnsi="Arial"/>
          <w:sz w:val="16"/>
          <w:szCs w:val="16"/>
          <w:color w:val="auto"/>
        </w:rPr>
      </w:pPr>
      <w:r>
        <w:rPr>
          <w:rFonts w:ascii="Arial" w:cs="Arial" w:eastAsia="Arial" w:hAnsi="Arial"/>
          <w:sz w:val="16"/>
          <w:szCs w:val="16"/>
          <w:color w:val="auto"/>
        </w:rPr>
        <w:t>951-7000</w:t>
      </w:r>
    </w:p>
    <w:p>
      <w:pPr>
        <w:spacing w:after="0" w:line="32" w:lineRule="exact"/>
        <w:rPr>
          <w:rFonts w:ascii="Arial" w:cs="Arial" w:eastAsia="Arial" w:hAnsi="Arial"/>
          <w:sz w:val="16"/>
          <w:szCs w:val="16"/>
          <w:color w:val="auto"/>
        </w:rPr>
      </w:pPr>
    </w:p>
    <w:p>
      <w:pPr>
        <w:ind w:left="5400" w:hanging="427"/>
        <w:spacing w:after="0"/>
        <w:tabs>
          <w:tab w:leader="none" w:pos="5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951-7050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210"/>
        <w:spacing w:after="0" w:line="268"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86"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86" w:lineRule="exact"/>
        <w:rPr>
          <w:sz w:val="20"/>
          <w:szCs w:val="20"/>
          <w:color w:val="auto"/>
        </w:rPr>
      </w:pPr>
    </w:p>
    <w:p>
      <w:pPr>
        <w:ind w:right="500" w:firstLine="220"/>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760" w:firstLine="220"/>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right="740" w:firstLine="220"/>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304"/>
              <w:spacing w:after="0"/>
              <w:rPr>
                <w:sz w:val="20"/>
                <w:szCs w:val="20"/>
                <w:color w:val="auto"/>
              </w:rPr>
            </w:pPr>
            <w:r>
              <w:rPr>
                <w:rFonts w:ascii="Arial" w:cs="Arial" w:eastAsia="Arial" w:hAnsi="Arial"/>
                <w:sz w:val="14"/>
                <w:szCs w:val="14"/>
                <w:b w:val="1"/>
                <w:bCs w:val="1"/>
                <w:color w:val="auto"/>
              </w:rPr>
              <w:t>TITLE OF EACH</w:t>
            </w:r>
          </w:p>
        </w:tc>
        <w:tc>
          <w:tcPr>
            <w:tcW w:w="20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8"/>
              </w:rPr>
              <w:t>PROPOSED MAXIMUM</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8"/>
              </w:rPr>
              <w:t>PROPOSED MAXIMUM</w:t>
            </w:r>
          </w:p>
        </w:tc>
        <w:tc>
          <w:tcPr>
            <w:tcW w:w="1740" w:type="dxa"/>
            <w:vAlign w:val="bottom"/>
          </w:tcPr>
          <w:p>
            <w:pPr>
              <w:spacing w:after="0"/>
              <w:rPr>
                <w:sz w:val="14"/>
                <w:szCs w:val="14"/>
                <w:color w:val="auto"/>
              </w:rPr>
            </w:pPr>
          </w:p>
        </w:tc>
      </w:tr>
      <w:tr>
        <w:trPr>
          <w:trHeight w:val="149"/>
        </w:trPr>
        <w:tc>
          <w:tcPr>
            <w:tcW w:w="300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4"/>
              </w:rPr>
              <w:t>CLASS OF SECURITIES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AMOUNT TO BE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AGGREGATE</w:t>
            </w:r>
          </w:p>
        </w:tc>
        <w:tc>
          <w:tcPr>
            <w:tcW w:w="17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6"/>
              </w:rPr>
              <w:t>AMOUNT OF</w:t>
            </w:r>
          </w:p>
        </w:tc>
      </w:tr>
      <w:tr>
        <w:trPr>
          <w:trHeight w:val="153"/>
        </w:trPr>
        <w:tc>
          <w:tcPr>
            <w:tcW w:w="3000" w:type="dxa"/>
            <w:vAlign w:val="bottom"/>
          </w:tcPr>
          <w:p>
            <w:pPr>
              <w:jc w:val="center"/>
              <w:ind w:right="304"/>
              <w:spacing w:after="0" w:line="153" w:lineRule="exact"/>
              <w:rPr>
                <w:sz w:val="20"/>
                <w:szCs w:val="20"/>
                <w:color w:val="auto"/>
              </w:rPr>
            </w:pPr>
            <w:r>
              <w:rPr>
                <w:rFonts w:ascii="Arial" w:cs="Arial" w:eastAsia="Arial" w:hAnsi="Arial"/>
                <w:sz w:val="14"/>
                <w:szCs w:val="14"/>
                <w:b w:val="1"/>
                <w:bCs w:val="1"/>
                <w:color w:val="auto"/>
                <w:w w:val="97"/>
              </w:rPr>
              <w:t>TO BE REGISTERED</w:t>
            </w:r>
          </w:p>
        </w:tc>
        <w:tc>
          <w:tcPr>
            <w:tcW w:w="2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REGISTERED</w:t>
            </w: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 SHARE (1)</w:t>
            </w:r>
          </w:p>
        </w:tc>
        <w:tc>
          <w:tcPr>
            <w:tcW w:w="2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OFFERING PRICE (1)</w:t>
            </w:r>
          </w:p>
        </w:tc>
        <w:tc>
          <w:tcPr>
            <w:tcW w:w="1740" w:type="dxa"/>
            <w:vAlign w:val="bottom"/>
          </w:tcPr>
          <w:p>
            <w:pPr>
              <w:jc w:val="center"/>
              <w:ind w:left="326"/>
              <w:spacing w:after="0" w:line="153" w:lineRule="exact"/>
              <w:rPr>
                <w:sz w:val="20"/>
                <w:szCs w:val="20"/>
                <w:color w:val="auto"/>
              </w:rPr>
            </w:pPr>
            <w:r>
              <w:rPr>
                <w:rFonts w:ascii="Arial" w:cs="Arial" w:eastAsia="Arial" w:hAnsi="Arial"/>
                <w:sz w:val="14"/>
                <w:szCs w:val="14"/>
                <w:b w:val="1"/>
                <w:bCs w:val="1"/>
                <w:color w:val="auto"/>
                <w:w w:val="97"/>
              </w:rPr>
              <w:t>REGISTRATION FEE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Common Stock, par value $0.01 per</w:t>
            </w:r>
          </w:p>
        </w:tc>
        <w:tc>
          <w:tcPr>
            <w:tcW w:w="2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2"/>
        </w:trPr>
        <w:tc>
          <w:tcPr>
            <w:tcW w:w="3000" w:type="dxa"/>
            <w:vAlign w:val="bottom"/>
          </w:tcPr>
          <w:p>
            <w:pPr>
              <w:ind w:left="140"/>
              <w:spacing w:after="0"/>
              <w:rPr>
                <w:sz w:val="20"/>
                <w:szCs w:val="20"/>
                <w:color w:val="auto"/>
              </w:rPr>
            </w:pPr>
            <w:r>
              <w:rPr>
                <w:rFonts w:ascii="Arial" w:cs="Arial" w:eastAsia="Arial" w:hAnsi="Arial"/>
                <w:sz w:val="18"/>
                <w:szCs w:val="18"/>
                <w:color w:val="auto"/>
              </w:rPr>
              <w:t>share</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7,250,000 shares</w:t>
            </w:r>
          </w:p>
        </w:tc>
        <w:tc>
          <w:tcPr>
            <w:tcW w:w="2320" w:type="dxa"/>
            <w:vAlign w:val="bottom"/>
          </w:tcPr>
          <w:p>
            <w:pPr>
              <w:jc w:val="right"/>
              <w:ind w:right="927"/>
              <w:spacing w:after="0"/>
              <w:rPr>
                <w:sz w:val="20"/>
                <w:szCs w:val="20"/>
                <w:color w:val="auto"/>
              </w:rPr>
            </w:pPr>
            <w:r>
              <w:rPr>
                <w:rFonts w:ascii="Arial" w:cs="Arial" w:eastAsia="Arial" w:hAnsi="Arial"/>
                <w:sz w:val="18"/>
                <w:szCs w:val="18"/>
                <w:color w:val="auto"/>
              </w:rPr>
              <w:t>$1.53</w:t>
            </w:r>
          </w:p>
        </w:tc>
        <w:tc>
          <w:tcPr>
            <w:tcW w:w="2320" w:type="dxa"/>
            <w:vAlign w:val="bottom"/>
          </w:tcPr>
          <w:p>
            <w:pPr>
              <w:jc w:val="right"/>
              <w:ind w:right="687"/>
              <w:spacing w:after="0"/>
              <w:rPr>
                <w:sz w:val="20"/>
                <w:szCs w:val="20"/>
                <w:color w:val="auto"/>
              </w:rPr>
            </w:pPr>
            <w:r>
              <w:rPr>
                <w:rFonts w:ascii="Arial" w:cs="Arial" w:eastAsia="Arial" w:hAnsi="Arial"/>
                <w:sz w:val="18"/>
                <w:szCs w:val="18"/>
                <w:color w:val="auto"/>
              </w:rPr>
              <w:t>$11,092,500</w:t>
            </w:r>
          </w:p>
        </w:tc>
        <w:tc>
          <w:tcPr>
            <w:tcW w:w="1740" w:type="dxa"/>
            <w:vAlign w:val="bottom"/>
          </w:tcPr>
          <w:p>
            <w:pPr>
              <w:jc w:val="right"/>
              <w:ind w:right="366"/>
              <w:spacing w:after="0"/>
              <w:rPr>
                <w:sz w:val="20"/>
                <w:szCs w:val="20"/>
                <w:color w:val="auto"/>
              </w:rPr>
            </w:pPr>
            <w:r>
              <w:rPr>
                <w:rFonts w:ascii="Arial" w:cs="Arial" w:eastAsia="Arial" w:hAnsi="Arial"/>
                <w:sz w:val="18"/>
                <w:szCs w:val="18"/>
                <w:color w:val="auto"/>
              </w:rPr>
              <w:t>$  898</w:t>
            </w:r>
          </w:p>
        </w:tc>
      </w:tr>
    </w:tbl>
    <w:p>
      <w:pPr>
        <w:spacing w:after="0" w:line="210" w:lineRule="exact"/>
        <w:rPr>
          <w:sz w:val="20"/>
          <w:szCs w:val="20"/>
          <w:color w:val="auto"/>
        </w:rPr>
      </w:pPr>
    </w:p>
    <w:p>
      <w:pPr>
        <w:ind w:left="540" w:right="10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of the Securities Act of 1933, based on the average of the high and low prices as reported on the Nasdaq SmallCap Market on May 23,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6" w:lineRule="exact"/>
        <w:rPr>
          <w:sz w:val="20"/>
          <w:szCs w:val="20"/>
          <w:color w:val="auto"/>
        </w:rPr>
      </w:pPr>
    </w:p>
    <w:p>
      <w:pPr>
        <w:ind w:right="120" w:firstLine="216"/>
        <w:spacing w:after="0" w:line="256"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216"/>
        <w:spacing w:after="0" w:line="256"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The selling stockholder listed on page 9 of this prospectus or in an accompanying supplement to this prospectus are offering to sell up to 7,250,000 shares of our common stock.</w:t>
      </w:r>
    </w:p>
    <w:p>
      <w:pPr>
        <w:spacing w:after="0" w:line="186"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Our common stock is listed on the Nasdaq SmallCap Market under the symbol “STEM.” The last reported sale price for our common stock on the Nasdaq SmallCap Market on May 28, 2003 was $1.69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SECURITIES OFFERED HEREBY INVOLVE A HIGH DEGREE OF RISK.</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“RISK FACTORS”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firstLine="216"/>
        <w:spacing w:after="0" w:line="306" w:lineRule="auto"/>
        <w:rPr>
          <w:sz w:val="20"/>
          <w:szCs w:val="20"/>
          <w:color w:val="auto"/>
        </w:rPr>
      </w:pPr>
      <w:r>
        <w:rPr>
          <w:rFonts w:ascii="Arial" w:cs="Arial" w:eastAsia="Arial" w:hAnsi="Arial"/>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61" w:lineRule="exact"/>
        <w:rPr>
          <w:sz w:val="20"/>
          <w:szCs w:val="20"/>
          <w:color w:val="auto"/>
        </w:rPr>
      </w:pPr>
    </w:p>
    <w:p>
      <w:pPr>
        <w:jc w:val="center"/>
        <w:ind w:right="-119"/>
        <w:spacing w:after="0"/>
        <w:tabs>
          <w:tab w:leader="none" w:pos="28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EXECUTIVE OFFICE</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RISK FACTORS</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USE OF PROCEEDS</w:t>
        </w:r>
      </w:hyperlink>
    </w:p>
    <w:p>
      <w:pPr>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SELLING STOCKHOLDER</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PLAN OF DISTRIBUTION</w:t>
        </w:r>
      </w:hyperlink>
    </w:p>
    <w:p>
      <w:pPr>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LEGAL MATTERS</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EXPERTS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WHERE YOU CAN FIND MORE INFORMATION</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INCORPORATION OF DOCUMENTS BY REFERENCE</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rPr>
          <w:sz w:val="20"/>
          <w:szCs w:val="20"/>
          <w:color w:val="auto"/>
        </w:rPr>
      </w:pPr>
      <w:r>
        <w:rPr>
          <w:rFonts w:ascii="Arial" w:cs="Arial" w:eastAsia="Arial" w:hAnsi="Arial"/>
          <w:sz w:val="22"/>
          <w:szCs w:val="22"/>
          <w:u w:val="single" w:color="auto"/>
          <w:color w:val="0000EE"/>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ind w:left="21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EXECUTIVE OFFICE</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RISK FACTORS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USE OF PROCEEDS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SELLING STOCKHOLDER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LEGAL MATTERS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EXPERTS</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INCORPORATION OF DOCUMENTS BY REFERENCE</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EXECUTIVE OFFICE</w:t>
      </w:r>
    </w:p>
    <w:p>
      <w:pPr>
        <w:spacing w:after="0" w:line="225" w:lineRule="exact"/>
        <w:rPr>
          <w:sz w:val="20"/>
          <w:szCs w:val="20"/>
          <w:color w:val="auto"/>
        </w:rPr>
      </w:pPr>
    </w:p>
    <w:p>
      <w:pPr>
        <w:ind w:right="580" w:firstLine="220"/>
        <w:spacing w:after="0" w:line="332" w:lineRule="auto"/>
        <w:rPr>
          <w:sz w:val="20"/>
          <w:szCs w:val="20"/>
          <w:color w:val="auto"/>
        </w:rPr>
      </w:pPr>
      <w:r>
        <w:rPr>
          <w:rFonts w:ascii="Arial" w:cs="Arial" w:eastAsia="Arial" w:hAnsi="Arial"/>
          <w:sz w:val="16"/>
          <w:szCs w:val="16"/>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80" w:firstLine="216"/>
        <w:spacing w:after="0" w:line="255" w:lineRule="auto"/>
        <w:rPr>
          <w:sz w:val="20"/>
          <w:szCs w:val="20"/>
          <w:color w:val="auto"/>
        </w:rPr>
      </w:pPr>
      <w:r>
        <w:rPr>
          <w:rFonts w:ascii="Arial" w:cs="Arial" w:eastAsia="Arial" w:hAnsi="Arial"/>
          <w:sz w:val="18"/>
          <w:szCs w:val="18"/>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FINANCIAL SITUATION IS PRECARIOUS.</w:t>
      </w:r>
    </w:p>
    <w:p>
      <w:pPr>
        <w:spacing w:after="0" w:line="225"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Unless we obtain additional capital to sustain us on a longer-term basis, these conditions may raise doubt about our ability to continue as a going concern. Our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1"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At this time, we only expect our capital resources to be sufficient to fund our operations into 2004. Lack of necessary funds may require us to delay, scale back or eliminate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some or all of our research and product development programs and/or our capital expenditures or to license our potential products or technologies to third parties.</w:t>
      </w:r>
    </w:p>
    <w:p>
      <w:pPr>
        <w:spacing w:after="0" w:line="260" w:lineRule="exact"/>
        <w:rPr>
          <w:sz w:val="20"/>
          <w:szCs w:val="20"/>
          <w:color w:val="auto"/>
        </w:rPr>
      </w:pPr>
    </w:p>
    <w:p>
      <w:pPr>
        <w:ind w:right="1360" w:firstLine="220"/>
        <w:spacing w:after="0" w:line="268" w:lineRule="auto"/>
        <w:rPr>
          <w:sz w:val="20"/>
          <w:szCs w:val="20"/>
          <w:color w:val="auto"/>
        </w:rPr>
      </w:pPr>
      <w:r>
        <w:rPr>
          <w:rFonts w:ascii="Arial" w:cs="Arial" w:eastAsia="Arial" w:hAnsi="Arial"/>
          <w:sz w:val="18"/>
          <w:szCs w:val="18"/>
          <w:color w:val="auto"/>
        </w:rPr>
        <w:t>OUR TECHNOLOGY IS AT AN EARLY STAGE OF DISCOVERY AND DEVELOPMENT, AND WE MAY FAIL TO DEVELOP ANY COMMERCIALLY ACCEPTABLE PRODUCTS.</w:t>
      </w:r>
    </w:p>
    <w:p>
      <w:pPr>
        <w:spacing w:after="0" w:line="186"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94" w:lineRule="exact"/>
        <w:rPr>
          <w:sz w:val="20"/>
          <w:szCs w:val="20"/>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225"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97" w:lineRule="exact"/>
        <w:rPr>
          <w:sz w:val="20"/>
          <w:szCs w:val="20"/>
          <w:color w:val="auto"/>
        </w:rPr>
      </w:pPr>
    </w:p>
    <w:p>
      <w:pPr>
        <w:ind w:right="480" w:firstLine="220"/>
        <w:spacing w:after="0" w:line="332" w:lineRule="auto"/>
        <w:rPr>
          <w:sz w:val="20"/>
          <w:szCs w:val="20"/>
          <w:color w:val="auto"/>
        </w:rPr>
      </w:pPr>
      <w:r>
        <w:rPr>
          <w:rFonts w:ascii="Arial" w:cs="Arial" w:eastAsia="Arial" w:hAnsi="Arial"/>
          <w:sz w:val="16"/>
          <w:szCs w:val="16"/>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39" w:lineRule="exact"/>
        <w:rPr>
          <w:sz w:val="20"/>
          <w:szCs w:val="20"/>
          <w:color w:val="auto"/>
        </w:rPr>
      </w:pPr>
    </w:p>
    <w:p>
      <w:pPr>
        <w:ind w:right="100" w:firstLine="216"/>
        <w:spacing w:after="0" w:line="268" w:lineRule="auto"/>
        <w:rPr>
          <w:sz w:val="20"/>
          <w:szCs w:val="20"/>
          <w:color w:val="auto"/>
        </w:rPr>
      </w:pPr>
      <w:r>
        <w:rPr>
          <w:rFonts w:ascii="Arial" w:cs="Arial" w:eastAsia="Arial" w:hAnsi="Arial"/>
          <w:sz w:val="18"/>
          <w:szCs w:val="18"/>
          <w:color w:val="auto"/>
        </w:rPr>
        <w:t>WE HAVE PAYMENT OBLIGATIONS RESULTING FROM REAL PROPERTY OWNED OR LEASED BY US IN RHODE ISLAND, WHICH DIVERTS FUNDING FROM OUR STEM CELL RESEARCH AND DEVELOPMENT.</w:t>
      </w:r>
    </w:p>
    <w:p>
      <w:pPr>
        <w:spacing w:after="0" w:line="186"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$1,300,000 per year for our former science and administrative facility, which we have leased through June 30, 2013, and debt service payments and payments for operating costs of approximately $600,000 per year for our former encapsulated cell therapy pilot manufacturing facility, which we own. We have currently subleased a portion of the science and administrative facility, but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97"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WE MAY NEED BUT FAIL TO OBTAIN PARTNERS TO SUPPORT OUR STEM CELL DEVELOPMENT EFFORTS AND TO COMMERCIALIZE OUR TECHNOLOGY.</w:t>
      </w:r>
    </w:p>
    <w:p>
      <w:pPr>
        <w:spacing w:after="0" w:line="186" w:lineRule="exact"/>
        <w:rPr>
          <w:sz w:val="20"/>
          <w:szCs w:val="20"/>
          <w:color w:val="auto"/>
        </w:rPr>
      </w:pPr>
    </w:p>
    <w:p>
      <w:pPr>
        <w:ind w:right="140" w:firstLine="220"/>
        <w:spacing w:after="0" w:line="288"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 HISTORY OF OPERATING LOSSES AND WE MAY FAIL TO OBTAIN REVENUES OR BECOME PROFITABLE.</w:t>
      </w:r>
    </w:p>
    <w:p>
      <w:pPr>
        <w:spacing w:after="0" w:line="225" w:lineRule="exact"/>
        <w:rPr>
          <w:sz w:val="20"/>
          <w:szCs w:val="20"/>
          <w:color w:val="auto"/>
        </w:rPr>
      </w:pPr>
    </w:p>
    <w:p>
      <w:pPr>
        <w:ind w:right="20" w:firstLine="216"/>
        <w:spacing w:after="0" w:line="314"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159"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IF WE ARE UNABLE TO PROTECT OUR PATENTS AND PROPRIETARY RIGHTS, OUR BUSINESS, FINANCIAL CONDITION AND RESULTS OF OPERATION WILL BE HARMED.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16"/>
        <w:spacing w:after="0" w:line="285" w:lineRule="auto"/>
        <w:rPr>
          <w:sz w:val="20"/>
          <w:szCs w:val="20"/>
          <w:color w:val="auto"/>
        </w:rPr>
      </w:pPr>
      <w:r>
        <w:rPr>
          <w:rFonts w:ascii="Arial" w:cs="Arial" w:eastAsia="Arial" w:hAnsi="Arial"/>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182"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98"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IF OTHERS ARE FIRST TO DISCOVER AND PATENT THE STEM CELLS WE ARE SEEKING TO DISCOVER, WE COULD BE BLOCKED FROM FURTHER WORK ON THOSE STEM CELLS.</w:t>
      </w:r>
    </w:p>
    <w:p>
      <w:pPr>
        <w:spacing w:after="0" w:line="186" w:lineRule="exact"/>
        <w:rPr>
          <w:sz w:val="20"/>
          <w:szCs w:val="20"/>
          <w:color w:val="auto"/>
        </w:rPr>
      </w:pPr>
    </w:p>
    <w:p>
      <w:pPr>
        <w:jc w:val="both"/>
        <w:ind w:right="660" w:firstLine="220"/>
        <w:spacing w:after="0" w:line="259"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220"/>
        <w:spacing w:after="0" w:line="268" w:lineRule="auto"/>
        <w:rPr>
          <w:sz w:val="20"/>
          <w:szCs w:val="20"/>
          <w:color w:val="auto"/>
        </w:rPr>
      </w:pPr>
      <w:r>
        <w:rPr>
          <w:rFonts w:ascii="Arial" w:cs="Arial" w:eastAsia="Arial" w:hAnsi="Arial"/>
          <w:sz w:val="18"/>
          <w:szCs w:val="18"/>
          <w:color w:val="auto"/>
        </w:rPr>
        <w:t>IF WE ARE UNABLE TO OBTAIN NECESSARY LICENSES TO THIRD PARTY PATENTS AND OTHER RIGHTS, WE MAY NOT BE ABLE TO COMMERCIALLY DEVELOP OUR EXPECTED PRODUCTS.</w:t>
      </w:r>
    </w:p>
    <w:p>
      <w:pPr>
        <w:spacing w:after="0" w:line="186" w:lineRule="exact"/>
        <w:rPr>
          <w:sz w:val="20"/>
          <w:szCs w:val="20"/>
          <w:color w:val="auto"/>
        </w:rPr>
      </w:pPr>
    </w:p>
    <w:p>
      <w:pPr>
        <w:ind w:right="100" w:firstLine="210"/>
        <w:spacing w:after="0" w:line="294" w:lineRule="auto"/>
        <w:rPr>
          <w:sz w:val="20"/>
          <w:szCs w:val="20"/>
          <w:color w:val="auto"/>
        </w:rPr>
      </w:pPr>
      <w:r>
        <w:rPr>
          <w:rFonts w:ascii="Arial" w:cs="Arial" w:eastAsia="Arial" w:hAnsi="Arial"/>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170" w:lineRule="exact"/>
        <w:rPr>
          <w:sz w:val="20"/>
          <w:szCs w:val="20"/>
          <w:color w:val="auto"/>
        </w:rPr>
      </w:pPr>
    </w:p>
    <w:p>
      <w:pPr>
        <w:ind w:right="180" w:firstLine="216"/>
        <w:spacing w:after="0" w:line="256"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COMPETE WITH COMPANIES THAT HAVE SIGNIFICANT ADVANTAGES OVER US.</w:t>
      </w:r>
    </w:p>
    <w:p>
      <w:pPr>
        <w:spacing w:after="0" w:line="225" w:lineRule="exact"/>
        <w:rPr>
          <w:sz w:val="20"/>
          <w:szCs w:val="20"/>
          <w:color w:val="auto"/>
        </w:rPr>
      </w:pPr>
    </w:p>
    <w:p>
      <w:pPr>
        <w:ind w:right="20" w:firstLine="216"/>
        <w:spacing w:after="0" w:line="307" w:lineRule="auto"/>
        <w:rPr>
          <w:sz w:val="20"/>
          <w:szCs w:val="20"/>
          <w:color w:val="auto"/>
        </w:rPr>
      </w:pPr>
      <w:r>
        <w:rPr>
          <w:rFonts w:ascii="Arial" w:cs="Arial" w:eastAsia="Arial" w:hAnsi="Arial"/>
          <w:sz w:val="15"/>
          <w:szCs w:val="15"/>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and Pharmacia Corp., have at least one clinical trial for Parkinson’s disease in progress at some phase, and some have more than one. At least seven companies already have products on the market. We expect competition to increase. In general, we believe that our most significant competitors will be fully integrated pharmaceutical companies and more established biotechnology companies, such as Biogen, Inc., Genzyme and Celgene.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Athersys, Titan Pharmaceutricals, Vesta Therapeutics, Layton Bioscience Inc., NueralStem Biopharmaceuticals, NeuroNova, and ReNeuron and with universities and other research institutions who are developing treatments for degenerative diseases that are stem cell-based.</w:t>
      </w:r>
    </w:p>
    <w:p>
      <w:pPr>
        <w:spacing w:after="0" w:line="166" w:lineRule="exact"/>
        <w:rPr>
          <w:sz w:val="20"/>
          <w:szCs w:val="20"/>
          <w:color w:val="auto"/>
        </w:rPr>
      </w:pPr>
    </w:p>
    <w:p>
      <w:pPr>
        <w:ind w:right="500" w:firstLine="220"/>
        <w:spacing w:after="0" w:line="268" w:lineRule="auto"/>
        <w:rPr>
          <w:sz w:val="20"/>
          <w:szCs w:val="20"/>
          <w:color w:val="auto"/>
        </w:rPr>
      </w:pPr>
      <w:r>
        <w:rPr>
          <w:rFonts w:ascii="Arial" w:cs="Arial" w:eastAsia="Arial" w:hAnsi="Arial"/>
          <w:sz w:val="18"/>
          <w:szCs w:val="18"/>
          <w:color w:val="auto"/>
        </w:rPr>
        <w:t>Our competitors may succeed in developing technologies and products that are more effective than the ones we are developing, or that would render our technology obsolete or non-competitive.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216"/>
        <w:spacing w:after="0" w:line="306" w:lineRule="auto"/>
        <w:rPr>
          <w:sz w:val="20"/>
          <w:szCs w:val="20"/>
          <w:color w:val="auto"/>
        </w:rPr>
      </w:pPr>
      <w:r>
        <w:rPr>
          <w:rFonts w:ascii="Arial" w:cs="Arial" w:eastAsia="Arial" w:hAnsi="Arial"/>
          <w:sz w:val="16"/>
          <w:szCs w:val="16"/>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61"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DEVELOPMENT OF OUR TECHNOLOGY IS SUBJECT TO AND RESTRICTED BY EXTENSIVE GOVERNMENT REGULATION, WHICH COULD IMPEDE OUR BUSINESS.</w:t>
      </w:r>
    </w:p>
    <w:p>
      <w:pPr>
        <w:spacing w:after="0" w:line="186" w:lineRule="exact"/>
        <w:rPr>
          <w:sz w:val="20"/>
          <w:szCs w:val="20"/>
          <w:color w:val="auto"/>
        </w:rPr>
      </w:pPr>
    </w:p>
    <w:p>
      <w:pPr>
        <w:ind w:right="100" w:firstLine="220"/>
        <w:spacing w:after="0" w:line="291" w:lineRule="auto"/>
        <w:rPr>
          <w:sz w:val="20"/>
          <w:szCs w:val="20"/>
          <w:color w:val="auto"/>
        </w:rPr>
      </w:pPr>
      <w:r>
        <w:rPr>
          <w:rFonts w:ascii="Arial" w:cs="Arial" w:eastAsia="Arial" w:hAnsi="Arial"/>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74"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0" w:lineRule="exact"/>
        <w:rPr>
          <w:sz w:val="20"/>
          <w:szCs w:val="20"/>
          <w:color w:val="auto"/>
        </w:rPr>
      </w:pPr>
    </w:p>
    <w:p>
      <w:pPr>
        <w:ind w:right="80" w:firstLine="210"/>
        <w:spacing w:after="0" w:line="290" w:lineRule="auto"/>
        <w:rPr>
          <w:sz w:val="20"/>
          <w:szCs w:val="20"/>
          <w:color w:val="auto"/>
        </w:rPr>
      </w:pPr>
      <w:r>
        <w:rPr>
          <w:rFonts w:ascii="Arial" w:cs="Arial" w:eastAsia="Arial" w:hAnsi="Arial"/>
          <w:sz w:val="16"/>
          <w:szCs w:val="16"/>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72" w:lineRule="exact"/>
        <w:rPr>
          <w:sz w:val="20"/>
          <w:szCs w:val="20"/>
          <w:color w:val="auto"/>
        </w:rPr>
      </w:pPr>
    </w:p>
    <w:p>
      <w:pPr>
        <w:ind w:right="120" w:firstLine="216"/>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us from obtaining some or all of the benefits of the existing statute even if we were to apply for and be granted orphan drug status with respect to a potential product.</w:t>
      </w:r>
    </w:p>
    <w:p>
      <w:pPr>
        <w:spacing w:after="0" w:line="186"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IF WE LOSE THE SERVICES OF KEY PERSONNEL OR ARE UNABLE TO ATTRACT AND RETAIN ADDITIONAL QUALIFIED PERSONNEL, WE MAY HAVE TO DELAY, REDUCE OR ELIMINATE SOME OR ALL OF OUR RESEARCH AND DEVELOPMENT PROGRAMS.</w:t>
      </w:r>
    </w:p>
    <w:p>
      <w:pPr>
        <w:spacing w:after="0" w:line="139" w:lineRule="exact"/>
        <w:rPr>
          <w:sz w:val="20"/>
          <w:szCs w:val="20"/>
          <w:color w:val="auto"/>
        </w:rPr>
      </w:pPr>
    </w:p>
    <w:p>
      <w:pPr>
        <w:ind w:right="120" w:firstLine="216"/>
        <w:spacing w:after="0" w:line="254"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98" w:lineRule="exact"/>
        <w:rPr>
          <w:sz w:val="20"/>
          <w:szCs w:val="20"/>
          <w:color w:val="auto"/>
        </w:rPr>
      </w:pPr>
    </w:p>
    <w:p>
      <w:pPr>
        <w:ind w:right="740" w:firstLine="220"/>
        <w:spacing w:after="0" w:line="268" w:lineRule="auto"/>
        <w:rPr>
          <w:sz w:val="20"/>
          <w:szCs w:val="20"/>
          <w:color w:val="auto"/>
        </w:rPr>
      </w:pPr>
      <w:r>
        <w:rPr>
          <w:rFonts w:ascii="Arial" w:cs="Arial" w:eastAsia="Arial" w:hAnsi="Arial"/>
          <w:sz w:val="18"/>
          <w:szCs w:val="18"/>
          <w:color w:val="auto"/>
        </w:rPr>
        <w:t>SINCE HEALTH CARE INSURERS AND OTHER ORGANIZATIONS MAY NOT PAY FOR OUR PRODUCTS OR MAY IMPOSE LIMITS ON REIMBURSEMENTS, OUR ABILITY TO BECOME PROFITABLE MAY BE REDUCED.</w:t>
      </w:r>
    </w:p>
    <w:p>
      <w:pPr>
        <w:spacing w:after="0" w:line="186" w:lineRule="exact"/>
        <w:rPr>
          <w:sz w:val="20"/>
          <w:szCs w:val="20"/>
          <w:color w:val="auto"/>
        </w:rPr>
      </w:pPr>
    </w:p>
    <w:p>
      <w:pPr>
        <w:ind w:right="140" w:firstLine="220"/>
        <w:spacing w:after="0" w:line="288"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7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WE HAVE LIMITED LIQUIDITY AND CAPITAL RESOURCES AND MAY NOT OBTAIN THE SIGNIFICANT CAPITAL RESOURCES WE WILL NEED TO SUSTAIN OUR RESEARCH AND DEVELOPMENT EFFORTS.</w:t>
      </w:r>
    </w:p>
    <w:p>
      <w:pPr>
        <w:spacing w:after="0" w:line="186"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0"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170" w:lineRule="exact"/>
        <w:rPr>
          <w:sz w:val="20"/>
          <w:szCs w:val="20"/>
          <w:color w:val="auto"/>
        </w:rPr>
      </w:pPr>
    </w:p>
    <w:p>
      <w:pPr>
        <w:ind w:right="220" w:firstLine="216"/>
        <w:spacing w:after="0" w:line="268" w:lineRule="auto"/>
        <w:rPr>
          <w:sz w:val="20"/>
          <w:szCs w:val="20"/>
          <w:color w:val="auto"/>
        </w:rPr>
      </w:pPr>
      <w:r>
        <w:rPr>
          <w:rFonts w:ascii="Arial" w:cs="Arial" w:eastAsia="Arial" w:hAnsi="Arial"/>
          <w:sz w:val="18"/>
          <w:szCs w:val="18"/>
          <w:color w:val="auto"/>
        </w:rPr>
        <w:t>WE MAY BE DELISTED FROM THE NASDAQ SMALLCAP MARKET IF WE DO NOT MEET THE MAINTENANCE CRITERIA, WHICH COULD ELIMINATE THE TRADING MARKET FOR OUR COMMON STOCK.</w:t>
      </w:r>
    </w:p>
    <w:p>
      <w:pPr>
        <w:spacing w:after="0" w:line="186"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color w:val="auto"/>
        </w:rPr>
        <w:t>Our common stock is quoted on the Nasdaq SmallCap Market. In order to continue to be included in the Nasdaq SmallCap Market, a company must meet Nasdaq’s maintenance criteria. The maintenance criteria most applicable to us requires a minimum bid price of $1.00 per share and, additionally, we must maintain $2.5 million in stockholders’ equity. At March 31, 2003 our stockholders’ equity was $1,208,611 which was not in compliance with the minimum stockholders’ equity requirement for continued listing on the Nasdaq SmallCap Market. As a result of the agreement on April 9, 2003 with The Riverview Group, LLC, to convert 2,000 shares of its 3% convertible preferred shares with a face value of $2,000,000 into 2,521,042 shares of common stock and the May 15, 2003 issuance of 4,000,000 shares of common stock and warrants to purchase 1,898,000 shares of common stock to The Riverview Group for total consideration of $6.5 million, we expect to regain compliance with the minimum stockholders’ equity requirement for continued listing on the Nasdaq SmallCap Market. However, it would be the decision of Nasdaq’s Listing Qualifications Panel whether we have regained compliance with the minimum stockholders’ equity requirement for continued listing on the Nasdaq SmallCap Market. Failure to meet these maintenance criteria may result in the delisting of our common stock from the Nasdaq SmallCap Market. The delisting of our common stock from the Nasdaq SmallCap Market (should we fail to meet its continued listing requirements) could adversely affect the market price and market liquidity of our common stock. If our common stock were delisted, in order to have our common stock relisted on the Nasdaq SmallCap Market we would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be required to meet the criteria for initial listing, which are more stringent than the maintenance criteria. In addition, if we were delisted from the Nasdaq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67"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If our common stock were delisted from the Nasdaq SmallCap Market, we would not be able to draw down any additional funds on our existing equity line, and we also might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p>
      <w:pPr>
        <w:spacing w:after="0" w:line="197" w:lineRule="exact"/>
        <w:rPr>
          <w:sz w:val="20"/>
          <w:szCs w:val="20"/>
          <w:color w:val="auto"/>
        </w:rPr>
      </w:pPr>
    </w:p>
    <w:p>
      <w:pPr>
        <w:ind w:right="840" w:firstLine="216"/>
        <w:spacing w:after="0" w:line="268" w:lineRule="auto"/>
        <w:rPr>
          <w:sz w:val="20"/>
          <w:szCs w:val="20"/>
          <w:color w:val="auto"/>
        </w:rPr>
      </w:pPr>
      <w:r>
        <w:rPr>
          <w:rFonts w:ascii="Arial" w:cs="Arial" w:eastAsia="Arial" w:hAnsi="Arial"/>
          <w:sz w:val="18"/>
          <w:szCs w:val="18"/>
          <w:color w:val="auto"/>
        </w:rPr>
        <w:t>THE SALE AND ISSUANCE OF THE 3% CUMULATIVE CONVERTIBLE PREFERRED STOCK WILL HAVE AN IMPACT TO EARNINGS AVAILABLE TO COMMON STOCKHOLDERS.</w:t>
      </w:r>
    </w:p>
    <w:p>
      <w:pPr>
        <w:spacing w:after="0" w:line="186"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Of the proceeds from our sale of the 3% cumulative convertible preferred stock in 2001, approximately $3.1 million was allocated to the common stock warrants and the conversion feature included with the subscription agreements, and was reflected as an increase to additional paid-in capital and a decrease to the 3% cumulative convertible preferred stock. This $3.1 million is being accreted to the preferred stock over the term of the redemption period. This accretion, along with the preferred stock dividends, will increase the net loss (reduce the net income) available to common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not receive any of the proceeds from the resale of shares offered by the selling stockholder under this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SELLING STOCKHOLDER</w:t>
      </w:r>
    </w:p>
    <w:p>
      <w:pPr>
        <w:spacing w:after="0" w:line="225"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The Riverview Group, LLC, a wholly owned subsidiary of Millennium Partners, L.P., will be selling shares in this offering. The Riverview Group initially acquired such shares in connection with two separate transactions.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jc w:val="both"/>
        <w:ind w:right="100" w:firstLine="220"/>
        <w:spacing w:after="0" w:line="298" w:lineRule="auto"/>
        <w:rPr>
          <w:sz w:val="20"/>
          <w:szCs w:val="20"/>
          <w:color w:val="auto"/>
        </w:rPr>
      </w:pPr>
      <w:r>
        <w:rPr>
          <w:rFonts w:ascii="Arial" w:cs="Arial" w:eastAsia="Arial" w:hAnsi="Arial"/>
          <w:sz w:val="16"/>
          <w:szCs w:val="16"/>
          <w:color w:val="auto"/>
        </w:rPr>
        <w:t>On December 4, 2001, we issued 5,000 shares of redeemable 3% Cumulative Convertible Preferred Stock to The Riverview Group. The preferred stock was convertible into shares of our common stock at a conversion price of $2.00 per share of common stock. Also on December 4, 2001, we issued to The Riverview Group a warrant to purchase 350,877 shares of our common stock at a price of $3.42 per share. The warrant expires on December 4, 2005. The Riverview Group is not permitted to convert the preferred stock or exercise the warrant to the extent that,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following the conversion or exercise, Millennium and/or The Riverview Group would have aggregate beneficial ownership of our common stock in excess of 9.99%. The final closing price on the NASDAQ National Market of our common stock on December 4, 2001 was $2.90 per share. For accounting purposes, the value of the conversion feature of the preferred stock and the warrant was treated as a deemed dividend to holders as of December 4, 2001, and we will reflect the deemed dividend as an adjustment to net income (loss) applicable to common stockholders. On December 4, 2001, we also entered into a Registration Rights Agreement with The Riverview Group, under which we agreed to register for resale the shares of common stock issuable upon conversion of the preferred stock. Pursuant to that agreement, in January 2002 we filed a registration statement on Form S-3, registering 3,851,002 shares of common stock for resale by The Riverview Group.</w:t>
      </w:r>
    </w:p>
    <w:p>
      <w:pPr>
        <w:spacing w:after="0" w:line="201" w:lineRule="exact"/>
        <w:rPr>
          <w:sz w:val="20"/>
          <w:szCs w:val="20"/>
          <w:color w:val="auto"/>
        </w:rPr>
      </w:pPr>
    </w:p>
    <w:p>
      <w:pPr>
        <w:ind w:right="20" w:firstLine="220"/>
        <w:spacing w:after="0" w:line="254" w:lineRule="auto"/>
        <w:rPr>
          <w:sz w:val="20"/>
          <w:szCs w:val="20"/>
          <w:color w:val="auto"/>
        </w:rPr>
      </w:pPr>
      <w:r>
        <w:rPr>
          <w:rFonts w:ascii="Arial" w:cs="Arial" w:eastAsia="Arial" w:hAnsi="Arial"/>
          <w:sz w:val="18"/>
          <w:szCs w:val="18"/>
          <w:color w:val="auto"/>
        </w:rPr>
        <w:t>On April 9, 2003, we agreed with The Riverview Group to reduce the conversion price of the preferred stock to $.80 per share for a short period of time, with The Riverview Group agreeing to immediately convert 2,000 shares of preferred stock at the reduced price. Upon conversion of the 2,000 shares of preferred stock, The Riverview Group received 2,521,042 shares of common stock, including accrued and unpaid dividends. As a result of the change in the conversion price, we will record a deemed dividend to preferred shareholders of approximately $1,000,000 in the second quarter of 2003. The conversion price on the remaining 2,000 shares of preferred stock is still $2.00 per share of common stock, subject to adjustment for stock splits, dividends, distributions, reclassifications and similar events.</w:t>
      </w:r>
    </w:p>
    <w:p>
      <w:pPr>
        <w:spacing w:after="0" w:line="198"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Pursuant to the agreement of April 9, 2003, as amended, and the December 4, 2001 Registration Rights Agreement, we are filing this additional registration statement, registering for resale 1,250,000 shares of common stock issuable upon conversion of the preferred stock because the registration statement filed in January 2002 is no longer adequate to cover all of the shares of common stock issuable upon conversion of the preferred stock held by The Riverview Group and any dividends paid with respect to the preferred stock in common stock.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 and Warrant Financing</w:t>
      </w:r>
    </w:p>
    <w:p>
      <w:pPr>
        <w:spacing w:after="0" w:line="231"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On May 7, 2003 we entered into a stock purchase agreement with The Riverview Group to issue 4,000,000 shares of common stock and a warrant to purchase 1,898,000 shares of common stock at $1.50 per share for total consideration of $6.5 million. The warrant is exercisable through May 15, 2005. The Riverview Group is not permitted to exercise the warrant to the extent that, following such exercise, Millennium and/or The Riverview Group would have aggregate beneficial ownership of our common stock in excess of 9.99%. We issued the shares of common stock and the warrant in exchange for the $6.5 million on May 15, 2003. In a Registration Rights Agreement dated as of May 15, 2003, we agreed to register 6,000,000 shares of common stock for resale by The Riverview Group in connection with this transaction.</w:t>
      </w:r>
    </w:p>
    <w:p>
      <w:pPr>
        <w:spacing w:after="0" w:line="198" w:lineRule="exact"/>
        <w:rPr>
          <w:sz w:val="20"/>
          <w:szCs w:val="20"/>
          <w:color w:val="auto"/>
        </w:rPr>
      </w:pPr>
    </w:p>
    <w:p>
      <w:pPr>
        <w:ind w:right="180" w:firstLine="216"/>
        <w:spacing w:after="0" w:line="306" w:lineRule="auto"/>
        <w:rPr>
          <w:sz w:val="20"/>
          <w:szCs w:val="20"/>
          <w:color w:val="auto"/>
        </w:rPr>
      </w:pPr>
      <w:r>
        <w:rPr>
          <w:rFonts w:ascii="Arial" w:cs="Arial" w:eastAsia="Arial" w:hAnsi="Arial"/>
          <w:sz w:val="16"/>
          <w:szCs w:val="16"/>
          <w:color w:val="auto"/>
        </w:rPr>
        <w:t>The following table shows information regarding the beneficial ownership of our capital stock for the selling stockholder prior to and after this offering assuming it sells all of the shares. We have determined beneficial ownership in the table in accordance with the rules of the Securities Exchange Commission as more specifically described in the notes below. In computing the number of shares beneficially owned by the selling stockholder we have deemed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be outstanding shares of common stock issuable under warrants held by the selling stockholder which are currently exercisable or will become exercisable within 60 days of the date of this prospectus. To our knowledge, the selling stockholder possesses sole voting and investment power with respect to all shares of common stock shown as beneficially owned by it.</w:t>
      </w:r>
    </w:p>
    <w:p>
      <w:pPr>
        <w:spacing w:after="0" w:line="200" w:lineRule="exact"/>
        <w:rPr>
          <w:sz w:val="20"/>
          <w:szCs w:val="20"/>
          <w:color w:val="auto"/>
        </w:r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SHARES OF COMMON</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STOCK BENEFICIALLY</w:t>
            </w: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SHARES OF COMMON STOCK</w:t>
            </w:r>
          </w:p>
        </w:tc>
      </w:t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 BEFORE</w:t>
            </w: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BENEFICIALLY OWNED AFTER</w:t>
            </w:r>
          </w:p>
        </w:tc>
      </w:tr>
      <w:tr>
        <w:trPr>
          <w:trHeight w:val="174"/>
        </w:trPr>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THIS OFFERING</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OF</w:t>
            </w:r>
          </w:p>
        </w:tc>
        <w:tc>
          <w:tcPr>
            <w:tcW w:w="14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THIS OFFERING (4)</w:t>
            </w:r>
          </w:p>
        </w:tc>
      </w:tr>
      <w:tr>
        <w:trPr>
          <w:trHeight w:val="95"/>
        </w:trPr>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237"/>
        </w:trPr>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100" w:type="dxa"/>
            <w:vAlign w:val="bottom"/>
          </w:tcPr>
          <w:p>
            <w:pPr>
              <w:spacing w:after="0"/>
              <w:rPr>
                <w:sz w:val="20"/>
                <w:szCs w:val="20"/>
                <w:color w:val="auto"/>
              </w:rPr>
            </w:pPr>
          </w:p>
        </w:tc>
      </w:tr>
      <w:tr>
        <w:trPr>
          <w:trHeight w:val="174"/>
        </w:trPr>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SELLING STOCKHOLDER</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NUMBER OF SHARES</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STOCK OFFERED</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149"/>
        </w:trPr>
        <w:tc>
          <w:tcPr>
            <w:tcW w:w="1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69"/>
        </w:trPr>
        <w:tc>
          <w:tcPr>
            <w:tcW w:w="2100" w:type="dxa"/>
            <w:vAlign w:val="bottom"/>
            <w:gridSpan w:val="2"/>
          </w:tcPr>
          <w:p>
            <w:pPr>
              <w:spacing w:after="0"/>
              <w:rPr>
                <w:sz w:val="20"/>
                <w:szCs w:val="20"/>
                <w:color w:val="auto"/>
              </w:rPr>
            </w:pPr>
            <w:r>
              <w:rPr>
                <w:rFonts w:ascii="Arial" w:cs="Arial" w:eastAsia="Arial" w:hAnsi="Arial"/>
                <w:sz w:val="18"/>
                <w:szCs w:val="18"/>
                <w:color w:val="auto"/>
                <w:w w:val="98"/>
              </w:rPr>
              <w:t>The Riverview Group, LLC</w:t>
            </w: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2"/>
        </w:trPr>
        <w:tc>
          <w:tcPr>
            <w:tcW w:w="1980" w:type="dxa"/>
            <w:vAlign w:val="bottom"/>
          </w:tcPr>
          <w:p>
            <w:pPr>
              <w:ind w:lef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20" w:type="dxa"/>
            <w:vAlign w:val="bottom"/>
          </w:tcPr>
          <w:p>
            <w:pPr>
              <w:jc w:val="right"/>
              <w:ind w:right="429"/>
              <w:spacing w:after="0"/>
              <w:rPr>
                <w:sz w:val="20"/>
                <w:szCs w:val="20"/>
                <w:color w:val="auto"/>
              </w:rPr>
            </w:pPr>
            <w:r>
              <w:rPr>
                <w:rFonts w:ascii="Arial" w:cs="Arial" w:eastAsia="Arial" w:hAnsi="Arial"/>
                <w:sz w:val="18"/>
                <w:szCs w:val="18"/>
                <w:color w:val="auto"/>
              </w:rPr>
              <w:t>7,441,115(2)</w:t>
            </w:r>
          </w:p>
        </w:tc>
        <w:tc>
          <w:tcPr>
            <w:tcW w:w="1960" w:type="dxa"/>
            <w:vAlign w:val="bottom"/>
            <w:gridSpan w:val="2"/>
          </w:tcPr>
          <w:p>
            <w:pPr>
              <w:jc w:val="right"/>
              <w:ind w:right="332"/>
              <w:spacing w:after="0"/>
              <w:rPr>
                <w:sz w:val="20"/>
                <w:szCs w:val="20"/>
                <w:color w:val="auto"/>
              </w:rPr>
            </w:pPr>
            <w:r>
              <w:rPr>
                <w:rFonts w:ascii="Arial" w:cs="Arial" w:eastAsia="Arial" w:hAnsi="Arial"/>
                <w:sz w:val="18"/>
                <w:szCs w:val="18"/>
                <w:color w:val="auto"/>
              </w:rPr>
              <w:t>7,250,000(3)</w:t>
            </w:r>
          </w:p>
        </w:tc>
        <w:tc>
          <w:tcPr>
            <w:tcW w:w="13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191,115</w:t>
            </w:r>
          </w:p>
        </w:tc>
        <w:tc>
          <w:tcPr>
            <w:tcW w:w="1100" w:type="dxa"/>
            <w:vAlign w:val="bottom"/>
          </w:tcPr>
          <w:p>
            <w:pPr>
              <w:jc w:val="right"/>
              <w:ind w:right="222"/>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class.</w:t>
      </w:r>
    </w:p>
    <w:p>
      <w:pPr>
        <w:spacing w:after="0" w:line="225" w:lineRule="exact"/>
        <w:rPr>
          <w:sz w:val="20"/>
          <w:szCs w:val="20"/>
          <w:color w:val="auto"/>
        </w:rPr>
      </w:pPr>
    </w:p>
    <w:p>
      <w:pPr>
        <w:ind w:left="540" w:right="40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The Riverview Group, LLC is 666 Fifth Avenue, New York, New York 10103. The Riverview Group is a wholly owned subsidiary of Millennium Partners, L.P.</w:t>
      </w:r>
    </w:p>
    <w:p>
      <w:pPr>
        <w:spacing w:after="0" w:line="185" w:lineRule="exact"/>
        <w:rPr>
          <w:rFonts w:ascii="Arial" w:cs="Arial" w:eastAsia="Arial" w:hAnsi="Arial"/>
          <w:sz w:val="18"/>
          <w:szCs w:val="18"/>
          <w:color w:val="auto"/>
        </w:rPr>
      </w:pPr>
    </w:p>
    <w:p>
      <w:pPr>
        <w:ind w:left="540" w:right="80" w:hanging="532"/>
        <w:spacing w:after="0" w:line="28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4,000,000 shares of outstanding common stock, which is the number of shares owned by either Millennium or The Riverview Group as reported on a Schedule 13G/A filed with the Securities and Exchange Commission by Millennium on May 27, 2003; plus 2,441,115 shares of common stock issuable upon exercise of warrants held by either Millennium or The Riverview Group; plus 1,000,000 shares of common stock issuable upon conversion of 2,000 shares of 3% Cumulative Convertible Preferred Stock owned by The Riverview Group. These totals include the shares of common stock and the warrant to purchase 1,898,000 shares of common stock issued to The Riverview Group on May 15, 2003. In determining how many shares of common stock are issuable upon conversion of the outstanding 3% Cumulative Convertible Preferred Stock and upon exercise of all of the outstanding warrants, we have not taken into consideration the application of the 9.99% limitations contained in such securities, which prevents The Riverview Group and Millennium from exercising warrants or converting such preferred stock to the extent that, following such exercise or conversion, Millennium and/or The Riverview Group would have aggregate beneficial ownership in excess of 9.99%. Millennium and The Riverview Group expressly disclaim beneficial ownership of the shares of common stock issuable upon conversion of the preferred stock or exercise of the warrants.</w:t>
      </w:r>
    </w:p>
    <w:p>
      <w:pPr>
        <w:spacing w:after="0" w:line="176" w:lineRule="exact"/>
        <w:rPr>
          <w:rFonts w:ascii="Arial" w:cs="Arial" w:eastAsia="Arial" w:hAnsi="Arial"/>
          <w:sz w:val="16"/>
          <w:szCs w:val="16"/>
          <w:color w:val="auto"/>
        </w:rPr>
      </w:pPr>
    </w:p>
    <w:p>
      <w:pPr>
        <w:ind w:left="540" w:right="20" w:hanging="532"/>
        <w:spacing w:after="0" w:line="303"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 described above, as part of the April 9, 2003 agreement with The Riverview Group, as amended, and as required by the Registration Rights Agreement we entered into with The Riverview Group on December 4, 2001, we agreed to register for resale 1,250,000 shares of common stock and we agreed to register for resale 6,000,000 shares of common stock pursuant to the Registration Rights Agreement we entered into with The Riverview Group on</w:t>
      </w:r>
    </w:p>
    <w:p>
      <w:pPr>
        <w:spacing w:after="0" w:line="1" w:lineRule="exact"/>
        <w:rPr>
          <w:rFonts w:ascii="Arial" w:cs="Arial" w:eastAsia="Arial" w:hAnsi="Arial"/>
          <w:sz w:val="15"/>
          <w:szCs w:val="15"/>
          <w:color w:val="auto"/>
        </w:rPr>
      </w:pPr>
    </w:p>
    <w:p>
      <w:pPr>
        <w:ind w:left="540" w:right="20"/>
        <w:spacing w:after="0" w:line="261" w:lineRule="auto"/>
        <w:rPr>
          <w:rFonts w:ascii="Arial" w:cs="Arial" w:eastAsia="Arial" w:hAnsi="Arial"/>
          <w:sz w:val="15"/>
          <w:szCs w:val="15"/>
          <w:color w:val="auto"/>
        </w:rPr>
      </w:pPr>
      <w:r>
        <w:rPr>
          <w:rFonts w:ascii="Arial" w:cs="Arial" w:eastAsia="Arial" w:hAnsi="Arial"/>
          <w:sz w:val="18"/>
          <w:szCs w:val="18"/>
          <w:color w:val="auto"/>
        </w:rPr>
        <w:t>May 15, 2003. Pursuant to these Registration Rights Agreements, we have agreed to register for resale by The Riverview Group a number of shares that is greater than the number of shares being acquired by The Riverview Group in the transactions described herein.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1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table assumes that the selling stockholder sells all of the shares offered by this prospectus and that the selling stockholder does not acquire additional shares of common stock before the completion of this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OF DISTRIBUTION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not receive any of the proceeds from the sale by the selling stockholder of the common stock offered hereby.</w:t>
      </w:r>
    </w:p>
    <w:p>
      <w:pPr>
        <w:spacing w:after="0" w:line="225" w:lineRule="exact"/>
        <w:rPr>
          <w:sz w:val="20"/>
          <w:szCs w:val="20"/>
          <w:color w:val="auto"/>
        </w:rPr>
      </w:pPr>
    </w:p>
    <w:p>
      <w:pPr>
        <w:ind w:right="700" w:firstLine="216"/>
        <w:spacing w:after="0" w:line="268" w:lineRule="auto"/>
        <w:rPr>
          <w:sz w:val="20"/>
          <w:szCs w:val="20"/>
          <w:color w:val="auto"/>
        </w:rPr>
      </w:pPr>
      <w:r>
        <w:rPr>
          <w:rFonts w:ascii="Arial" w:cs="Arial" w:eastAsia="Arial" w:hAnsi="Arial"/>
          <w:sz w:val="18"/>
          <w:szCs w:val="18"/>
          <w:color w:val="auto"/>
        </w:rPr>
        <w:t>The shares of the common stock offered hereby may be sold from time to time by the selling stockholder, or by pledgees, donees, transferees or other successors in interest:</w:t>
      </w:r>
    </w:p>
    <w:p>
      <w:pPr>
        <w:spacing w:after="0" w:line="186" w:lineRule="exact"/>
        <w:rPr>
          <w:sz w:val="20"/>
          <w:szCs w:val="20"/>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 on a best-efforts basis;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 combination of any such methods of sale; or</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manner permitted by law.</w:t>
      </w:r>
    </w:p>
    <w:p>
      <w:pPr>
        <w:spacing w:after="0" w:line="225" w:lineRule="exact"/>
        <w:rPr>
          <w:sz w:val="20"/>
          <w:szCs w:val="20"/>
          <w:color w:val="auto"/>
        </w:rPr>
      </w:pPr>
    </w:p>
    <w:p>
      <w:pPr>
        <w:ind w:right="100" w:firstLine="220"/>
        <w:spacing w:after="0" w:line="332" w:lineRule="auto"/>
        <w:rPr>
          <w:sz w:val="20"/>
          <w:szCs w:val="20"/>
          <w:color w:val="auto"/>
        </w:rPr>
      </w:pPr>
      <w:r>
        <w:rPr>
          <w:rFonts w:ascii="Arial" w:cs="Arial" w:eastAsia="Arial" w:hAnsi="Arial"/>
          <w:sz w:val="16"/>
          <w:szCs w:val="16"/>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139" w:lineRule="exact"/>
        <w:rPr>
          <w:sz w:val="20"/>
          <w:szCs w:val="20"/>
          <w:color w:val="auto"/>
        </w:rPr>
      </w:pPr>
    </w:p>
    <w:p>
      <w:pPr>
        <w:ind w:left="820" w:right="38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such exchange;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 without a broker or dealer;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manner permitted by law.</w:t>
      </w:r>
    </w:p>
    <w:p>
      <w:pPr>
        <w:spacing w:after="0" w:line="225"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In effecting sales, brokers or dealers engaged by the selling stockholder may arrange for other brokers or dealers to participate. Brokers or dealers will receive commissions or discounts from the selling stockholder in amounts to be negotiated prior to the sale. In addition, any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securities covered by this prospectus which qualify for sale pursuant to Rule 144 under the Securities Act of 1933 may be sold under Rule 144 rather than pursuant to this prospectus.</w:t>
      </w:r>
    </w:p>
    <w:p>
      <w:pPr>
        <w:spacing w:after="0" w:line="186"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In addition, the selling stockholder may engage in short sales and other transactions in the common stock or derivatives thereof, and may pledge, sell, deliver or otherwise transfer the common stock offered under this prospectus in connection with such transactions.</w:t>
      </w:r>
    </w:p>
    <w:p>
      <w:pPr>
        <w:spacing w:after="0" w:line="186" w:lineRule="exact"/>
        <w:rPr>
          <w:sz w:val="20"/>
          <w:szCs w:val="20"/>
          <w:color w:val="auto"/>
        </w:rPr>
      </w:pPr>
    </w:p>
    <w:p>
      <w:pPr>
        <w:ind w:right="80" w:firstLine="220"/>
        <w:spacing w:after="0" w:line="370" w:lineRule="auto"/>
        <w:rPr>
          <w:sz w:val="20"/>
          <w:szCs w:val="20"/>
          <w:color w:val="auto"/>
        </w:rPr>
      </w:pPr>
      <w:r>
        <w:rPr>
          <w:rFonts w:ascii="Arial" w:cs="Arial" w:eastAsia="Arial" w:hAnsi="Arial"/>
          <w:sz w:val="15"/>
          <w:szCs w:val="15"/>
          <w:color w:val="auto"/>
        </w:rPr>
        <w:t>If we are notified by the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16" w:lineRule="exact"/>
        <w:rPr>
          <w:sz w:val="20"/>
          <w:szCs w:val="20"/>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each selling stockholder and of the participating broker-dealer(s);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involved;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such shares were sold;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such broker-dealer(s), where applicable;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right="320" w:firstLine="216"/>
        <w:spacing w:after="0" w:line="268" w:lineRule="auto"/>
        <w:rPr>
          <w:sz w:val="20"/>
          <w:szCs w:val="20"/>
          <w:color w:val="auto"/>
        </w:rPr>
      </w:pPr>
      <w:r>
        <w:rPr>
          <w:rFonts w:ascii="Arial" w:cs="Arial" w:eastAsia="Arial" w:hAnsi="Arial"/>
          <w:sz w:val="18"/>
          <w:szCs w:val="18"/>
          <w:color w:val="auto"/>
        </w:rPr>
        <w:t>We have agreed to pay the cost of registering the shares covered by this prospectus and the costs of preparing this prospectus and the registration statement under which it is filed.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and the selling stockholder have agreed to indemnify one another against certain liabilities, including liabilities arising under the Securities Act.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MATTERS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validity of the shares of our common stock offered hereby will be passed upon for us by Ropes &amp; Gray LLP, Boston, Massachusetts.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EXPERTS</w:t>
      </w:r>
    </w:p>
    <w:p>
      <w:pPr>
        <w:spacing w:after="0" w:line="225"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Ernst &amp; Young LLP, independent auditors, have audited our consolidated financial statements included in our Annual Report on Form 10-K for the year ended December 31, 2002,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right="20" w:firstLine="216"/>
        <w:spacing w:after="0" w:line="308" w:lineRule="auto"/>
        <w:rPr>
          <w:sz w:val="20"/>
          <w:szCs w:val="20"/>
          <w:color w:val="auto"/>
        </w:rPr>
      </w:pPr>
      <w:r>
        <w:rPr>
          <w:rFonts w:ascii="Arial" w:cs="Arial" w:eastAsia="Arial" w:hAnsi="Arial"/>
          <w:sz w:val="15"/>
          <w:szCs w:val="15"/>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OF DOCUMENTS BY REFERENCE</w:t>
      </w:r>
    </w:p>
    <w:p>
      <w:pPr>
        <w:spacing w:after="0" w:line="225" w:lineRule="exact"/>
        <w:rPr>
          <w:sz w:val="20"/>
          <w:szCs w:val="20"/>
          <w:color w:val="auto"/>
        </w:rPr>
      </w:pPr>
    </w:p>
    <w:p>
      <w:pPr>
        <w:ind w:right="20" w:firstLine="21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197" w:lineRule="exact"/>
        <w:rPr>
          <w:sz w:val="20"/>
          <w:szCs w:val="20"/>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2002 (filed March 31, 2003);</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2003 (filed May 15, 2003);</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Proxy Statement for the Annual Meeting of Stockholders to be held on May 29, 2003 (filed April 22, 2003);</w:t>
      </w:r>
    </w:p>
    <w:p>
      <w:pPr>
        <w:spacing w:after="0" w:line="225" w:lineRule="exact"/>
        <w:rPr>
          <w:rFonts w:ascii="Arial" w:cs="Arial" w:eastAsia="Arial" w:hAnsi="Arial"/>
          <w:sz w:val="18"/>
          <w:szCs w:val="18"/>
          <w:color w:val="auto"/>
        </w:rPr>
      </w:pPr>
    </w:p>
    <w:p>
      <w:pPr>
        <w:ind w:left="820" w:right="420" w:hanging="461"/>
        <w:spacing w:after="0" w:line="26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dated April 9, 2003 (filed April 15, 2003), May 7, 2003 (filed May 13, 2003) and May 15, 2003 (filed May 15, 2003).</w:t>
      </w:r>
    </w:p>
    <w:p>
      <w:pPr>
        <w:spacing w:after="0" w:line="185" w:lineRule="exact"/>
        <w:rPr>
          <w:rFonts w:ascii="Arial" w:cs="Arial" w:eastAsia="Arial" w:hAnsi="Arial"/>
          <w:sz w:val="18"/>
          <w:szCs w:val="18"/>
          <w:color w:val="auto"/>
        </w:rPr>
      </w:pPr>
    </w:p>
    <w:p>
      <w:pPr>
        <w:ind w:left="820" w:right="180" w:hanging="461"/>
        <w:spacing w:after="0" w:line="33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320" w:hanging="46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(1) of Item 402 of Regulation S-K promulgated by the SEC).</w:t>
      </w:r>
    </w:p>
    <w:p>
      <w:pPr>
        <w:spacing w:after="0" w:line="194" w:lineRule="exact"/>
        <w:rPr>
          <w:sz w:val="20"/>
          <w:szCs w:val="20"/>
          <w:color w:val="auto"/>
        </w:rPr>
      </w:pPr>
    </w:p>
    <w:p>
      <w:pPr>
        <w:ind w:right="380" w:firstLine="216"/>
        <w:spacing w:after="0" w:line="335" w:lineRule="auto"/>
        <w:rPr>
          <w:sz w:val="20"/>
          <w:szCs w:val="20"/>
          <w:color w:val="auto"/>
        </w:rPr>
      </w:pPr>
      <w:r>
        <w:rPr>
          <w:rFonts w:ascii="Arial" w:cs="Arial" w:eastAsia="Arial" w:hAnsi="Arial"/>
          <w:sz w:val="15"/>
          <w:szCs w:val="15"/>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Telephone number: (650) 475-3100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NOT REQUIRED IN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14. OTHER EXPENSES OF ISSUANCE AND DISTRIBUTION.</w:t>
      </w:r>
    </w:p>
    <w:p>
      <w:pPr>
        <w:spacing w:after="0" w:line="225" w:lineRule="exact"/>
        <w:rPr>
          <w:sz w:val="20"/>
          <w:szCs w:val="20"/>
          <w:color w:val="auto"/>
        </w:rPr>
      </w:pPr>
    </w:p>
    <w:p>
      <w:pPr>
        <w:ind w:right="460" w:firstLine="216"/>
        <w:spacing w:after="0" w:line="268" w:lineRule="auto"/>
        <w:rPr>
          <w:sz w:val="20"/>
          <w:szCs w:val="20"/>
          <w:color w:val="auto"/>
        </w:rPr>
      </w:pPr>
      <w:r>
        <w:rPr>
          <w:rFonts w:ascii="Arial" w:cs="Arial" w:eastAsia="Arial" w:hAnsi="Arial"/>
          <w:sz w:val="18"/>
          <w:szCs w:val="18"/>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SEC registration fee</w:t>
            </w:r>
          </w:p>
        </w:tc>
        <w:tc>
          <w:tcPr>
            <w:tcW w:w="2080" w:type="dxa"/>
            <w:vAlign w:val="bottom"/>
            <w:gridSpan w:val="2"/>
            <w:shd w:val="clear" w:color="auto" w:fill="EEEEEE"/>
          </w:tcPr>
          <w:p>
            <w:pPr>
              <w:ind w:left="1720"/>
              <w:spacing w:after="0"/>
              <w:rPr>
                <w:sz w:val="20"/>
                <w:szCs w:val="20"/>
                <w:color w:val="auto"/>
              </w:rPr>
            </w:pPr>
            <w:r>
              <w:rPr>
                <w:rFonts w:ascii="Arial" w:cs="Arial" w:eastAsia="Arial" w:hAnsi="Arial"/>
                <w:sz w:val="18"/>
                <w:szCs w:val="18"/>
                <w:color w:val="auto"/>
                <w:w w:val="84"/>
              </w:rPr>
              <w:t>$898</w:t>
            </w:r>
          </w:p>
        </w:tc>
        <w:tc>
          <w:tcPr>
            <w:tcW w:w="180" w:type="dxa"/>
            <w:vAlign w:val="bottom"/>
            <w:shd w:val="clear" w:color="auto" w:fill="EEEEEE"/>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00" w:type="dxa"/>
            <w:vAlign w:val="bottom"/>
          </w:tcPr>
          <w:p>
            <w:pPr>
              <w:ind w:left="172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Legal fees and expenses</w:t>
            </w:r>
          </w:p>
        </w:tc>
        <w:tc>
          <w:tcPr>
            <w:tcW w:w="1800" w:type="dxa"/>
            <w:vAlign w:val="bottom"/>
            <w:shd w:val="clear" w:color="auto" w:fill="EEEEEE"/>
          </w:tcPr>
          <w:p>
            <w:pPr>
              <w:ind w:left="17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00" w:type="dxa"/>
            <w:vAlign w:val="bottom"/>
          </w:tcPr>
          <w:p>
            <w:pPr>
              <w:ind w:left="172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Miscellaneous</w:t>
            </w:r>
          </w:p>
        </w:tc>
        <w:tc>
          <w:tcPr>
            <w:tcW w:w="1800" w:type="dxa"/>
            <w:vAlign w:val="bottom"/>
            <w:shd w:val="clear" w:color="auto" w:fill="EEEEEE"/>
          </w:tcPr>
          <w:p>
            <w:pPr>
              <w:ind w:left="17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ind w:left="172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8"/>
        </w:trPr>
        <w:tc>
          <w:tcPr>
            <w:tcW w:w="4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61"/>
        </w:trPr>
        <w:tc>
          <w:tcPr>
            <w:tcW w:w="40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15. INDEMNIFICATION OF DIRECTORS AND OFFICERS.</w:t>
      </w:r>
    </w:p>
    <w:p>
      <w:pPr>
        <w:spacing w:after="0" w:line="225"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1"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161"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Section 145(8)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obtained insurance covering our directors and officers against certain liabilities.</w:t>
      </w:r>
    </w:p>
    <w:p>
      <w:pPr>
        <w:spacing w:after="0" w:line="225" w:lineRule="exact"/>
        <w:rPr>
          <w:sz w:val="20"/>
          <w:szCs w:val="20"/>
          <w:color w:val="auto"/>
        </w:rPr>
      </w:pPr>
    </w:p>
    <w:p>
      <w:pPr>
        <w:ind w:right="60" w:firstLine="220"/>
        <w:spacing w:after="0" w:line="283" w:lineRule="auto"/>
        <w:rPr>
          <w:sz w:val="20"/>
          <w:szCs w:val="20"/>
          <w:color w:val="auto"/>
        </w:rPr>
      </w:pPr>
      <w:r>
        <w:rPr>
          <w:rFonts w:ascii="Arial" w:cs="Arial" w:eastAsia="Arial" w:hAnsi="Arial"/>
          <w:sz w:val="16"/>
          <w:szCs w:val="16"/>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w:t>
      </w:r>
    </w:p>
    <w:p>
      <w:pPr>
        <w:spacing w:after="0" w:line="3" w:lineRule="exact"/>
        <w:rPr>
          <w:sz w:val="20"/>
          <w:szCs w:val="20"/>
          <w:color w:val="auto"/>
        </w:rPr>
      </w:pPr>
    </w:p>
    <w:p>
      <w:pPr>
        <w:ind w:right="140" w:firstLine="8"/>
        <w:spacing w:after="0" w:line="261"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2"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16. EXHIBITS AND FINANCIAL STATEMENT SCHEDULES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 The following exhibits are filed as part of this registration statement:</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6"/>
              </w:rPr>
              <w:t>Form of Warrant Certificate issued to a certain purchaser of the Registrant’s Common Stock in April 1995.</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4.3X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4.4X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4.5X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4.6X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4.7X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4.8X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4.9X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Callable Warrant, dated July 31, 2000,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88"/>
              </w:rPr>
              <w:t>Registration Rights Agreement dated as of May 10, 2001 between the Company and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4.13XXX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4.14XXX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4.15XXX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92"/>
              </w:rPr>
              <w:t>Certificate of Designations of the Powers, Preferences and Relative, Participating, Optional and Other Special</w:t>
            </w:r>
          </w:p>
        </w:tc>
      </w:tr>
      <w:tr>
        <w:trPr>
          <w:trHeight w:val="216"/>
        </w:trPr>
        <w:tc>
          <w:tcPr>
            <w:tcW w:w="840" w:type="dxa"/>
            <w:vAlign w:val="bottom"/>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92"/>
              </w:rPr>
              <w:t>Rights of Preferred Stock and Qualifications, Limitations and Restrictions Thereof of 3* Cumulative Convertible</w:t>
            </w:r>
          </w:p>
        </w:tc>
      </w:tr>
      <w:tr>
        <w:trPr>
          <w:trHeight w:val="222"/>
        </w:trPr>
        <w:tc>
          <w:tcPr>
            <w:tcW w:w="840" w:type="dxa"/>
            <w:vAlign w:val="bottom"/>
          </w:tcPr>
          <w:p>
            <w:pPr>
              <w:spacing w:after="0"/>
              <w:rPr>
                <w:sz w:val="19"/>
                <w:szCs w:val="19"/>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Preferred Stock for StemCells,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4.17[**]</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w w:val="98"/>
              </w:rPr>
              <w:t>4.18XXXX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Warrant to Purchase Common Stock—Cantor Fitzgerald &amp; Co.</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740" w:type="dxa"/>
            <w:vAlign w:val="bottom"/>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20" w:type="dxa"/>
            <w:vAlign w:val="bottom"/>
            <w:tcBorders>
              <w:bottom w:val="single" w:sz="8" w:color="808080"/>
            </w:tcBorders>
            <w:gridSpan w:val="2"/>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4.19[X]</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Warrant to Purchase Common Stock –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Opinion of Ropes &amp; Gray LLP.</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7"/>
              </w:rPr>
              <w:t>Amendment to Registration Rights dated as of February 14, 1992 among the Registrant and certain of its</w:t>
            </w:r>
          </w:p>
        </w:tc>
      </w:tr>
      <w:tr>
        <w:trPr>
          <w:trHeight w:val="222"/>
        </w:trPr>
        <w:tc>
          <w:tcPr>
            <w:tcW w:w="840" w:type="dxa"/>
            <w:vAlign w:val="bottom"/>
          </w:tcPr>
          <w:p>
            <w:pPr>
              <w:spacing w:after="0"/>
              <w:rPr>
                <w:sz w:val="19"/>
                <w:szCs w:val="19"/>
                <w:color w:val="auto"/>
              </w:rPr>
            </w:pP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stockholders.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9"/>
              </w:rPr>
              <w:t>Form of Agreement for Consulting Services between the Registrant and members of its Scientific Advisory Hoard.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2"/>
              </w:rPr>
              <w:t>Master Lease and Warrant Agreement dated April 23, 1991 between the Registrant and PacifiCorp Credit,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1988</w:t>
            </w:r>
          </w:p>
        </w:tc>
        <w:tc>
          <w:tcPr>
            <w:tcW w:w="7740" w:type="dxa"/>
            <w:vAlign w:val="bottom"/>
          </w:tcPr>
          <w:p>
            <w:pPr>
              <w:spacing w:after="0"/>
              <w:rPr>
                <w:sz w:val="20"/>
                <w:szCs w:val="20"/>
                <w:color w:val="auto"/>
              </w:rPr>
            </w:pPr>
            <w:r>
              <w:rPr>
                <w:rFonts w:ascii="Arial" w:cs="Arial" w:eastAsia="Arial" w:hAnsi="Arial"/>
                <w:sz w:val="18"/>
                <w:szCs w:val="18"/>
                <w:color w:val="auto"/>
              </w:rPr>
              <w:t>Stock Option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Equity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Stock Option Plan for Non-Employee Directors.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89"/>
              </w:rPr>
              <w:t>1992</w:t>
            </w:r>
          </w:p>
        </w:tc>
        <w:tc>
          <w:tcPr>
            <w:tcW w:w="7740" w:type="dxa"/>
            <w:vAlign w:val="bottom"/>
          </w:tcPr>
          <w:p>
            <w:pPr>
              <w:spacing w:after="0"/>
              <w:rPr>
                <w:sz w:val="20"/>
                <w:szCs w:val="20"/>
                <w:color w:val="auto"/>
              </w:rPr>
            </w:pPr>
            <w:r>
              <w:rPr>
                <w:rFonts w:ascii="Arial" w:cs="Arial" w:eastAsia="Arial" w:hAnsi="Arial"/>
                <w:sz w:val="18"/>
                <w:szCs w:val="18"/>
                <w:color w:val="auto"/>
              </w:rPr>
              <w:t>Employee Stock Purchase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8"/>
              </w:rPr>
              <w:t>Term Loan Agreement dated as of September 30, 1994 between The First National Bank of Boston and Registrant.</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88"/>
              </w:rPr>
              <w:t>Lease Agreement between the Registrant and Rhode Island Industrial Facilities Corporation, dated as of August 1,</w:t>
            </w:r>
          </w:p>
        </w:tc>
      </w:tr>
      <w:tr>
        <w:trPr>
          <w:trHeight w:val="222"/>
        </w:trPr>
        <w:tc>
          <w:tcPr>
            <w:tcW w:w="84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w w:val="79"/>
              </w:rPr>
              <w:t>1992.</w:t>
            </w:r>
          </w:p>
        </w:tc>
        <w:tc>
          <w:tcPr>
            <w:tcW w:w="77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w w:val="90"/>
              </w:rPr>
              <w:t>First Amendment to Lease Agreement between Registrant and The Rhode Island Industrial Facilities Corporation</w:t>
            </w:r>
          </w:p>
        </w:tc>
      </w:tr>
      <w:tr>
        <w:trPr>
          <w:trHeight w:val="222"/>
        </w:trPr>
        <w:tc>
          <w:tcPr>
            <w:tcW w:w="840" w:type="dxa"/>
            <w:vAlign w:val="bottom"/>
          </w:tcPr>
          <w:p>
            <w:pPr>
              <w:spacing w:after="0"/>
              <w:rPr>
                <w:sz w:val="19"/>
                <w:szCs w:val="19"/>
                <w:color w:val="auto"/>
              </w:rPr>
            </w:pPr>
          </w:p>
        </w:tc>
        <w:tc>
          <w:tcPr>
            <w:tcW w:w="8640" w:type="dxa"/>
            <w:vAlign w:val="bottom"/>
            <w:gridSpan w:val="3"/>
          </w:tcPr>
          <w:p>
            <w:pPr>
              <w:ind w:left="520"/>
              <w:spacing w:after="0"/>
              <w:rPr>
                <w:sz w:val="20"/>
                <w:szCs w:val="20"/>
                <w:color w:val="auto"/>
              </w:rPr>
            </w:pPr>
            <w:r>
              <w:rPr>
                <w:rFonts w:ascii="Arial" w:cs="Arial" w:eastAsia="Arial" w:hAnsi="Arial"/>
                <w:sz w:val="18"/>
                <w:szCs w:val="18"/>
                <w:color w:val="auto"/>
              </w:rPr>
              <w:t>dated as of September 15, 1994.</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8000" w:type="dxa"/>
            <w:vAlign w:val="bottom"/>
          </w:tcPr>
          <w:p>
            <w:pPr>
              <w:ind w:left="35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00" w:type="dxa"/>
            <w:vAlign w:val="bottom"/>
            <w:tcBorders>
              <w:bottom w:val="single" w:sz="8" w:color="808080"/>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Arial" w:cs="Arial" w:eastAsia="Arial" w:hAnsi="Arial"/>
                <w:sz w:val="18"/>
                <w:szCs w:val="18"/>
                <w:color w:val="auto"/>
                <w:w w:val="94"/>
              </w:rPr>
              <w:t>10.17**++++</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Development, Marketing and License Agreement, dated as of March 30, 1995 between Registrant and Astra AB.</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Form of Unit Purchase Agreement to be executed by the purchasers of the Common Stock and Warrants offered</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in April 1995.</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8"/>
              </w:rPr>
              <w:t>Form of Common Stock Purchase Agreement to be executed among the Registrant and certain purchasers of the</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Registrant’s Common Stock.</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1"/>
              </w:rPr>
              <w:t>Lease Agreement dated as of November 21, 1997 by and between Hub RI Properties Trust, as Landlord, and</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CytoTherapeutics, Inc., as Tenant.</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89"/>
              </w:rPr>
              <w:t>CTI individual stockholders option agreement dated as of July 10, 1996 among the Company and the individuals</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listed therein.</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0"/>
              </w:rPr>
              <w:t>CTI Valoria option agreement dated of July 10, 1996 between the Company and the Societe Financiers Valoria</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SA.</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Registrant.</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3"/>
              </w:rPr>
              <w:t>Agreement and Plan of Merger dated as of August 13, 1997 among StemCells, Inc., the Registrant and CTI</w:t>
            </w:r>
          </w:p>
        </w:tc>
      </w:tr>
      <w:tr>
        <w:trPr>
          <w:trHeight w:val="222"/>
        </w:trPr>
        <w:tc>
          <w:tcPr>
            <w:tcW w:w="980" w:type="dxa"/>
            <w:vAlign w:val="bottom"/>
          </w:tcPr>
          <w:p>
            <w:pPr>
              <w:spacing w:after="0"/>
              <w:rPr>
                <w:sz w:val="19"/>
                <w:szCs w:val="19"/>
                <w:color w:val="auto"/>
              </w:rPr>
            </w:pP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Acquisition Corp.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w w:val="95"/>
              </w:rPr>
              <w:t>Consulting Agreement dated as of September 25, 1997 between Dr. Irving Weissman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10.34****</w:t>
            </w:r>
          </w:p>
        </w:tc>
        <w:tc>
          <w:tcPr>
            <w:tcW w:w="8500" w:type="dxa"/>
            <w:vAlign w:val="bottom"/>
            <w:gridSpan w:val="2"/>
          </w:tcPr>
          <w:p>
            <w:pPr>
              <w:ind w:left="50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4"/>
              </w:rPr>
              <w:t>Employment Agreement dated as of September 25, 1997 between Dr. Richard M. Rose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3"/>
              </w:rPr>
              <w:t>Rights Agreement, dated as of July 27, 1998 between Bank Boston, N.A. as Rights Agent and the Registrant.</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0"/>
              </w:rPr>
              <w:t>Consulting Services Agreement dated as of July 27, 1998, as amended December 19, 1998 between Dr. John J.</w:t>
            </w:r>
          </w:p>
        </w:tc>
      </w:tr>
      <w:tr>
        <w:trPr>
          <w:trHeight w:val="222"/>
        </w:trPr>
        <w:tc>
          <w:tcPr>
            <w:tcW w:w="880" w:type="dxa"/>
            <w:vAlign w:val="bottom"/>
          </w:tcPr>
          <w:p>
            <w:pPr>
              <w:spacing w:after="0"/>
              <w:rPr>
                <w:sz w:val="19"/>
                <w:szCs w:val="19"/>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Schwartz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2"/>
              </w:rPr>
              <w:t>License Agreement dated as of October 27, 1998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2"/>
              </w:rPr>
              <w:t>License Agreement dated as of October 27, 1998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4"/>
              </w:rPr>
              <w:t>10.44%%**</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0"/>
              </w:rPr>
              <w:t>License Agreement dated as of November 20, 1998 between The Scripps Research Institute and the Registrant.</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w w:val="94"/>
              </w:rPr>
              <w:t>10.45%%**</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1"/>
              </w:rPr>
              <w:t>Purchase Agreement and License Agreement dated as of December 29, 1999 between Neurotech S.A. and the</w:t>
            </w:r>
          </w:p>
        </w:tc>
      </w:tr>
      <w:tr>
        <w:trPr>
          <w:trHeight w:val="222"/>
        </w:trPr>
        <w:tc>
          <w:tcPr>
            <w:tcW w:w="880" w:type="dxa"/>
            <w:vAlign w:val="bottom"/>
          </w:tcPr>
          <w:p>
            <w:pPr>
              <w:spacing w:after="0"/>
              <w:rPr>
                <w:sz w:val="19"/>
                <w:szCs w:val="19"/>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7"/>
              </w:rPr>
              <w:t>License Agreement, dated as of June 1999,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7"/>
              </w:rPr>
              <w:t>License Agreement, dated as of June 1999,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10.48X</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5"/>
              </w:rPr>
              <w:t>Form of Registration Rights Agreement, dated as of July 31, 2000, between StemCells, Inc. and investors.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10.49X</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95"/>
              </w:rPr>
              <w:t>Subscription Agreement, dated as of July 31, 2000, between StemCells, Inc. and Millennium Partners, L.P.</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10.50XXX</w:t>
            </w: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w w:val="89"/>
              </w:rPr>
              <w:t>Common Stock Purchase Agreement, dated as of May 10, 2001, between the Company and Sativum Investments</w:t>
            </w:r>
          </w:p>
        </w:tc>
      </w:tr>
      <w:tr>
        <w:trPr>
          <w:trHeight w:val="222"/>
        </w:trPr>
        <w:tc>
          <w:tcPr>
            <w:tcW w:w="880" w:type="dxa"/>
            <w:vAlign w:val="bottom"/>
          </w:tcPr>
          <w:p>
            <w:pPr>
              <w:spacing w:after="0"/>
              <w:rPr>
                <w:sz w:val="19"/>
                <w:szCs w:val="19"/>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Limited.</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100" w:type="dxa"/>
            <w:vAlign w:val="bottom"/>
          </w:tcPr>
          <w:p>
            <w:pPr>
              <w:ind w:left="3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09"/>
        </w:trPr>
        <w:tc>
          <w:tcPr>
            <w:tcW w:w="860" w:type="dxa"/>
            <w:vAlign w:val="bottom"/>
          </w:tcPr>
          <w:p>
            <w:pPr>
              <w:spacing w:after="0"/>
              <w:rPr>
                <w:sz w:val="20"/>
                <w:szCs w:val="20"/>
                <w:color w:val="auto"/>
              </w:rPr>
            </w:pPr>
            <w:r>
              <w:rPr>
                <w:rFonts w:ascii="Arial" w:cs="Arial" w:eastAsia="Arial" w:hAnsi="Arial"/>
                <w:sz w:val="18"/>
                <w:szCs w:val="18"/>
                <w:color w:val="auto"/>
              </w:rPr>
              <w:t>10.51XXX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1"/>
              </w:rPr>
              <w:t>Escrow Agreement, dated as of May 10, 2001, among the Company, Sativum Investments Limited and Epstein,</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Becker &amp; Green, P.C.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10.52XX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License Agreement, dated as of October 30, 2000, between the Company and Neuro Spheres Ltd.</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10.53XX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Letter Agreement, dated January 2, 2001, between the Company and Martin McGlynn.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10.54XX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7"/>
              </w:rPr>
              <w:t>Lease, dated February 1, 2001, between the Board of Trustees of Stanford University and the Company.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10.55XXX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8"/>
              </w:rPr>
              <w:t>Registration Rights Agreement, dated as of June 21, 2001, by and between the Company and Millennium Partners,</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L.P.</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10.56XXX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9"/>
              </w:rPr>
              <w:t>Subscription Agreement, dated as of June 21, 2001, by and between the Company and Millennium Partners, L.P.</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w w:val="90"/>
              </w:rPr>
              <w:t>10.57%%%</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2001 Equity Incentive Plan.</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10.58[**]</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3"/>
              </w:rPr>
              <w:t>Subscription Agreement dated as of December 4, 2001 between StemCells, Inc. and Riverview Group, L.L.C.</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10.59[**]</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3"/>
              </w:rPr>
              <w:t>Registration Rights Agreement dated as of December 4, 2001 between StemCells, Inc. and Riverview Group,</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L.L.C.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10.60[**]</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Agreement dated as of December 4, 2001 between StemCells, Inc. and Millennium Partners, L.P.</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10.61[**]</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88"/>
              </w:rPr>
              <w:t>Agreement dated as of December 4, 2001 among StemCells, Inc., Millennium Partners, L.P. and Riverview Group,</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L.L.C.</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10.62[***]</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Agreement dated as of April 9, 2003 between StemCells, Inc. and Riverview Group, L.L.C.</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10.63[X]</w:t>
            </w: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w w:val="92"/>
              </w:rPr>
              <w:t>Form of Registration Rights Agreement dated as of May 15, 2003 between StemCells, Inc. and The Riverview</w:t>
            </w:r>
          </w:p>
        </w:tc>
      </w:tr>
      <w:tr>
        <w:trPr>
          <w:trHeight w:val="222"/>
        </w:trPr>
        <w:tc>
          <w:tcPr>
            <w:tcW w:w="860" w:type="dxa"/>
            <w:vAlign w:val="bottom"/>
          </w:tcPr>
          <w:p>
            <w:pPr>
              <w:spacing w:after="0"/>
              <w:rPr>
                <w:sz w:val="19"/>
                <w:szCs w:val="19"/>
                <w:color w:val="auto"/>
              </w:rPr>
            </w:pPr>
          </w:p>
        </w:tc>
        <w:tc>
          <w:tcPr>
            <w:tcW w:w="8620" w:type="dxa"/>
            <w:vAlign w:val="bottom"/>
            <w:gridSpan w:val="2"/>
          </w:tcPr>
          <w:p>
            <w:pPr>
              <w:ind w:left="500"/>
              <w:spacing w:after="0"/>
              <w:rPr>
                <w:sz w:val="20"/>
                <w:szCs w:val="20"/>
                <w:color w:val="auto"/>
              </w:rPr>
            </w:pPr>
            <w:r>
              <w:rPr>
                <w:rFonts w:ascii="Arial" w:cs="Arial" w:eastAsia="Arial" w:hAnsi="Arial"/>
                <w:sz w:val="18"/>
                <w:szCs w:val="18"/>
                <w:color w:val="auto"/>
              </w:rPr>
              <w:t>Group, LLC</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8120" w:type="dxa"/>
            <w:vAlign w:val="bottom"/>
          </w:tcPr>
          <w:p>
            <w:pPr>
              <w:ind w:left="35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12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10.64[XX]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89"/>
              </w:rPr>
              <w:t>Securities Purchase Agreement dated as of May 7, 2003 between StemCells, Inc. and The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Consent of Ropes &amp; Gray LLP (included in the form of opinion filed as Exhibit 5.1).</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88"/>
              </w:rPr>
              <w:t>Power of Attorney pursuant to which amendments to this registration statement may be filed (contained on page II-</w:t>
            </w:r>
          </w:p>
        </w:tc>
      </w:tr>
      <w:tr>
        <w:trPr>
          <w:trHeight w:val="222"/>
        </w:trPr>
        <w:tc>
          <w:tcPr>
            <w:tcW w:w="840" w:type="dxa"/>
            <w:vAlign w:val="bottom"/>
          </w:tcPr>
          <w:p>
            <w:pPr>
              <w:spacing w:after="0"/>
              <w:rPr>
                <w:sz w:val="19"/>
                <w:szCs w:val="19"/>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12 hereto).</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99.1XX</w:t>
            </w: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w w:val="90"/>
              </w:rPr>
              <w:t>Side Letter, dated March 17, 2001, between the Company and Oleh S. Hnatiuk regarding NeuroSpheres License</w:t>
            </w:r>
          </w:p>
        </w:tc>
      </w:tr>
      <w:tr>
        <w:trPr>
          <w:trHeight w:val="222"/>
        </w:trPr>
        <w:tc>
          <w:tcPr>
            <w:tcW w:w="840" w:type="dxa"/>
            <w:vAlign w:val="bottom"/>
          </w:tcPr>
          <w:p>
            <w:pPr>
              <w:spacing w:after="0"/>
              <w:rPr>
                <w:sz w:val="19"/>
                <w:szCs w:val="19"/>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Agreement, dated October 30, 2000.</w:t>
            </w:r>
          </w:p>
        </w:tc>
      </w:tr>
    </w:tbl>
    <w:p>
      <w:pPr>
        <w:spacing w:after="0" w:line="237" w:lineRule="exact"/>
        <w:rPr>
          <w:sz w:val="20"/>
          <w:szCs w:val="20"/>
          <w:color w:val="auto"/>
        </w:rPr>
      </w:pPr>
    </w:p>
    <w:p>
      <w:pPr>
        <w:ind w:left="1620" w:right="360" w:hanging="1612"/>
        <w:spacing w:after="0" w:line="268" w:lineRule="auto"/>
        <w:tabs>
          <w:tab w:leader="none" w:pos="14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333-85494.</w:t>
      </w:r>
    </w:p>
    <w:p>
      <w:pPr>
        <w:spacing w:after="0" w:line="186" w:lineRule="exact"/>
        <w:rPr>
          <w:sz w:val="20"/>
          <w:szCs w:val="20"/>
          <w:color w:val="auto"/>
        </w:rPr>
      </w:pPr>
    </w:p>
    <w:p>
      <w:pPr>
        <w:ind w:left="1620" w:right="360" w:hanging="1612"/>
        <w:spacing w:after="0" w:line="268" w:lineRule="auto"/>
        <w:tabs>
          <w:tab w:leader="none" w:pos="14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333-97272.</w:t>
      </w:r>
    </w:p>
    <w:p>
      <w:pPr>
        <w:spacing w:after="0" w:line="186" w:lineRule="exact"/>
        <w:rPr>
          <w:sz w:val="20"/>
          <w:szCs w:val="20"/>
          <w:color w:val="auto"/>
        </w:rPr>
      </w:pPr>
    </w:p>
    <w:p>
      <w:pPr>
        <w:ind w:left="1620" w:right="360" w:hanging="1612"/>
        <w:spacing w:after="0" w:line="268" w:lineRule="auto"/>
        <w:tabs>
          <w:tab w:leader="none" w:pos="14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333-91228.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Registration Statement on Form S-1, File No.</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333-45739.</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the Registrant’s Annual Report on Form 10-K</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for fiscal year ended December 31, 1992 and filed March 30, 1993.</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5"/>
              </w:rPr>
              <w:t>Confidential treatment requested as to certain portions. The term “confidential treatment” and the mark “**” as used throughout the</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indicated Exhibits mean that material has been omitted and separately filed with the Commission.</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580" w:type="dxa"/>
            <w:vAlign w:val="bottom"/>
          </w:tcPr>
          <w:p>
            <w:pPr>
              <w:ind w:left="660"/>
              <w:spacing w:after="0"/>
              <w:rPr>
                <w:sz w:val="20"/>
                <w:szCs w:val="20"/>
                <w:color w:val="auto"/>
              </w:rPr>
            </w:pPr>
            <w:r>
              <w:rPr>
                <w:rFonts w:ascii="Arial" w:cs="Arial" w:eastAsia="Arial" w:hAnsi="Arial"/>
                <w:sz w:val="18"/>
                <w:szCs w:val="18"/>
                <w:color w:val="auto"/>
                <w:w w:val="90"/>
              </w:rPr>
              <w:t>Previously filed with the Commission as Exhibits to, and incorporated herein by reference to, the Registrant’s Quarterly Report on Form l0-</w:t>
            </w:r>
          </w:p>
        </w:tc>
      </w:tr>
      <w:tr>
        <w:trPr>
          <w:trHeight w:val="222"/>
        </w:trPr>
        <w:tc>
          <w:tcPr>
            <w:tcW w:w="840" w:type="dxa"/>
            <w:vAlign w:val="bottom"/>
          </w:tcPr>
          <w:p>
            <w:pPr>
              <w:spacing w:after="0"/>
              <w:rPr>
                <w:sz w:val="19"/>
                <w:szCs w:val="19"/>
                <w:color w:val="auto"/>
              </w:rPr>
            </w:pPr>
          </w:p>
        </w:tc>
        <w:tc>
          <w:tcPr>
            <w:tcW w:w="10580" w:type="dxa"/>
            <w:vAlign w:val="bottom"/>
          </w:tcPr>
          <w:p>
            <w:pPr>
              <w:ind w:left="780"/>
              <w:spacing w:after="0"/>
              <w:rPr>
                <w:sz w:val="20"/>
                <w:szCs w:val="20"/>
                <w:color w:val="auto"/>
              </w:rPr>
            </w:pPr>
            <w:r>
              <w:rPr>
                <w:rFonts w:ascii="Arial" w:cs="Arial" w:eastAsia="Arial" w:hAnsi="Arial"/>
                <w:sz w:val="18"/>
                <w:szCs w:val="18"/>
                <w:color w:val="auto"/>
              </w:rPr>
              <w:t>Q for the quarter ended March 31, 1994 and filed on May 14, 1994.</w:t>
            </w:r>
          </w:p>
        </w:tc>
      </w:tr>
      <w:tr>
        <w:trPr>
          <w:trHeight w:val="432"/>
        </w:trPr>
        <w:tc>
          <w:tcPr>
            <w:tcW w:w="840" w:type="dxa"/>
            <w:vAlign w:val="bottom"/>
          </w:tcPr>
          <w:p>
            <w:pPr>
              <w:spacing w:after="0"/>
              <w:rPr>
                <w:sz w:val="24"/>
                <w:szCs w:val="24"/>
                <w:color w:val="auto"/>
              </w:rPr>
            </w:pPr>
          </w:p>
        </w:tc>
        <w:tc>
          <w:tcPr>
            <w:tcW w:w="10580" w:type="dxa"/>
            <w:vAlign w:val="bottom"/>
          </w:tcPr>
          <w:p>
            <w:pPr>
              <w:ind w:left="10320"/>
              <w:spacing w:after="0"/>
              <w:rPr>
                <w:sz w:val="20"/>
                <w:szCs w:val="20"/>
                <w:color w:val="auto"/>
              </w:rPr>
            </w:pPr>
            <w:r>
              <w:rPr>
                <w:rFonts w:ascii="Arial" w:cs="Arial" w:eastAsia="Arial" w:hAnsi="Arial"/>
                <w:sz w:val="18"/>
                <w:szCs w:val="18"/>
                <w:color w:val="auto"/>
                <w:w w:val="92"/>
              </w:rPr>
              <w:t>II-8</w:t>
            </w:r>
          </w:p>
        </w:tc>
      </w:tr>
      <w:tr>
        <w:trPr>
          <w:trHeight w:val="228"/>
        </w:trPr>
        <w:tc>
          <w:tcPr>
            <w:tcW w:w="840" w:type="dxa"/>
            <w:vAlign w:val="bottom"/>
            <w:tcBorders>
              <w:bottom w:val="single" w:sz="8" w:color="808080"/>
            </w:tcBorders>
          </w:tcPr>
          <w:p>
            <w:pPr>
              <w:spacing w:after="0"/>
              <w:rPr>
                <w:sz w:val="19"/>
                <w:szCs w:val="19"/>
                <w:color w:val="auto"/>
              </w:rPr>
            </w:pPr>
          </w:p>
        </w:tc>
        <w:tc>
          <w:tcPr>
            <w:tcW w:w="10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100" w:hanging="134"/>
        <w:spacing w:after="0" w:line="268" w:lineRule="auto"/>
        <w:rPr>
          <w:sz w:val="20"/>
          <w:szCs w:val="20"/>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80" w:hanging="1612"/>
        <w:spacing w:after="0" w:line="268" w:lineRule="auto"/>
        <w:tabs>
          <w:tab w:leader="none" w:pos="14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86" w:lineRule="exact"/>
        <w:rPr>
          <w:sz w:val="20"/>
          <w:szCs w:val="20"/>
          <w:color w:val="auto"/>
        </w:rPr>
      </w:pPr>
    </w:p>
    <w:p>
      <w:pPr>
        <w:ind w:left="1620" w:right="60" w:hanging="1612"/>
        <w:spacing w:after="0" w:line="268" w:lineRule="auto"/>
        <w:tabs>
          <w:tab w:leader="none" w:pos="14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85" w:lineRule="exact"/>
        <w:rPr>
          <w:rFonts w:ascii="Arial" w:cs="Arial" w:eastAsia="Arial" w:hAnsi="Arial"/>
          <w:sz w:val="18"/>
          <w:szCs w:val="18"/>
          <w:color w:val="auto"/>
        </w:rPr>
      </w:pPr>
    </w:p>
    <w:p>
      <w:pPr>
        <w:ind w:left="1620" w:right="360" w:hanging="1612"/>
        <w:spacing w:after="0" w:line="268" w:lineRule="auto"/>
        <w:tabs>
          <w:tab w:leader="none" w:pos="14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86" w:lineRule="exact"/>
        <w:rPr>
          <w:sz w:val="20"/>
          <w:szCs w:val="20"/>
          <w:color w:val="auto"/>
        </w:rPr>
      </w:pPr>
    </w:p>
    <w:p>
      <w:pPr>
        <w:ind w:left="1620" w:right="60" w:hanging="1612"/>
        <w:spacing w:after="0" w:line="268" w:lineRule="auto"/>
        <w:tabs>
          <w:tab w:leader="none" w:pos="14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ectPr>
          <w:pgSz w:w="11900" w:h="16838" w:orient="portrait"/>
          <w:cols w:equalWidth="0" w:num="1">
            <w:col w:w="11420"/>
          </w:cols>
          <w:pgMar w:left="240" w:top="419"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6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120" w:hanging="1612"/>
        <w:spacing w:after="0" w:line="268" w:lineRule="auto"/>
        <w:tabs>
          <w:tab w:leader="none" w:pos="14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January 14, 2000.</w:t>
      </w:r>
    </w:p>
    <w:p>
      <w:pPr>
        <w:spacing w:after="0" w:line="186" w:lineRule="exact"/>
        <w:rPr>
          <w:sz w:val="20"/>
          <w:szCs w:val="20"/>
          <w:color w:val="auto"/>
        </w:rPr>
      </w:pPr>
    </w:p>
    <w:p>
      <w:pPr>
        <w:ind w:left="1620" w:right="200" w:hanging="1612"/>
        <w:spacing w:after="0" w:line="268" w:lineRule="auto"/>
        <w:tabs>
          <w:tab w:leader="none" w:pos="14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definitive proxy statement filed May 1, 2001.</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220" w:hanging="134"/>
        <w:spacing w:after="0" w:line="268"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186" w:lineRule="exact"/>
        <w:rPr>
          <w:sz w:val="20"/>
          <w:szCs w:val="20"/>
          <w:color w:val="auto"/>
        </w:rPr>
      </w:pPr>
    </w:p>
    <w:p>
      <w:pPr>
        <w:sectPr>
          <w:pgSz w:w="11900" w:h="16838" w:orient="portrait"/>
          <w:cols w:equalWidth="0" w:num="2">
            <w:col w:w="900" w:space="720"/>
            <w:col w:w="9800"/>
          </w:cols>
          <w:pgMar w:left="240" w:top="419" w:right="239" w:bottom="1440" w:gutter="0" w:footer="0" w:header="0"/>
          <w:type w:val="continuous"/>
        </w:sectPr>
      </w:pPr>
    </w:p>
    <w:p>
      <w:pPr>
        <w:ind w:left="1620" w:right="80" w:hanging="1612"/>
        <w:spacing w:after="0" w:line="268" w:lineRule="auto"/>
        <w:tabs>
          <w:tab w:leader="none" w:pos="14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86" w:lineRule="exact"/>
        <w:rPr>
          <w:sz w:val="20"/>
          <w:szCs w:val="20"/>
          <w:color w:val="auto"/>
        </w:rPr>
      </w:pPr>
    </w:p>
    <w:p>
      <w:pPr>
        <w:ind w:left="1620" w:right="80" w:hanging="1612"/>
        <w:spacing w:after="0" w:line="268" w:lineRule="auto"/>
        <w:tabs>
          <w:tab w:leader="none" w:pos="14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S-1 as amended to Form S-3, File No. 333-61726.</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86" w:lineRule="exact"/>
        <w:rPr>
          <w:sz w:val="20"/>
          <w:szCs w:val="20"/>
          <w:color w:val="auto"/>
        </w:rPr>
      </w:pPr>
    </w:p>
    <w:p>
      <w:pPr>
        <w:ind w:left="1620" w:right="80" w:hanging="1612"/>
        <w:spacing w:after="0" w:line="268" w:lineRule="auto"/>
        <w:tabs>
          <w:tab w:leader="none" w:pos="14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April 15, 2003.</w:t>
      </w:r>
    </w:p>
    <w:p>
      <w:pPr>
        <w:spacing w:after="0" w:line="186" w:lineRule="exact"/>
        <w:rPr>
          <w:sz w:val="20"/>
          <w:szCs w:val="20"/>
          <w:color w:val="auto"/>
        </w:rPr>
      </w:pPr>
    </w:p>
    <w:p>
      <w:pPr>
        <w:ind w:left="1620" w:right="120" w:hanging="1612"/>
        <w:spacing w:after="0" w:line="268" w:lineRule="auto"/>
        <w:tabs>
          <w:tab w:leader="none" w:pos="14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13, 2003.</w:t>
      </w:r>
    </w:p>
    <w:p>
      <w:pPr>
        <w:spacing w:after="0" w:line="186" w:lineRule="exact"/>
        <w:rPr>
          <w:sz w:val="20"/>
          <w:szCs w:val="20"/>
          <w:color w:val="auto"/>
        </w:rPr>
      </w:pPr>
    </w:p>
    <w:p>
      <w:pPr>
        <w:ind w:left="1620" w:right="120" w:hanging="1612"/>
        <w:spacing w:after="0" w:line="268" w:lineRule="auto"/>
        <w:tabs>
          <w:tab w:leader="none" w:pos="14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15,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17. UNDERTAKINGS.</w:t>
      </w:r>
    </w:p>
    <w:p>
      <w:pPr>
        <w:spacing w:after="0" w:line="225" w:lineRule="exact"/>
        <w:rPr>
          <w:sz w:val="20"/>
          <w:szCs w:val="20"/>
          <w:color w:val="auto"/>
        </w:rPr>
      </w:pPr>
    </w:p>
    <w:p>
      <w:pPr>
        <w:ind w:right="100" w:firstLine="228"/>
        <w:spacing w:after="0" w:line="289" w:lineRule="auto"/>
        <w:tabs>
          <w:tab w:leader="none" w:pos="6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640" w:hanging="41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52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0" w:hanging="576"/>
        <w:spacing w:after="0"/>
        <w:tabs>
          <w:tab w:leader="none" w:pos="13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40" w:right="500" w:hanging="576"/>
        <w:spacing w:after="0" w:line="290" w:lineRule="auto"/>
        <w:tabs>
          <w:tab w:leader="none" w:pos="13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2" w:lineRule="exact"/>
        <w:rPr>
          <w:rFonts w:ascii="Arial" w:cs="Arial" w:eastAsia="Arial" w:hAnsi="Arial"/>
          <w:sz w:val="16"/>
          <w:szCs w:val="16"/>
          <w:color w:val="auto"/>
        </w:rPr>
      </w:pPr>
    </w:p>
    <w:p>
      <w:pPr>
        <w:ind w:left="1340" w:right="580" w:hanging="576"/>
        <w:spacing w:after="0" w:line="268" w:lineRule="auto"/>
        <w:tabs>
          <w:tab w:leader="none" w:pos="13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rFonts w:ascii="Arial" w:cs="Arial" w:eastAsia="Arial" w:hAnsi="Arial"/>
          <w:sz w:val="18"/>
          <w:szCs w:val="18"/>
          <w:color w:val="auto"/>
        </w:rPr>
      </w:pPr>
    </w:p>
    <w:p>
      <w:pPr>
        <w:ind w:left="860" w:right="460" w:hanging="508"/>
        <w:spacing w:after="0" w:line="259"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860" w:right="1120" w:hanging="508"/>
        <w:spacing w:after="0" w:line="268"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both"/>
        <w:ind w:left="360" w:right="460"/>
        <w:spacing w:after="0" w:line="306"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(1)(i) and (1)(ii) do not apply if the registration statement is on Form S-3 or Form S-8, and the information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included in a post-effective amendment by those paragraphs is contained in periodic reports filed by the registrant pursuant to Section 13 or 15(d) of the Securities Exchange Act 1934 that are incorporated by reference in the registrant statement.</w:t>
      </w:r>
    </w:p>
    <w:p>
      <w:pPr>
        <w:spacing w:after="0" w:line="161" w:lineRule="exact"/>
        <w:rPr>
          <w:sz w:val="20"/>
          <w:szCs w:val="20"/>
          <w:color w:val="auto"/>
        </w:rPr>
      </w:pPr>
    </w:p>
    <w:p>
      <w:pPr>
        <w:ind w:left="420" w:right="120" w:hanging="412"/>
        <w:spacing w:after="0" w:line="255"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60" w:firstLine="220"/>
        <w:spacing w:after="0" w:line="282"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Palo Alto, State of California, on the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2003.</w:t>
      </w:r>
    </w:p>
    <w:p>
      <w:pPr>
        <w:spacing w:after="0" w:line="2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80010</wp:posOffset>
            </wp:positionV>
            <wp:extent cx="1320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Martin M. McGlynn</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indicated on May 29, 2003. Each person whose signature appears below hereby constitutes and appoints Martin M. McGlynn and Iris Brest, and either of them, each with full power of substitution, his true and lawful attorney-in-fact and agent with full power to him or her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5"/>
          </w:tcPr>
          <w:p>
            <w:pPr>
              <w:ind w:left="1680"/>
              <w:spacing w:after="0"/>
              <w:rPr>
                <w:sz w:val="20"/>
                <w:szCs w:val="20"/>
                <w:color w:val="auto"/>
              </w:rPr>
            </w:pPr>
            <w:r>
              <w:rPr>
                <w:rFonts w:ascii="Arial" w:cs="Arial" w:eastAsia="Arial" w:hAnsi="Arial"/>
                <w:sz w:val="14"/>
                <w:szCs w:val="14"/>
                <w:b w:val="1"/>
                <w:bCs w:val="1"/>
                <w:color w:val="auto"/>
              </w:rPr>
              <w:t>SIGNATURE</w:t>
            </w:r>
          </w:p>
        </w:tc>
        <w:tc>
          <w:tcPr>
            <w:tcW w:w="2860" w:type="dxa"/>
            <w:vAlign w:val="bottom"/>
          </w:tcPr>
          <w:p>
            <w:pPr>
              <w:spacing w:after="0"/>
              <w:rPr>
                <w:sz w:val="15"/>
                <w:szCs w:val="15"/>
                <w:color w:val="auto"/>
              </w:rPr>
            </w:pPr>
          </w:p>
        </w:tc>
        <w:tc>
          <w:tcPr>
            <w:tcW w:w="4440" w:type="dxa"/>
            <w:vAlign w:val="bottom"/>
          </w:tcPr>
          <w:p>
            <w:pPr>
              <w:ind w:left="20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20" w:type="dxa"/>
            <w:vAlign w:val="bottom"/>
            <w:gridSpan w:val="5"/>
          </w:tcPr>
          <w:p>
            <w:pPr>
              <w:spacing w:after="0"/>
              <w:rPr>
                <w:sz w:val="20"/>
                <w:szCs w:val="20"/>
                <w:color w:val="auto"/>
              </w:rPr>
            </w:pPr>
            <w:r>
              <w:rPr>
                <w:rFonts w:ascii="Arial" w:cs="Arial" w:eastAsia="Arial" w:hAnsi="Arial"/>
                <w:sz w:val="18"/>
                <w:szCs w:val="18"/>
                <w:color w:val="auto"/>
              </w:rPr>
              <w:t>/s/ MARTIN M. MCGLYNN</w:t>
            </w: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Martin M. McGlynn,</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 Director</w:t>
            </w:r>
          </w:p>
        </w:tc>
        <w:tc>
          <w:tcPr>
            <w:tcW w:w="0" w:type="dxa"/>
            <w:vAlign w:val="bottom"/>
          </w:tcPr>
          <w:p>
            <w:pPr>
              <w:spacing w:after="0"/>
              <w:rPr>
                <w:sz w:val="1"/>
                <w:szCs w:val="1"/>
                <w:color w:val="auto"/>
              </w:rPr>
            </w:pPr>
          </w:p>
        </w:tc>
      </w:tr>
      <w:tr>
        <w:trPr>
          <w:trHeight w:val="426"/>
        </w:trPr>
        <w:tc>
          <w:tcPr>
            <w:tcW w:w="4120" w:type="dxa"/>
            <w:vAlign w:val="bottom"/>
            <w:gridSpan w:val="5"/>
          </w:tcPr>
          <w:p>
            <w:pPr>
              <w:spacing w:after="0"/>
              <w:rPr>
                <w:sz w:val="20"/>
                <w:szCs w:val="20"/>
                <w:color w:val="auto"/>
              </w:rPr>
            </w:pPr>
            <w:r>
              <w:rPr>
                <w:rFonts w:ascii="Arial" w:cs="Arial" w:eastAsia="Arial" w:hAnsi="Arial"/>
                <w:sz w:val="18"/>
                <w:szCs w:val="18"/>
                <w:color w:val="auto"/>
              </w:rPr>
              <w:t>/s/ GEORGE KOSHY</w:t>
            </w: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George Koshy,</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Controller and Acting Chief Financial</w:t>
            </w: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Officer (Principal Financial Officer and</w:t>
            </w: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26"/>
        </w:trPr>
        <w:tc>
          <w:tcPr>
            <w:tcW w:w="4120" w:type="dxa"/>
            <w:vAlign w:val="bottom"/>
            <w:gridSpan w:val="5"/>
          </w:tcPr>
          <w:p>
            <w:pPr>
              <w:spacing w:after="0"/>
              <w:rPr>
                <w:sz w:val="20"/>
                <w:szCs w:val="20"/>
                <w:color w:val="auto"/>
              </w:rPr>
            </w:pPr>
            <w:r>
              <w:rPr>
                <w:rFonts w:ascii="Arial" w:cs="Arial" w:eastAsia="Arial" w:hAnsi="Arial"/>
                <w:sz w:val="18"/>
                <w:szCs w:val="18"/>
                <w:color w:val="auto"/>
              </w:rPr>
              <w:t>/s/ RICARDO B. LEVY</w:t>
            </w: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Ricardo B. Levy, Ph.D.</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4120" w:type="dxa"/>
            <w:vAlign w:val="bottom"/>
            <w:gridSpan w:val="5"/>
          </w:tcPr>
          <w:p>
            <w:pPr>
              <w:spacing w:after="0"/>
              <w:rPr>
                <w:sz w:val="20"/>
                <w:szCs w:val="20"/>
                <w:color w:val="auto"/>
              </w:rPr>
            </w:pPr>
            <w:r>
              <w:rPr>
                <w:rFonts w:ascii="Arial" w:cs="Arial" w:eastAsia="Arial" w:hAnsi="Arial"/>
                <w:sz w:val="18"/>
                <w:szCs w:val="18"/>
                <w:color w:val="auto"/>
              </w:rPr>
              <w:t>/s/ ROGER M. PERLMUTTER</w:t>
            </w:r>
          </w:p>
        </w:tc>
        <w:tc>
          <w:tcPr>
            <w:tcW w:w="28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left="1680"/>
        <w:spacing w:after="0"/>
        <w:tabs>
          <w:tab w:leader="none" w:pos="89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JOHN J.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579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 IRVING WEISSMAN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57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John J. Schwartz, Ph.D.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Irving Weissman, M.D.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260" w:space="720"/>
            <w:col w:w="4440"/>
          </w:cols>
          <w:pgMar w:left="240" w:top="419" w:right="239" w:bottom="1440" w:gutter="0" w:footer="0" w:header="0"/>
          <w:type w:val="continuous"/>
        </w:sectPr>
      </w:pPr>
    </w:p>
    <w:p>
      <w:pPr>
        <w:spacing w:after="0" w:line="1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40" w:type="dxa"/>
            <w:vAlign w:val="bottom"/>
          </w:tcPr>
          <w:p>
            <w:pPr>
              <w:ind w:left="3340"/>
              <w:spacing w:after="0"/>
              <w:rPr>
                <w:sz w:val="20"/>
                <w:szCs w:val="20"/>
                <w:color w:val="auto"/>
              </w:rPr>
            </w:pPr>
            <w:r>
              <w:rPr>
                <w:rFonts w:ascii="Arial" w:cs="Arial" w:eastAsia="Arial" w:hAnsi="Arial"/>
                <w:sz w:val="18"/>
                <w:szCs w:val="18"/>
                <w:color w:val="auto"/>
              </w:rPr>
              <w:t>EXHIBIT INDEX</w:t>
            </w:r>
          </w:p>
        </w:tc>
      </w:tr>
      <w:tr>
        <w:trPr>
          <w:trHeight w:val="623"/>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4.3X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4.4X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4.5X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4.6X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4.7X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4.8X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4.9X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Callable Warrant, dated July 31, 2000,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4.10XXX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9"/>
              </w:rPr>
              <w:t>Registration Rights Agreement dated as of May 10, 2001 between the Company and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4.11XXX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Sativum Investments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Pacific Crest Securities,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4.13XXX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Stock Purchase Warrant dated May 10, 2001, issued to Granite Financial Group,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4.14XXX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4.15XXX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700"/>
        <w:spacing w:after="0"/>
        <w:tabs>
          <w:tab w:leader="none" w:pos="5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6517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4.16[**]</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88"/>
              </w:rPr>
              <w:t>Certificate of Designations of the Powers, Preferences and Relative, Participating, Optional and Other Special Rights of Preferred</w:t>
            </w:r>
          </w:p>
        </w:tc>
      </w:tr>
      <w:tr>
        <w:trPr>
          <w:trHeight w:val="222"/>
        </w:trPr>
        <w:tc>
          <w:tcPr>
            <w:tcW w:w="980" w:type="dxa"/>
            <w:vAlign w:val="bottom"/>
          </w:tcPr>
          <w:p>
            <w:pPr>
              <w:spacing w:after="0"/>
              <w:rPr>
                <w:sz w:val="19"/>
                <w:szCs w:val="19"/>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90"/>
              </w:rPr>
              <w:t>Stock and Qualifications, Limitations and Restrictions Thereof of 3* Cumulative Convertible Preferred Stock for StemCells,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4.17[**]</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4.18XXXX</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Warrant to Purchase Common Stock—Cantor Fitzgerald &amp; Co.</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4.19X</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Warrant to Purchase Common Stock — Riverview Group,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5.1</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Opinion of Ropes &amp; Gray LLP.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w w:val="96"/>
              </w:rPr>
              <w:t>Amendment to Registration Rights dated as of February 14, 1992 among the Registrant and certain of its stockholders.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Agreement for Consulting Services between the Registrant and members of its Scientific Advisory Hoard.</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1988</w:t>
            </w:r>
          </w:p>
        </w:tc>
        <w:tc>
          <w:tcPr>
            <w:tcW w:w="8740" w:type="dxa"/>
            <w:vAlign w:val="bottom"/>
          </w:tcPr>
          <w:p>
            <w:pPr>
              <w:ind w:left="40"/>
              <w:spacing w:after="0"/>
              <w:rPr>
                <w:sz w:val="20"/>
                <w:szCs w:val="20"/>
                <w:color w:val="auto"/>
              </w:rPr>
            </w:pPr>
            <w:r>
              <w:rPr>
                <w:rFonts w:ascii="Arial" w:cs="Arial" w:eastAsia="Arial" w:hAnsi="Arial"/>
                <w:sz w:val="18"/>
                <w:szCs w:val="18"/>
                <w:color w:val="auto"/>
              </w:rPr>
              <w:t>Stock Option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Stock Option Plan for Non-Employee Directors.</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1992</w:t>
            </w:r>
          </w:p>
        </w:tc>
        <w:tc>
          <w:tcPr>
            <w:tcW w:w="87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902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20" w:type="dxa"/>
            <w:vAlign w:val="bottom"/>
            <w:tcBorders>
              <w:bottom w:val="single" w:sz="8" w:color="808080"/>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7"/>
              </w:rPr>
              <w:t>Term Loan Agreement dated as of September 30, 1994, between The First National Bank of Boston and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3"/>
              </w:rPr>
              <w:t>Lease Agreement between the Registrant and Rhode Island Industrial Facilities Corporation, dated as of August 1, 1992.</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0"/>
              </w:rPr>
              <w:t>First Amendment to Lease Agreement between Registrant and The Rhode Island Industrial Facilities Corporation dated as of</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September 15, 1994.</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w w:val="94"/>
              </w:rPr>
              <w:t>10.17**++++</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9"/>
              </w:rPr>
              <w:t>Development, Marketing and License Agreement, dated as of March 30, 1995, between Registrant and Astra AB.</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Form of Unit Purchase Agreement to be executed by the purchasers of the Common Stock and Warrants offered in April 1995.</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Form of Common Stock Purchase Agreement to be executed among the Registrant and certain purchasers of the Registrant’s</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Common Stock.</w:t>
            </w: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7"/>
              </w:rPr>
              <w:t>Lease Agreement dated as of November 21, 1997, by and between Hub RI Properties Trust, as Landlord, and CytoTherapeutics,</w:t>
            </w:r>
          </w:p>
        </w:tc>
      </w:tr>
      <w:tr>
        <w:trPr>
          <w:trHeight w:val="222"/>
        </w:trPr>
        <w:tc>
          <w:tcPr>
            <w:tcW w:w="980" w:type="dxa"/>
            <w:vAlign w:val="bottom"/>
          </w:tcPr>
          <w:p>
            <w:pPr>
              <w:spacing w:after="0"/>
              <w:rPr>
                <w:sz w:val="19"/>
                <w:szCs w:val="19"/>
                <w:color w:val="auto"/>
              </w:rPr>
            </w:pP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Inc., as Tenant.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89"/>
              </w:rPr>
              <w:t>CTI individual stockholders option agreement dated as of July 10, 1996 among the Company and the individuals listed therein.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7"/>
              </w:rPr>
              <w:t>CTI Valoria option agreement dated of July 10, 1996, between the Company and the Societe Financiers Valoria SA.</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 Registrant.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w w:val="90"/>
              </w:rPr>
              <w:t>Agreement and Plan of Merger dated as of August 13, 1997, among StemCells, Inc., the Registrant and CTI Acquisition Corp.</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9300" w:type="dxa"/>
            <w:vAlign w:val="bottom"/>
            <w:gridSpan w:val="2"/>
          </w:tcPr>
          <w:p>
            <w:pPr>
              <w:ind w:left="280"/>
              <w:spacing w:after="0"/>
              <w:rPr>
                <w:sz w:val="20"/>
                <w:szCs w:val="20"/>
                <w:color w:val="auto"/>
              </w:rPr>
            </w:pPr>
            <w:r>
              <w:rPr>
                <w:rFonts w:ascii="Arial" w:cs="Arial" w:eastAsia="Arial" w:hAnsi="Arial"/>
                <w:sz w:val="18"/>
                <w:szCs w:val="18"/>
                <w:color w:val="auto"/>
              </w:rPr>
              <w:t>Consulting Agreement dated as of September 25, 1997,</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9120" w:type="dxa"/>
            <w:vAlign w:val="bottom"/>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120" w:type="dxa"/>
            <w:vAlign w:val="bottom"/>
            <w:tcBorders>
              <w:bottom w:val="single" w:sz="8" w:color="808080"/>
            </w:tcBorders>
          </w:tcPr>
          <w:p>
            <w:pPr>
              <w:spacing w:after="0"/>
              <w:rPr>
                <w:sz w:val="8"/>
                <w:szCs w:val="8"/>
                <w:color w:val="auto"/>
              </w:rPr>
            </w:pPr>
          </w:p>
        </w:tc>
      </w:tr>
      <w:tr>
        <w:trPr>
          <w:trHeight w:val="316"/>
        </w:trPr>
        <w:tc>
          <w:tcPr>
            <w:tcW w:w="880" w:type="dxa"/>
            <w:vAlign w:val="bottom"/>
          </w:tcPr>
          <w:p>
            <w:pPr>
              <w:spacing w:after="0"/>
              <w:rPr>
                <w:sz w:val="24"/>
                <w:szCs w:val="24"/>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between Dr. Irving Weissman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w w:val="87"/>
              </w:rPr>
              <w:t>Consulting Services Agreement dated as of July 27, 1998, as amended December 19, 1998 between Dr. John J. Schwartz and the</w:t>
            </w:r>
          </w:p>
        </w:tc>
      </w:tr>
      <w:tr>
        <w:trPr>
          <w:trHeight w:val="222"/>
        </w:trPr>
        <w:tc>
          <w:tcPr>
            <w:tcW w:w="880" w:type="dxa"/>
            <w:vAlign w:val="bottom"/>
          </w:tcPr>
          <w:p>
            <w:pPr>
              <w:spacing w:after="0"/>
              <w:rPr>
                <w:sz w:val="19"/>
                <w:szCs w:val="19"/>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License Agreement dated as of November 20, 1998, between The Scripps Research Institute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4"/>
              </w:rPr>
              <w:t>10.45%%**</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w w:val="92"/>
              </w:rPr>
              <w:t>Purchase Agreement and License Agreement dated as of December 29, 1999, between Neurotech S.A. and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10.47**</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10.48X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Form of Registration Rights Agreement, dated as of July 31, 2000, between StemCells, Inc. and investors.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10.49X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July 31, 2000, between StemCells, Inc.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10.50XXX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3"/>
              </w:rPr>
              <w:t>Common Stock Purchase Agreement, dated as of May 10, 2001, between the Company and Sativum Investments Limited.</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10.51XXX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88"/>
              </w:rPr>
              <w:t>Escrow Agreement, dated as of May 10, 2001, among the Company, Sativum Investments Limited and Epstein, Becker &amp; Green,</w:t>
            </w:r>
          </w:p>
        </w:tc>
      </w:tr>
      <w:tr>
        <w:trPr>
          <w:trHeight w:val="222"/>
        </w:trPr>
        <w:tc>
          <w:tcPr>
            <w:tcW w:w="840" w:type="dxa"/>
            <w:vAlign w:val="bottom"/>
          </w:tcPr>
          <w:p>
            <w:pPr>
              <w:spacing w:after="0"/>
              <w:rPr>
                <w:sz w:val="19"/>
                <w:szCs w:val="19"/>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P.C.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10.52XX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License Agreement, dated as of October 30, 2000, between the Company and Neuro Spheres Ltd.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10.53XX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Letter Agreement, dated January 2, 2001, between the Company and Martin McGlynn.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10.54XX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Lease, dated February 1, 2001, between the Board of Trustees of Stanford University and the Company.</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10.55XXX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5"/>
              </w:rPr>
              <w:t>Registration Rights Agreement, dated as of June 21, 2001, by and between the Company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10.56XXX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June 21, 2001, by and between the Company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w w:val="88"/>
              </w:rPr>
              <w:t>10.57%%%</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2001 Equity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10.58[**]</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Subscription Agreement dated as of December 4, 2001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10.59[**]</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8"/>
              </w:rPr>
              <w:t>Registration Rights Agreement dated as of December 4, 2001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10.60[**]</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Agreement dated as of December 4, 2001 between</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914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140" w:type="dxa"/>
            <w:vAlign w:val="bottom"/>
            <w:tcBorders>
              <w:bottom w:val="single" w:sz="8" w:color="808080"/>
            </w:tcBorders>
          </w:tcPr>
          <w:p>
            <w:pPr>
              <w:spacing w:after="0"/>
              <w:rPr>
                <w:sz w:val="8"/>
                <w:szCs w:val="8"/>
                <w:color w:val="auto"/>
              </w:rPr>
            </w:pPr>
          </w:p>
        </w:tc>
      </w:tr>
      <w:tr>
        <w:trPr>
          <w:trHeight w:val="316"/>
        </w:trPr>
        <w:tc>
          <w:tcPr>
            <w:tcW w:w="840" w:type="dxa"/>
            <w:vAlign w:val="bottom"/>
          </w:tcPr>
          <w:p>
            <w:pPr>
              <w:spacing w:after="0"/>
              <w:rPr>
                <w:sz w:val="24"/>
                <w:szCs w:val="24"/>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StemCells, Inc. and Millennium Partners,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4"/>
              </w:rPr>
              <w:t>Agreement dated as of December 4, 2001 among StemCells, Inc., Millennium Partners, L.P.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Agreement dated as of April 9, 2003 between StemCells, Inc. and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10.63[X]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3"/>
              </w:rPr>
              <w:t>Form of Registration Rights Agreement dated as of May 15, 2003 between StemCells, Inc. and The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10.64[XX]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Securities Purchase Agreement dated as of May 7, 2003 between StemCells, Inc. and The Riverview Group,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Consent of Ropes &amp; Gray LLP (included in the form of opinion filed as Exhibit 5.1).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1"/>
              </w:rPr>
              <w:t>Power of Attorney pursuant to which amendments to this registration statement may be filed (contained on page II-12 hereto).</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99.1XX</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w w:val="91"/>
              </w:rPr>
              <w:t>Side Letter, dated March 17, 2001, between the Company and Oleh S. Hnatiuk regarding NeuroSpheres License Agreement,</w:t>
            </w:r>
          </w:p>
        </w:tc>
      </w:tr>
      <w:tr>
        <w:trPr>
          <w:trHeight w:val="222"/>
        </w:trPr>
        <w:tc>
          <w:tcPr>
            <w:tcW w:w="840" w:type="dxa"/>
            <w:vAlign w:val="bottom"/>
          </w:tcPr>
          <w:p>
            <w:pPr>
              <w:spacing w:after="0"/>
              <w:rPr>
                <w:sz w:val="19"/>
                <w:szCs w:val="19"/>
                <w:color w:val="auto"/>
              </w:rPr>
            </w:pP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dated October 30, 2000.</w:t>
            </w:r>
          </w:p>
        </w:tc>
      </w:tr>
    </w:tbl>
    <w:p>
      <w:pPr>
        <w:spacing w:after="0" w:line="237" w:lineRule="exact"/>
        <w:rPr>
          <w:sz w:val="20"/>
          <w:szCs w:val="20"/>
          <w:color w:val="auto"/>
        </w:rPr>
      </w:pPr>
    </w:p>
    <w:p>
      <w:pPr>
        <w:ind w:left="1180" w:right="40" w:hanging="1172"/>
        <w:spacing w:after="0" w:line="268" w:lineRule="auto"/>
        <w:tabs>
          <w:tab w:leader="none" w:pos="10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186" w:lineRule="exact"/>
        <w:rPr>
          <w:sz w:val="20"/>
          <w:szCs w:val="20"/>
          <w:color w:val="auto"/>
        </w:rPr>
      </w:pPr>
    </w:p>
    <w:p>
      <w:pPr>
        <w:ind w:left="1180" w:right="40" w:hanging="1172"/>
        <w:spacing w:after="0" w:line="268" w:lineRule="auto"/>
        <w:tabs>
          <w:tab w:leader="none" w:pos="10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186" w:lineRule="exact"/>
        <w:rPr>
          <w:sz w:val="20"/>
          <w:szCs w:val="20"/>
          <w:color w:val="auto"/>
        </w:rPr>
      </w:pPr>
    </w:p>
    <w:p>
      <w:pPr>
        <w:ind w:left="1180" w:right="40" w:hanging="1172"/>
        <w:spacing w:after="0" w:line="268" w:lineRule="auto"/>
        <w:tabs>
          <w:tab w:leader="none" w:pos="10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1180" w:right="300" w:hanging="1172"/>
        <w:spacing w:after="0" w:line="268" w:lineRule="auto"/>
        <w:tabs>
          <w:tab w:leader="none" w:pos="10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Registration Statement on Form S-1, File No. 33-45739.</w:t>
      </w:r>
    </w:p>
    <w:p>
      <w:pPr>
        <w:spacing w:after="0" w:line="186" w:lineRule="exact"/>
        <w:rPr>
          <w:sz w:val="20"/>
          <w:szCs w:val="20"/>
          <w:color w:val="auto"/>
        </w:rPr>
      </w:pPr>
    </w:p>
    <w:p>
      <w:pPr>
        <w:ind w:left="1180" w:right="300" w:hanging="1172"/>
        <w:spacing w:after="0" w:line="268" w:lineRule="auto"/>
        <w:tabs>
          <w:tab w:leader="none" w:pos="10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186" w:lineRule="exact"/>
        <w:rPr>
          <w:sz w:val="20"/>
          <w:szCs w:val="20"/>
          <w:color w:val="auto"/>
        </w:rPr>
      </w:pPr>
    </w:p>
    <w:p>
      <w:pPr>
        <w:ind w:left="1180" w:right="440" w:hanging="1172"/>
        <w:spacing w:after="0" w:line="268" w:lineRule="auto"/>
        <w:tabs>
          <w:tab w:leader="none" w:pos="10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86" w:lineRule="exact"/>
        <w:rPr>
          <w:sz w:val="20"/>
          <w:szCs w:val="20"/>
          <w:color w:val="auto"/>
        </w:rPr>
      </w:pPr>
    </w:p>
    <w:p>
      <w:pPr>
        <w:ind w:left="1180" w:right="180" w:hanging="1172"/>
        <w:spacing w:after="0" w:line="268" w:lineRule="auto"/>
        <w:tabs>
          <w:tab w:leader="none" w:pos="10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l0-Q for the quarter ended March 31, 1994 and filed on May 14, 1994.</w:t>
      </w:r>
    </w:p>
    <w:p>
      <w:pPr>
        <w:spacing w:after="0" w:line="186" w:lineRule="exact"/>
        <w:rPr>
          <w:sz w:val="20"/>
          <w:szCs w:val="20"/>
          <w:color w:val="auto"/>
        </w:rPr>
      </w:pPr>
    </w:p>
    <w:p>
      <w:pPr>
        <w:ind w:left="1180" w:right="40" w:hanging="1172"/>
        <w:spacing w:after="0" w:line="268" w:lineRule="auto"/>
        <w:tabs>
          <w:tab w:leader="none" w:pos="10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86" w:lineRule="exact"/>
        <w:rPr>
          <w:sz w:val="20"/>
          <w:szCs w:val="20"/>
          <w:color w:val="auto"/>
        </w:rPr>
      </w:pPr>
    </w:p>
    <w:p>
      <w:pPr>
        <w:ind w:left="1180" w:right="260" w:hanging="1172"/>
        <w:spacing w:after="0" w:line="268" w:lineRule="auto"/>
        <w:tabs>
          <w:tab w:leader="none" w:pos="10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86" w:lineRule="exact"/>
        <w:rPr>
          <w:sz w:val="20"/>
          <w:szCs w:val="20"/>
          <w:color w:val="auto"/>
        </w:rPr>
      </w:pPr>
    </w:p>
    <w:p>
      <w:pPr>
        <w:ind w:left="1180" w:right="260" w:hanging="1172"/>
        <w:spacing w:after="0" w:line="268" w:lineRule="auto"/>
        <w:tabs>
          <w:tab w:leader="none" w:pos="10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86" w:lineRule="exact"/>
        <w:rPr>
          <w:sz w:val="20"/>
          <w:szCs w:val="20"/>
          <w:color w:val="auto"/>
        </w:rPr>
      </w:pPr>
    </w:p>
    <w:p>
      <w:pPr>
        <w:ind w:left="1180" w:right="160" w:hanging="1172"/>
        <w:spacing w:after="0" w:line="268" w:lineRule="auto"/>
        <w:tabs>
          <w:tab w:leader="none" w:pos="10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86" w:lineRule="exact"/>
        <w:rPr>
          <w:sz w:val="20"/>
          <w:szCs w:val="20"/>
          <w:color w:val="auto"/>
        </w:rPr>
      </w:pPr>
    </w:p>
    <w:p>
      <w:pPr>
        <w:ind w:left="1180" w:right="160" w:hanging="1172"/>
        <w:spacing w:after="0" w:line="268" w:lineRule="auto"/>
        <w:tabs>
          <w:tab w:leader="none" w:pos="10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86" w:lineRule="exact"/>
        <w:rPr>
          <w:sz w:val="20"/>
          <w:szCs w:val="20"/>
          <w:color w:val="auto"/>
        </w:rPr>
      </w:pPr>
    </w:p>
    <w:p>
      <w:pPr>
        <w:ind w:left="1180" w:right="140" w:hanging="1172"/>
        <w:spacing w:after="0" w:line="268" w:lineRule="auto"/>
        <w:tabs>
          <w:tab w:leader="none" w:pos="10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85" w:lineRule="exact"/>
        <w:rPr>
          <w:rFonts w:ascii="Arial" w:cs="Arial" w:eastAsia="Arial" w:hAnsi="Arial"/>
          <w:sz w:val="18"/>
          <w:szCs w:val="18"/>
          <w:color w:val="auto"/>
        </w:rPr>
      </w:pPr>
    </w:p>
    <w:p>
      <w:pPr>
        <w:ind w:left="1180" w:right="40" w:hanging="1172"/>
        <w:spacing w:after="0" w:line="268" w:lineRule="auto"/>
        <w:tabs>
          <w:tab w:leader="none" w:pos="10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86" w:lineRule="exact"/>
        <w:rPr>
          <w:sz w:val="20"/>
          <w:szCs w:val="20"/>
          <w:color w:val="auto"/>
        </w:rPr>
      </w:pPr>
    </w:p>
    <w:p>
      <w:pPr>
        <w:ind w:left="1180" w:hanging="1172"/>
        <w:spacing w:after="0" w:line="268" w:lineRule="auto"/>
        <w:tabs>
          <w:tab w:leader="none" w:pos="10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80" w:right="200" w:hanging="1172"/>
        <w:spacing w:after="0" w:line="268" w:lineRule="auto"/>
        <w:tabs>
          <w:tab w:leader="none" w:pos="10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pacing w:after="0" w:line="186" w:lineRule="exact"/>
        <w:rPr>
          <w:sz w:val="20"/>
          <w:szCs w:val="20"/>
          <w:color w:val="auto"/>
        </w:rPr>
      </w:pPr>
    </w:p>
    <w:p>
      <w:pPr>
        <w:ind w:left="1180" w:hanging="1172"/>
        <w:spacing w:after="0" w:line="268" w:lineRule="auto"/>
        <w:tabs>
          <w:tab w:leader="none" w:pos="10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86" w:lineRule="exact"/>
        <w:rPr>
          <w:sz w:val="20"/>
          <w:szCs w:val="20"/>
          <w:color w:val="auto"/>
        </w:rPr>
      </w:pPr>
    </w:p>
    <w:p>
      <w:pPr>
        <w:ind w:left="1180" w:right="340" w:hanging="1172"/>
        <w:spacing w:after="0" w:line="268" w:lineRule="auto"/>
        <w:tabs>
          <w:tab w:leader="none" w:pos="10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on January 14, 2000.</w:t>
      </w:r>
    </w:p>
    <w:p>
      <w:pPr>
        <w:spacing w:after="0" w:line="186" w:lineRule="exact"/>
        <w:rPr>
          <w:sz w:val="20"/>
          <w:szCs w:val="20"/>
          <w:color w:val="auto"/>
        </w:rPr>
      </w:pPr>
    </w:p>
    <w:p>
      <w:pPr>
        <w:ind w:left="1180" w:right="280" w:hanging="1172"/>
        <w:spacing w:after="0" w:line="268" w:lineRule="auto"/>
        <w:tabs>
          <w:tab w:leader="none" w:pos="10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definitive proxy statement filed May 1, 2001.</w:t>
      </w:r>
    </w:p>
    <w:p>
      <w:pPr>
        <w:spacing w:after="0" w:line="186" w:lineRule="exact"/>
        <w:rPr>
          <w:sz w:val="20"/>
          <w:szCs w:val="20"/>
          <w:color w:val="auto"/>
        </w:rPr>
      </w:pPr>
    </w:p>
    <w:p>
      <w:pPr>
        <w:ind w:left="1180" w:right="40" w:hanging="1172"/>
        <w:spacing w:after="0" w:line="268" w:lineRule="auto"/>
        <w:tabs>
          <w:tab w:leader="none" w:pos="10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on Form S-1, File No. 333-45496.</w:t>
      </w:r>
    </w:p>
    <w:p>
      <w:pPr>
        <w:spacing w:after="0" w:line="186" w:lineRule="exact"/>
        <w:rPr>
          <w:sz w:val="20"/>
          <w:szCs w:val="20"/>
          <w:color w:val="auto"/>
        </w:rPr>
      </w:pPr>
    </w:p>
    <w:p>
      <w:pPr>
        <w:ind w:left="1180" w:right="160" w:hanging="1172"/>
        <w:spacing w:after="0" w:line="268" w:lineRule="auto"/>
        <w:tabs>
          <w:tab w:leader="none" w:pos="10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86" w:lineRule="exact"/>
        <w:rPr>
          <w:sz w:val="20"/>
          <w:szCs w:val="20"/>
          <w:color w:val="auto"/>
        </w:rPr>
      </w:pPr>
    </w:p>
    <w:p>
      <w:pPr>
        <w:ind w:left="1180" w:right="300" w:hanging="1172"/>
        <w:spacing w:after="0" w:line="268" w:lineRule="auto"/>
        <w:tabs>
          <w:tab w:leader="none" w:pos="10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S-1 as amended to Form S-3, File No. 333-61726.</w:t>
      </w:r>
    </w:p>
    <w:p>
      <w:pPr>
        <w:spacing w:after="0" w:line="186" w:lineRule="exact"/>
        <w:rPr>
          <w:sz w:val="20"/>
          <w:szCs w:val="20"/>
          <w:color w:val="auto"/>
        </w:rPr>
      </w:pPr>
    </w:p>
    <w:p>
      <w:pPr>
        <w:ind w:left="1180" w:right="200" w:hanging="1172"/>
        <w:spacing w:after="0" w:line="268" w:lineRule="auto"/>
        <w:tabs>
          <w:tab w:leader="none" w:pos="10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86" w:lineRule="exact"/>
        <w:rPr>
          <w:sz w:val="20"/>
          <w:szCs w:val="20"/>
          <w:color w:val="auto"/>
        </w:rPr>
      </w:pPr>
    </w:p>
    <w:p>
      <w:pPr>
        <w:ind w:left="1180" w:right="300" w:hanging="1172"/>
        <w:spacing w:after="0" w:line="268" w:lineRule="auto"/>
        <w:tabs>
          <w:tab w:leader="none" w:pos="10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86" w:lineRule="exact"/>
        <w:rPr>
          <w:sz w:val="20"/>
          <w:szCs w:val="20"/>
          <w:color w:val="auto"/>
        </w:rPr>
      </w:pPr>
    </w:p>
    <w:p>
      <w:pPr>
        <w:ind w:left="1180" w:right="200" w:hanging="1172"/>
        <w:spacing w:after="0" w:line="268" w:lineRule="auto"/>
        <w:tabs>
          <w:tab w:leader="none" w:pos="10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April 15, 2003.</w:t>
      </w:r>
    </w:p>
    <w:p>
      <w:pPr>
        <w:spacing w:after="0" w:line="186" w:lineRule="exact"/>
        <w:rPr>
          <w:sz w:val="20"/>
          <w:szCs w:val="20"/>
          <w:color w:val="auto"/>
        </w:rPr>
      </w:pPr>
    </w:p>
    <w:p>
      <w:pPr>
        <w:ind w:left="1180" w:right="200" w:hanging="1172"/>
        <w:spacing w:after="0" w:line="268" w:lineRule="auto"/>
        <w:tabs>
          <w:tab w:leader="none" w:pos="10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13, 2003.</w:t>
      </w:r>
    </w:p>
    <w:p>
      <w:pPr>
        <w:spacing w:after="0" w:line="186" w:lineRule="exact"/>
        <w:rPr>
          <w:sz w:val="20"/>
          <w:szCs w:val="20"/>
          <w:color w:val="auto"/>
        </w:rPr>
      </w:pPr>
    </w:p>
    <w:p>
      <w:pPr>
        <w:ind w:left="1180" w:right="200" w:hanging="1172"/>
        <w:spacing w:after="0" w:line="268" w:lineRule="auto"/>
        <w:tabs>
          <w:tab w:leader="none" w:pos="10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May 15, 2003.</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419" w:right="239"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[ROPES &amp; GRAY LLP Letterhead]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May 29,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opinion is furnished to you in connection with the filing of a registration statement on Form S-3 (the "Registration Statement"), filed with the Securities and Exchange Commission under the Securities Act of 1933, as amended, for the registration of 7,250,000 shares of the Company's common stock, $0.01 par value (the "Common Stock"), of StemCells, Inc., a Delaware corporation (the "Company"). The shares of Common Stock include (a) 4,000,000 shares of the Company's Common Stock issued to The Riverview Group, LLC ("The Riverview Group") pursuant to a Securities Purchase Agreement dated May 7, 2003 between the Company and The Riverview Group (the "Purchase Agreement"), (b) 1,898,000 shares of Common Stock issuable upon exercise of a warrant (the "Warrant") issued to The Riverview Group pursuant to the Purchase Agreement and (c) shares of Common Stock to be issued from time to time to The Riverview Group upon conversion of the 3% Cumulative Convertible Preferred Stock (the "Preferred Stock") (the shares of Common Stock referred to in clauses (a)-(c) are referred to herein as the "Shares"). The Shares are registered for resale by The Riverview Group to the public under the Registration Statement.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its issuance and sale of the Preferred Stock and the issuance and sale of the securities pursuant to the Purchase Agreement. For purposes of this opinion, we have examined and relied upon such documents, records, certificates and other instruments as we have deemed necessary.</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express no opinion as to the applicability of, compliance with or effect of Federal law or the law of any jurisdiction other than The Commonwealth of Massachusetts and the corporate laws of the State of Delaware.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the Shares have been duly authorized and, when the Shares have been issued in accordance with (a) the Purchase Agreement, (b) the Warrant and (c) the terms of the Certificate of Designation of the Preferred Stock, as applicable, they will be validly issued, fully paid and non-assessable.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We hereby consent to your filing a form of this opinion as an exhibit to the Registration Statement and to the use of our name therein and in the related prospectus under the caption</w:t>
      </w:r>
    </w:p>
    <w:p>
      <w:pPr>
        <w:sectPr>
          <w:pgSz w:w="11900" w:h="16838" w:orient="portrait"/>
          <w:cols w:equalWidth="0" w:num="1">
            <w:col w:w="10219"/>
          </w:cols>
          <w:pgMar w:left="240" w:top="541" w:right="1440" w:bottom="1440" w:gutter="0" w:footer="0" w:header="0"/>
        </w:sectPr>
      </w:pPr>
    </w:p>
    <w:bookmarkStart w:id="43" w:name="page44"/>
    <w:bookmarkEnd w:id="43"/>
    <w:p>
      <w:pPr>
        <w:ind w:right="2519"/>
        <w:spacing w:after="0" w:line="236" w:lineRule="auto"/>
        <w:rPr>
          <w:sz w:val="20"/>
          <w:szCs w:val="20"/>
          <w:color w:val="auto"/>
        </w:rPr>
      </w:pPr>
      <w:r>
        <w:rPr>
          <w:rFonts w:ascii="Courier New" w:cs="Courier New" w:eastAsia="Courier New" w:hAnsi="Courier New"/>
          <w:sz w:val="18"/>
          <w:szCs w:val="18"/>
          <w:color w:val="auto"/>
        </w:rPr>
        <w:t>"Legal Matters." It is understood that this opinion is to be used only in connection with the offer and sale of the Shares while the Registration Statement is in effect.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ind w:left="4120"/>
        <w:spacing w:after="0" w:line="238" w:lineRule="auto"/>
        <w:rPr>
          <w:sz w:val="20"/>
          <w:szCs w:val="20"/>
          <w:color w:val="auto"/>
        </w:rPr>
      </w:pPr>
      <w:r>
        <w:rPr>
          <w:rFonts w:ascii="Courier New" w:cs="Courier New" w:eastAsia="Courier New" w:hAnsi="Courier New"/>
          <w:sz w:val="18"/>
          <w:szCs w:val="18"/>
          <w:color w:val="auto"/>
        </w:rPr>
        <w:t>/s/ Ropes &amp; Gray LLP</w:t>
      </w:r>
    </w:p>
    <w:p>
      <w:pPr>
        <w:ind w:left="4120"/>
        <w:spacing w:after="0"/>
        <w:rPr>
          <w:sz w:val="20"/>
          <w:szCs w:val="20"/>
          <w:color w:val="auto"/>
        </w:rPr>
      </w:pPr>
      <w:r>
        <w:rPr>
          <w:rFonts w:ascii="Courier New" w:cs="Courier New" w:eastAsia="Courier New" w:hAnsi="Courier New"/>
          <w:sz w:val="18"/>
          <w:szCs w:val="18"/>
          <w:color w:val="auto"/>
        </w:rPr>
        <w:t>Ropes &amp; Gray LLP</w:t>
      </w:r>
    </w:p>
    <w:p>
      <w:pPr>
        <w:sectPr>
          <w:pgSz w:w="11900" w:h="16838" w:orient="portrait"/>
          <w:cols w:equalWidth="0" w:num="1">
            <w:col w:w="10219"/>
          </w:cols>
          <w:pgMar w:left="240" w:top="723" w:right="1440" w:bottom="1440" w:gutter="0" w:footer="0" w:header="0"/>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StemCells, Inc. for the registration of 7,250,000 shares of its common stock and to the incorporation by reference therein of our report dated March 4, 2003, with respect to the consolidated financial statements of StemCells, Inc. included in its Annual Report (Form 10-K) for the year ended December 31, 2002, filed with the Securities and Exchange Commission.</w:t>
      </w: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May 27,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lvl w:ilvl="1">
      <w:lvlJc w:val="left"/>
      <w:lvlText w:val="(%2)"/>
      <w:numFmt w:val="decimal"/>
      <w:start w:val="617"/>
    </w:lvl>
  </w:abstractNum>
  <w:abstractNum w:abstractNumId="1">
    <w:nsid w:val="7C3DBD3D"/>
    <w:multiLevelType w:val="hybridMultilevel"/>
    <w:lvl w:ilvl="0">
      <w:lvlJc w:val="left"/>
      <w:lvlText w:val="(%1)"/>
      <w:numFmt w:val="decimal"/>
      <w:start w:val="617"/>
    </w:lvl>
    <w:lvl w:ilvl="1">
      <w:lvlJc w:val="left"/>
      <w:lvlText w:val="%2"/>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lowerRoman"/>
      <w:start w:val="4"/>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upperLetter"/>
      <w:start w:val="50"/>
    </w:lvl>
  </w:abstractNum>
  <w:abstractNum w:abstractNumId="24">
    <w:nsid w:val="6A2342EC"/>
    <w:multiLevelType w:val="hybridMultilevel"/>
    <w:lvl w:ilvl="0">
      <w:lvlJc w:val="left"/>
      <w:lvlText w:val="%1"/>
      <w:numFmt w:val="upperLetter"/>
      <w:start w:val="76"/>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upperLetter"/>
      <w:start w:val="102"/>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upperLetter"/>
      <w:start w:val="24"/>
    </w:lvl>
  </w:abstractNum>
  <w:abstractNum w:abstractNumId="29">
    <w:nsid w:val="57E4CCAF"/>
    <w:multiLevelType w:val="hybridMultilevel"/>
    <w:lvl w:ilvl="0">
      <w:lvlJc w:val="left"/>
      <w:lvlText w:val="[%1]"/>
      <w:numFmt w:val="upperLetter"/>
      <w:start w:val="50"/>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2">
    <w:nsid w:val="542289EC"/>
    <w:multiLevelType w:val="hybridMultilevel"/>
    <w:lvl w:ilvl="0">
      <w:lvlJc w:val="left"/>
      <w:lvlText w:val="(%1)"/>
      <w:numFmt w:val="lowerLetter"/>
      <w:start w:val="3"/>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X"/>
      <w:numFmt w:val="bullet"/>
      <w:start w:val="1"/>
    </w:lvl>
  </w:abstractNum>
  <w:abstractNum w:abstractNumId="53">
    <w:nsid w:val="1CF10FD8"/>
    <w:multiLevelType w:val="hybridMultilevel"/>
    <w:lvl w:ilvl="0">
      <w:lvlJc w:val="left"/>
      <w:lvlText w:val="%1"/>
      <w:numFmt w:val="upperLetter"/>
      <w:start w:val="50"/>
    </w:lvl>
  </w:abstractNum>
  <w:abstractNum w:abstractNumId="54">
    <w:nsid w:val="180115BE"/>
    <w:multiLevelType w:val="hybridMultilevel"/>
    <w:lvl w:ilvl="0">
      <w:lvlJc w:val="left"/>
      <w:lvlText w:val="%1"/>
      <w:numFmt w:val="upperLetter"/>
      <w:start w:val="76"/>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upperLetter"/>
      <w:start w:val="102"/>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upperLetter"/>
      <w:start w:val="24"/>
    </w:lvl>
  </w:abstractNum>
  <w:abstractNum w:abstractNumId="59">
    <w:nsid w:val="741226BB"/>
    <w:multiLevelType w:val="hybridMultilevel"/>
    <w:lvl w:ilvl="0">
      <w:lvlJc w:val="left"/>
      <w:lvlText w:val="[%1]"/>
      <w:numFmt w:val="upperLetter"/>
      <w:start w:val="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2019-12-11T22:54:17Z</dcterms:created>
  <dcterms:modified xsi:type="dcterms:W3CDTF">2019-12-11T22:54:17Z</dcterms:modified>
</cp:coreProperties>
</file>