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540" w:right="1780" w:hanging="4204"/>
        <w:spacing w:after="0" w:line="492" w:lineRule="auto"/>
        <w:tabs>
          <w:tab w:leader="none" w:pos="906"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2019</w:t>
      </w:r>
    </w:p>
    <w:p>
      <w:pPr>
        <w:spacing w:after="0" w:line="1" w:lineRule="exact"/>
        <w:rPr>
          <w:sz w:val="24"/>
          <w:szCs w:val="24"/>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4"/>
          </w:tcPr>
          <w:p>
            <w:pPr>
              <w:ind w:left="1000"/>
              <w:spacing w:after="0"/>
              <w:rPr>
                <w:sz w:val="20"/>
                <w:szCs w:val="20"/>
                <w:color w:val="auto"/>
              </w:rPr>
            </w:pPr>
            <w:r>
              <w:rPr>
                <w:rFonts w:ascii="Arial" w:cs="Arial" w:eastAsia="Arial" w:hAnsi="Arial"/>
                <w:sz w:val="18"/>
                <w:szCs w:val="18"/>
                <w:color w:val="auto"/>
              </w:rPr>
              <w:t>For the transition period from ____ to _____</w:t>
            </w:r>
          </w:p>
        </w:tc>
      </w:tr>
      <w:tr>
        <w:trPr>
          <w:trHeight w:val="432"/>
        </w:trPr>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left="303"/>
              <w:spacing w:after="0"/>
              <w:rPr>
                <w:sz w:val="20"/>
                <w:szCs w:val="20"/>
                <w:color w:val="auto"/>
              </w:rPr>
            </w:pPr>
            <w:r>
              <w:rPr>
                <w:rFonts w:ascii="Arial" w:cs="Arial" w:eastAsia="Arial" w:hAnsi="Arial"/>
                <w:sz w:val="18"/>
                <w:szCs w:val="18"/>
                <w:color w:val="auto"/>
                <w:w w:val="91"/>
              </w:rPr>
              <w:t>Commission file number: 000-19871</w:t>
            </w:r>
          </w:p>
        </w:tc>
        <w:tc>
          <w:tcPr>
            <w:tcW w:w="3960" w:type="dxa"/>
            <w:vAlign w:val="bottom"/>
          </w:tcPr>
          <w:p>
            <w:pPr>
              <w:spacing w:after="0"/>
              <w:rPr>
                <w:sz w:val="24"/>
                <w:szCs w:val="24"/>
                <w:color w:val="auto"/>
              </w:rPr>
            </w:pPr>
          </w:p>
        </w:tc>
      </w:tr>
      <w:tr>
        <w:trPr>
          <w:trHeight w:val="566"/>
        </w:trPr>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60" w:type="dxa"/>
            <w:vAlign w:val="bottom"/>
            <w:gridSpan w:val="4"/>
          </w:tcPr>
          <w:p>
            <w:pPr>
              <w:jc w:val="center"/>
              <w:ind w:right="3470"/>
              <w:spacing w:after="0"/>
              <w:rPr>
                <w:sz w:val="20"/>
                <w:szCs w:val="20"/>
                <w:color w:val="auto"/>
              </w:rPr>
            </w:pPr>
            <w:r>
              <w:rPr>
                <w:rFonts w:ascii="Arial" w:cs="Arial" w:eastAsia="Arial" w:hAnsi="Arial"/>
                <w:sz w:val="32"/>
                <w:szCs w:val="32"/>
                <w:b w:val="1"/>
                <w:bCs w:val="1"/>
                <w:color w:val="auto"/>
              </w:rPr>
              <w:t>MICROBOT MEDICAL INC.</w:t>
            </w:r>
          </w:p>
        </w:tc>
      </w:tr>
      <w:tr>
        <w:trPr>
          <w:trHeight w:val="230"/>
        </w:trPr>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3"/>
          </w:tcPr>
          <w:p>
            <w:pPr>
              <w:jc w:val="center"/>
              <w:ind w:left="303"/>
              <w:spacing w:after="0"/>
              <w:rPr>
                <w:sz w:val="20"/>
                <w:szCs w:val="20"/>
                <w:color w:val="auto"/>
              </w:rPr>
            </w:pPr>
            <w:r>
              <w:rPr>
                <w:rFonts w:ascii="Arial" w:cs="Arial" w:eastAsia="Arial" w:hAnsi="Arial"/>
                <w:sz w:val="18"/>
                <w:szCs w:val="18"/>
                <w:i w:val="1"/>
                <w:iCs w:val="1"/>
                <w:color w:val="auto"/>
                <w:w w:val="92"/>
              </w:rPr>
              <w:t>(Name of Registrant in Its Charter)</w:t>
            </w:r>
          </w:p>
        </w:tc>
        <w:tc>
          <w:tcPr>
            <w:tcW w:w="3960" w:type="dxa"/>
            <w:vAlign w:val="bottom"/>
          </w:tcPr>
          <w:p>
            <w:pPr>
              <w:spacing w:after="0"/>
              <w:rPr>
                <w:sz w:val="20"/>
                <w:szCs w:val="20"/>
                <w:color w:val="auto"/>
              </w:rPr>
            </w:pPr>
          </w:p>
        </w:tc>
      </w:tr>
      <w:tr>
        <w:trPr>
          <w:trHeight w:val="418"/>
        </w:trPr>
        <w:tc>
          <w:tcPr>
            <w:tcW w:w="2480" w:type="dxa"/>
            <w:vAlign w:val="bottom"/>
          </w:tcPr>
          <w:p>
            <w:pPr>
              <w:spacing w:after="0"/>
              <w:rPr>
                <w:sz w:val="24"/>
                <w:szCs w:val="24"/>
                <w:color w:val="auto"/>
              </w:rPr>
            </w:pPr>
          </w:p>
        </w:tc>
        <w:tc>
          <w:tcPr>
            <w:tcW w:w="4980" w:type="dxa"/>
            <w:vAlign w:val="bottom"/>
            <w:gridSpan w:val="5"/>
          </w:tcPr>
          <w:p>
            <w:pPr>
              <w:jc w:val="center"/>
              <w:ind w:right="3980"/>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7460" w:type="dxa"/>
            <w:vAlign w:val="bottom"/>
            <w:gridSpan w:val="6"/>
          </w:tcPr>
          <w:p>
            <w:pPr>
              <w:jc w:val="center"/>
              <w:ind w:right="152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960" w:type="dxa"/>
            <w:vAlign w:val="bottom"/>
          </w:tcPr>
          <w:p>
            <w:pPr>
              <w:jc w:val="center"/>
              <w:ind w:right="141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7460" w:type="dxa"/>
            <w:vAlign w:val="bottom"/>
            <w:gridSpan w:val="6"/>
          </w:tcPr>
          <w:p>
            <w:pPr>
              <w:jc w:val="center"/>
              <w:ind w:right="150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960" w:type="dxa"/>
            <w:vAlign w:val="bottom"/>
          </w:tcPr>
          <w:p>
            <w:pPr>
              <w:jc w:val="center"/>
              <w:ind w:right="1410"/>
              <w:spacing w:after="0"/>
              <w:rPr>
                <w:sz w:val="20"/>
                <w:szCs w:val="20"/>
                <w:color w:val="auto"/>
              </w:rPr>
            </w:pPr>
            <w:r>
              <w:rPr>
                <w:rFonts w:ascii="Arial" w:cs="Arial" w:eastAsia="Arial" w:hAnsi="Arial"/>
                <w:sz w:val="18"/>
                <w:szCs w:val="18"/>
                <w:b w:val="1"/>
                <w:bCs w:val="1"/>
                <w:i w:val="1"/>
                <w:iCs w:val="1"/>
                <w:color w:val="auto"/>
                <w:w w:val="90"/>
              </w:rPr>
              <w:t>Identification No.)</w:t>
            </w:r>
          </w:p>
        </w:tc>
      </w:tr>
      <w:tr>
        <w:trPr>
          <w:trHeight w:val="414"/>
        </w:trPr>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left="303"/>
              <w:spacing w:after="0"/>
              <w:rPr>
                <w:sz w:val="20"/>
                <w:szCs w:val="20"/>
                <w:color w:val="auto"/>
              </w:rPr>
            </w:pPr>
            <w:r>
              <w:rPr>
                <w:rFonts w:ascii="Arial" w:cs="Arial" w:eastAsia="Arial" w:hAnsi="Arial"/>
                <w:sz w:val="18"/>
                <w:szCs w:val="18"/>
                <w:b w:val="1"/>
                <w:bCs w:val="1"/>
                <w:color w:val="auto"/>
                <w:w w:val="92"/>
              </w:rPr>
              <w:t>25 Recreation Park Drive, Unit 108</w:t>
            </w:r>
          </w:p>
        </w:tc>
        <w:tc>
          <w:tcPr>
            <w:tcW w:w="396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gridSpan w:val="3"/>
          </w:tcPr>
          <w:p>
            <w:pPr>
              <w:jc w:val="center"/>
              <w:ind w:left="323"/>
              <w:spacing w:after="0"/>
              <w:rPr>
                <w:sz w:val="20"/>
                <w:szCs w:val="20"/>
                <w:color w:val="auto"/>
              </w:rPr>
            </w:pPr>
            <w:r>
              <w:rPr>
                <w:rFonts w:ascii="Arial" w:cs="Arial" w:eastAsia="Arial" w:hAnsi="Arial"/>
                <w:sz w:val="18"/>
                <w:szCs w:val="18"/>
                <w:b w:val="1"/>
                <w:bCs w:val="1"/>
                <w:color w:val="auto"/>
                <w:w w:val="94"/>
              </w:rPr>
              <w:t>Hingham, MA 02043</w:t>
            </w:r>
          </w:p>
        </w:tc>
        <w:tc>
          <w:tcPr>
            <w:tcW w:w="396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3"/>
          </w:tcPr>
          <w:p>
            <w:pPr>
              <w:jc w:val="center"/>
              <w:ind w:left="303"/>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60" w:type="dxa"/>
            <w:vAlign w:val="bottom"/>
          </w:tcPr>
          <w:p>
            <w:pPr>
              <w:spacing w:after="0"/>
              <w:rPr>
                <w:sz w:val="20"/>
                <w:szCs w:val="20"/>
                <w:color w:val="auto"/>
              </w:rPr>
            </w:pPr>
          </w:p>
        </w:tc>
      </w:tr>
      <w:tr>
        <w:trPr>
          <w:trHeight w:val="414"/>
        </w:trPr>
        <w:tc>
          <w:tcPr>
            <w:tcW w:w="2480" w:type="dxa"/>
            <w:vAlign w:val="bottom"/>
          </w:tcPr>
          <w:p>
            <w:pPr>
              <w:spacing w:after="0"/>
              <w:rPr>
                <w:sz w:val="24"/>
                <w:szCs w:val="24"/>
                <w:color w:val="auto"/>
              </w:rPr>
            </w:pPr>
          </w:p>
        </w:tc>
        <w:tc>
          <w:tcPr>
            <w:tcW w:w="4160" w:type="dxa"/>
            <w:vAlign w:val="bottom"/>
            <w:gridSpan w:val="3"/>
          </w:tcPr>
          <w:p>
            <w:pPr>
              <w:jc w:val="center"/>
              <w:ind w:left="2230"/>
              <w:spacing w:after="0"/>
              <w:rPr>
                <w:sz w:val="20"/>
                <w:szCs w:val="20"/>
                <w:color w:val="auto"/>
              </w:rPr>
            </w:pPr>
            <w:r>
              <w:rPr>
                <w:rFonts w:ascii="Arial" w:cs="Arial" w:eastAsia="Arial" w:hAnsi="Arial"/>
                <w:sz w:val="18"/>
                <w:szCs w:val="18"/>
                <w:b w:val="1"/>
                <w:bCs w:val="1"/>
                <w:color w:val="auto"/>
                <w:w w:val="90"/>
              </w:rPr>
              <w:t>(781) 875-3605</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4"/>
          </w:tcPr>
          <w:p>
            <w:pPr>
              <w:jc w:val="center"/>
              <w:ind w:righ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r>
      <w:tr>
        <w:trPr>
          <w:trHeight w:val="432"/>
        </w:trPr>
        <w:tc>
          <w:tcPr>
            <w:tcW w:w="7460" w:type="dxa"/>
            <w:vAlign w:val="bottom"/>
            <w:gridSpan w:val="6"/>
          </w:tcPr>
          <w:p>
            <w:pPr>
              <w:ind w:left="200"/>
              <w:spacing w:after="0"/>
              <w:rPr>
                <w:sz w:val="20"/>
                <w:szCs w:val="20"/>
                <w:color w:val="auto"/>
              </w:rPr>
            </w:pPr>
            <w:r>
              <w:rPr>
                <w:rFonts w:ascii="Arial" w:cs="Arial" w:eastAsia="Arial" w:hAnsi="Arial"/>
                <w:sz w:val="18"/>
                <w:szCs w:val="18"/>
                <w:color w:val="auto"/>
              </w:rPr>
              <w:t>Securities registered pursuant to Section 12(b) of the Act:</w:t>
            </w:r>
          </w:p>
        </w:tc>
        <w:tc>
          <w:tcPr>
            <w:tcW w:w="3960" w:type="dxa"/>
            <w:vAlign w:val="bottom"/>
          </w:tcPr>
          <w:p>
            <w:pPr>
              <w:spacing w:after="0"/>
              <w:rPr>
                <w:sz w:val="24"/>
                <w:szCs w:val="24"/>
                <w:color w:val="auto"/>
              </w:rPr>
            </w:pPr>
          </w:p>
        </w:tc>
      </w:tr>
      <w:tr>
        <w:trPr>
          <w:trHeight w:val="453"/>
        </w:trPr>
        <w:tc>
          <w:tcPr>
            <w:tcW w:w="2480" w:type="dxa"/>
            <w:vAlign w:val="bottom"/>
          </w:tcPr>
          <w:p>
            <w:pPr>
              <w:jc w:val="center"/>
              <w:ind w:left="770"/>
              <w:spacing w:after="0"/>
              <w:rPr>
                <w:sz w:val="20"/>
                <w:szCs w:val="20"/>
                <w:color w:val="auto"/>
              </w:rPr>
            </w:pPr>
            <w:r>
              <w:rPr>
                <w:rFonts w:ascii="Arial" w:cs="Arial" w:eastAsia="Arial" w:hAnsi="Arial"/>
                <w:sz w:val="18"/>
                <w:szCs w:val="18"/>
                <w:color w:val="auto"/>
                <w:w w:val="91"/>
              </w:rPr>
              <w:t>Title of Each Class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960" w:type="dxa"/>
            <w:vAlign w:val="bottom"/>
          </w:tcPr>
          <w:p>
            <w:pPr>
              <w:jc w:val="center"/>
              <w:ind w:right="510"/>
              <w:spacing w:after="0"/>
              <w:rPr>
                <w:sz w:val="20"/>
                <w:szCs w:val="20"/>
                <w:color w:val="auto"/>
              </w:rPr>
            </w:pPr>
            <w:r>
              <w:rPr>
                <w:rFonts w:ascii="Arial" w:cs="Arial" w:eastAsia="Arial" w:hAnsi="Arial"/>
                <w:sz w:val="18"/>
                <w:szCs w:val="18"/>
                <w:color w:val="auto"/>
                <w:w w:val="89"/>
              </w:rPr>
              <w:t>Name of exchange on which registered</w:t>
            </w:r>
          </w:p>
        </w:tc>
      </w:tr>
      <w:tr>
        <w:trPr>
          <w:trHeight w:val="230"/>
        </w:trPr>
        <w:tc>
          <w:tcPr>
            <w:tcW w:w="248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92"/>
              </w:rPr>
              <w:t>Common Stock</w:t>
            </w: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96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18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ind w:right="20" w:firstLine="189"/>
        <w:spacing w:after="0" w:line="264"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7" w:right="239" w:bottom="1440" w:gutter="0" w:footer="0" w:header="0"/>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ind w:left="580"/>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Emerging growth company [ ]</w:t>
      </w:r>
    </w:p>
    <w:p>
      <w:pPr>
        <w:spacing w:after="0" w:line="214" w:lineRule="exact"/>
        <w:rPr>
          <w:sz w:val="24"/>
          <w:szCs w:val="24"/>
          <w:color w:val="auto"/>
        </w:rPr>
      </w:pPr>
    </w:p>
    <w:p>
      <w:pPr>
        <w:sectPr>
          <w:pgSz w:w="11900" w:h="16838" w:orient="portrait"/>
          <w:cols w:equalWidth="0" w:num="3">
            <w:col w:w="3300" w:space="720"/>
            <w:col w:w="2920" w:space="720"/>
            <w:col w:w="3760"/>
          </w:cols>
          <w:pgMar w:left="240" w:top="747" w:right="239" w:bottom="1440" w:gutter="0" w:footer="0" w:header="0"/>
          <w:type w:val="continuous"/>
        </w:sectPr>
      </w:pPr>
    </w:p>
    <w:p>
      <w:pPr>
        <w:spacing w:after="0" w:line="22"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4,307,666 shares of Common Stock, $0.01 par value at August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20" w:type="dxa"/>
            <w:vAlign w:val="bottom"/>
            <w:gridSpan w:val="9"/>
          </w:tcPr>
          <w:p>
            <w:pPr>
              <w:ind w:left="780"/>
              <w:spacing w:after="0"/>
              <w:rPr>
                <w:sz w:val="20"/>
                <w:szCs w:val="20"/>
                <w:color w:val="auto"/>
              </w:rPr>
            </w:pPr>
            <w:r>
              <w:rPr>
                <w:rFonts w:ascii="Arial" w:cs="Arial" w:eastAsia="Arial" w:hAnsi="Arial"/>
                <w:sz w:val="18"/>
                <w:szCs w:val="18"/>
                <w:b w:val="1"/>
                <w:bCs w:val="1"/>
                <w:color w:val="auto"/>
              </w:rPr>
              <w:t>MICROBOT MEDICAL INC. AND SUBSIDIARIES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6"/>
          </w:tcPr>
          <w:p>
            <w:pPr>
              <w:ind w:left="480"/>
              <w:spacing w:after="0"/>
              <w:rPr>
                <w:sz w:val="20"/>
                <w:szCs w:val="20"/>
                <w:color w:val="auto"/>
              </w:rPr>
            </w:pPr>
            <w:r>
              <w:rPr>
                <w:rFonts w:ascii="Arial" w:cs="Arial" w:eastAsia="Arial" w:hAnsi="Arial"/>
                <w:sz w:val="18"/>
                <w:szCs w:val="18"/>
                <w:color w:val="auto"/>
              </w:rPr>
              <w:t>Index</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gridSpan w:val="18"/>
          </w:tcPr>
          <w:p>
            <w:pPr>
              <w:spacing w:after="0"/>
              <w:rPr>
                <w:sz w:val="20"/>
                <w:szCs w:val="20"/>
                <w:color w:val="auto"/>
              </w:rPr>
            </w:pPr>
            <w:r>
              <w:rPr>
                <w:rFonts w:ascii="Arial" w:cs="Arial" w:eastAsia="Arial" w:hAnsi="Arial"/>
                <w:sz w:val="18"/>
                <w:szCs w:val="18"/>
                <w:color w:val="auto"/>
              </w:rPr>
              <w:t>Item 1 - Financial Statements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2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Balance Sheets as of June 30, 2019 (unaudited) and December 31, 2018 (audited)</w:t>
              </w:r>
            </w:hyperlink>
          </w:p>
        </w:tc>
        <w:tc>
          <w:tcPr>
            <w:tcW w:w="1120" w:type="dxa"/>
            <w:vAlign w:val="bottom"/>
            <w:shd w:val="clear" w:color="auto" w:fill="CCEEFF"/>
          </w:tcPr>
          <w:p>
            <w:pPr>
              <w:jc w:val="center"/>
              <w:ind w:left="35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12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Operations for the Three and Six Months Ended June 30, 2019 and 2018 (unaudited)</w:t>
              </w:r>
            </w:hyperlink>
          </w:p>
        </w:tc>
        <w:tc>
          <w:tcPr>
            <w:tcW w:w="112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Interim Consolidated Statements of Comprehensive Loss for the Three and Six Months Ended June 30, 2019 and 2018 (unaudited)</w:t>
              </w:r>
            </w:hyperlink>
          </w:p>
        </w:tc>
        <w:tc>
          <w:tcPr>
            <w:tcW w:w="6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80" w:type="dxa"/>
            <w:vAlign w:val="bottom"/>
            <w:gridSpan w:val="18"/>
          </w:tcPr>
          <w:p>
            <w:pPr>
              <w:ind w:left="160"/>
              <w:spacing w:after="0" w:line="17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Interim Consolidated Statements of Shareholders’ Equity for the Three and Six Months Ended June 30, 2019 and 2018 (unaudited)</w:t>
              </w:r>
            </w:hyperlink>
          </w:p>
        </w:tc>
        <w:tc>
          <w:tcPr>
            <w:tcW w:w="112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Interim Consolidated Statements of Cash Flows for the Six Months Ended June 30, 2019 and 2018 (unaudited)</w:t>
              </w:r>
            </w:hyperlink>
          </w:p>
        </w:tc>
        <w:tc>
          <w:tcPr>
            <w:tcW w:w="21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80" w:type="dxa"/>
            <w:vAlign w:val="bottom"/>
            <w:gridSpan w:val="18"/>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Interim Consolidated Financial Statements</w:t>
              </w:r>
            </w:hyperlink>
          </w:p>
        </w:tc>
        <w:tc>
          <w:tcPr>
            <w:tcW w:w="112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80" w:type="dxa"/>
            <w:vAlign w:val="bottom"/>
            <w:gridSpan w:val="18"/>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2 - Management’s Discussion and Analysis of Financial Condition and Results of Operations</w:t>
              </w:r>
            </w:hyperlink>
          </w:p>
        </w:tc>
        <w:tc>
          <w:tcPr>
            <w:tcW w:w="112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6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 – Quantitative and Qualitative Disclosures About Market Risk</w:t>
              </w:r>
            </w:hyperlink>
          </w:p>
        </w:tc>
        <w:tc>
          <w:tcPr>
            <w:tcW w:w="322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ind w:left="37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4 - Controls and Procedures</w:t>
              </w:r>
            </w:hyperlink>
          </w:p>
        </w:tc>
        <w:tc>
          <w:tcPr>
            <w:tcW w:w="790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80" w:type="dxa"/>
            <w:vAlign w:val="bottom"/>
            <w:gridSpan w:val="18"/>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1 - Legal Proceedings</w:t>
              </w:r>
            </w:hyperlink>
          </w:p>
        </w:tc>
        <w:tc>
          <w:tcPr>
            <w:tcW w:w="834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80" w:type="dxa"/>
            <w:vAlign w:val="bottom"/>
            <w:gridSpan w:val="1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 Unregistered Sales of Equity Securities and Use of Proceeds</w:t>
              </w:r>
            </w:hyperlink>
          </w:p>
        </w:tc>
        <w:tc>
          <w:tcPr>
            <w:tcW w:w="1120" w:type="dxa"/>
            <w:vAlign w:val="bottom"/>
          </w:tcPr>
          <w:p>
            <w:pPr>
              <w:jc w:val="center"/>
              <w:ind w:left="37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 – Defaults Upon Senior Securities</w:t>
              </w:r>
            </w:hyperlink>
          </w:p>
        </w:tc>
        <w:tc>
          <w:tcPr>
            <w:tcW w:w="73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80" w:type="dxa"/>
            <w:vAlign w:val="bottom"/>
            <w:gridSpan w:val="1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 Mine Safety Disclosures</w:t>
              </w:r>
            </w:hyperlink>
          </w:p>
        </w:tc>
        <w:tc>
          <w:tcPr>
            <w:tcW w:w="1120" w:type="dxa"/>
            <w:vAlign w:val="bottom"/>
          </w:tcPr>
          <w:p>
            <w:pPr>
              <w:jc w:val="center"/>
              <w:ind w:left="37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5 - Other Information</w:t>
              </w:r>
            </w:hyperlink>
          </w:p>
        </w:tc>
        <w:tc>
          <w:tcPr>
            <w:tcW w:w="836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80" w:type="dxa"/>
            <w:vAlign w:val="bottom"/>
            <w:gridSpan w:val="1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 – Exhibits</w:t>
              </w:r>
            </w:hyperlink>
          </w:p>
        </w:tc>
        <w:tc>
          <w:tcPr>
            <w:tcW w:w="1120" w:type="dxa"/>
            <w:vAlign w:val="bottom"/>
          </w:tcPr>
          <w:p>
            <w:pPr>
              <w:jc w:val="center"/>
              <w:ind w:left="37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8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120" w:type="dxa"/>
            <w:vAlign w:val="bottom"/>
            <w:shd w:val="clear" w:color="auto" w:fill="CCEEFF"/>
          </w:tcPr>
          <w:p>
            <w:pPr>
              <w:jc w:val="center"/>
              <w:ind w:left="37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 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As of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(unaudited)</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5"/>
          </w:tcPr>
          <w:p>
            <w:pPr>
              <w:jc w:val="right"/>
              <w:ind w:right="151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Short term investments</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2,503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LIABILITIES AND STOCKHOLDERS’ EQUITY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payables</w:t>
            </w:r>
          </w:p>
        </w:tc>
        <w:tc>
          <w:tcPr>
            <w:tcW w:w="11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3,477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Long-term lease liabilities</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$0.01 par value; 220,000,000 shares authorized as of June 30,</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 and December 31, 2018 4,307,666 and 3,012,343 shares issued and</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June 30, 2019 and December 31, 2018</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42,680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32,538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shares</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(31,367)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(27,864)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8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Company adopted ASU 2017-11 using the full retrospective approach. Refer to Note 6 for further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Three Months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income (expenses), net</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4,307,666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2,855,428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4,197,566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2,809,754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June 30, 2018 share data represents the number of shares adjusted to retroactively reflect the 1:15 reverse stock split effected on September 4, 2018. Refer to Note 1 for further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For the Three Months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(1,542)</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(3,503)</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loss (gain) on available for sale securities</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ind w:left="10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Total</w:t>
            </w:r>
          </w:p>
        </w:tc>
        <w:tc>
          <w:tcPr>
            <w:tcW w:w="6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Temporary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86"/>
              </w:rPr>
              <w:t>Series A 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Common Stock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87"/>
              </w:rPr>
              <w:t>Treasury</w:t>
            </w:r>
          </w:p>
        </w:tc>
        <w:tc>
          <w:tcPr>
            <w:tcW w:w="9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8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Stockholders’</w:t>
            </w:r>
          </w:p>
        </w:tc>
        <w:tc>
          <w:tcPr>
            <w:tcW w:w="6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58"/>
              <w:spacing w:after="0" w:line="140" w:lineRule="exact"/>
              <w:rPr>
                <w:sz w:val="20"/>
                <w:szCs w:val="20"/>
                <w:color w:val="auto"/>
              </w:rPr>
            </w:pPr>
            <w:r>
              <w:rPr>
                <w:rFonts w:ascii="Arial" w:cs="Arial" w:eastAsia="Arial" w:hAnsi="Arial"/>
                <w:sz w:val="13"/>
                <w:szCs w:val="13"/>
                <w:b w:val="1"/>
                <w:bCs w:val="1"/>
                <w:color w:val="auto"/>
                <w:w w:val="85"/>
              </w:rPr>
              <w:t>Shares (1)</w:t>
            </w:r>
          </w:p>
        </w:tc>
        <w:tc>
          <w:tcPr>
            <w:tcW w:w="60" w:type="dxa"/>
            <w:vAlign w:val="bottom"/>
          </w:tcPr>
          <w:p>
            <w:pPr>
              <w:spacing w:after="0"/>
              <w:rPr>
                <w:sz w:val="12"/>
                <w:szCs w:val="12"/>
                <w:color w:val="auto"/>
              </w:rPr>
            </w:pPr>
          </w:p>
        </w:tc>
        <w:tc>
          <w:tcPr>
            <w:tcW w:w="90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38"/>
              <w:spacing w:after="0" w:line="140" w:lineRule="exact"/>
              <w:rPr>
                <w:sz w:val="20"/>
                <w:szCs w:val="20"/>
                <w:color w:val="auto"/>
              </w:rPr>
            </w:pPr>
            <w:r>
              <w:rPr>
                <w:rFonts w:ascii="Arial" w:cs="Arial" w:eastAsia="Arial" w:hAnsi="Arial"/>
                <w:sz w:val="13"/>
                <w:szCs w:val="13"/>
                <w:b w:val="1"/>
                <w:bCs w:val="1"/>
                <w:color w:val="auto"/>
                <w:w w:val="91"/>
              </w:rPr>
              <w:t>Deficit (2)</w:t>
            </w: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6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w w:val="82"/>
              </w:rPr>
              <w:t>Shares</w:t>
            </w:r>
          </w:p>
        </w:tc>
        <w:tc>
          <w:tcPr>
            <w:tcW w:w="4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80" w:type="dxa"/>
            <w:vAlign w:val="bottom"/>
          </w:tcPr>
          <w:p>
            <w:pPr>
              <w:spacing w:after="0"/>
              <w:rPr>
                <w:sz w:val="13"/>
                <w:szCs w:val="13"/>
                <w:color w:val="auto"/>
              </w:rPr>
            </w:pPr>
          </w:p>
        </w:tc>
        <w:tc>
          <w:tcPr>
            <w:tcW w:w="72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38"/>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Balances, December 31, 2017</w:t>
            </w:r>
          </w:p>
        </w:tc>
        <w:tc>
          <w:tcPr>
            <w:tcW w:w="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4,001</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30,569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center"/>
              <w:ind w:left="677"/>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(20,604)</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9,992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822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822</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Exercise of options</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Shares issued as consideration-vendors</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Conversion of preferred A shares to common stock</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(3,000)</w:t>
            </w:r>
          </w:p>
        </w:tc>
        <w:tc>
          <w:tcPr>
            <w:tcW w:w="360" w:type="dxa"/>
            <w:vAlign w:val="bottom"/>
          </w:tcPr>
          <w:p>
            <w:pPr>
              <w:spacing w:after="0"/>
              <w:rPr>
                <w:sz w:val="11"/>
                <w:szCs w:val="11"/>
                <w:color w:val="auto"/>
              </w:rPr>
            </w:pP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202,126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55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(3,376)</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(3,376)</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CCEEFF"/>
              <w:bottom w:val="single" w:sz="8" w:color="CCEEFF"/>
            </w:tcBorders>
          </w:tcPr>
          <w:p>
            <w:pPr>
              <w:spacing w:after="0" w:line="136" w:lineRule="exact"/>
              <w:rPr>
                <w:sz w:val="20"/>
                <w:szCs w:val="20"/>
                <w:color w:val="auto"/>
              </w:rPr>
            </w:pPr>
            <w:r>
              <w:rPr>
                <w:rFonts w:ascii="Arial" w:cs="Arial" w:eastAsia="Arial" w:hAnsi="Arial"/>
                <w:sz w:val="13"/>
                <w:szCs w:val="13"/>
                <w:color w:val="auto"/>
              </w:rPr>
              <w:t>Balances, June 30, 2018</w:t>
            </w: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1,001</w:t>
            </w:r>
          </w:p>
        </w:tc>
        <w:tc>
          <w:tcPr>
            <w:tcW w:w="20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2,945,677</w:t>
            </w: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30</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31,462</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center"/>
              <w:ind w:left="677"/>
              <w:spacing w:after="0" w:line="136"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(23,980</w:t>
            </w:r>
          </w:p>
        </w:tc>
        <w:tc>
          <w:tcPr>
            <w:tcW w:w="200" w:type="dxa"/>
            <w:vAlign w:val="bottom"/>
            <w:tcBorders>
              <w:top w:val="single" w:sz="8" w:color="CCEEFF"/>
              <w:bottom w:val="single" w:sz="8" w:color="CCEEFF"/>
            </w:tcBorders>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7,512</w:t>
            </w:r>
          </w:p>
        </w:tc>
        <w:tc>
          <w:tcPr>
            <w:tcW w:w="2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500</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20" w:type="dxa"/>
            <w:vAlign w:val="bottom"/>
          </w:tcPr>
          <w:p>
            <w:pPr>
              <w:spacing w:after="0" w:line="135" w:lineRule="exact"/>
              <w:rPr>
                <w:sz w:val="20"/>
                <w:szCs w:val="20"/>
                <w:color w:val="auto"/>
              </w:rPr>
            </w:pPr>
            <w:r>
              <w:rPr>
                <w:rFonts w:ascii="Arial" w:cs="Arial" w:eastAsia="Arial" w:hAnsi="Arial"/>
                <w:sz w:val="13"/>
                <w:szCs w:val="13"/>
                <w:color w:val="auto"/>
              </w:rPr>
              <w:t>Balances, March 31, 2018</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2,464</w:t>
            </w:r>
          </w:p>
        </w:tc>
        <w:tc>
          <w:tcPr>
            <w:tcW w:w="3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2,837,883</w:t>
            </w:r>
          </w:p>
        </w:tc>
        <w:tc>
          <w:tcPr>
            <w:tcW w:w="100" w:type="dxa"/>
            <w:vAlign w:val="bottom"/>
          </w:tcPr>
          <w:p>
            <w:pPr>
              <w:spacing w:after="0"/>
              <w:rPr>
                <w:sz w:val="11"/>
                <w:szCs w:val="11"/>
                <w:color w:val="auto"/>
              </w:rPr>
            </w:pPr>
          </w:p>
        </w:tc>
        <w:tc>
          <w:tcPr>
            <w:tcW w:w="2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30,984</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gridSpan w:val="2"/>
          </w:tcPr>
          <w:p>
            <w:pPr>
              <w:ind w:left="80"/>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(22,086)</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8,926</w:t>
            </w:r>
          </w:p>
        </w:tc>
        <w:tc>
          <w:tcPr>
            <w:tcW w:w="2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Shares issued as consideration-vendors</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406</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Conversion of preferred A shares to common stock</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(1,463)</w:t>
            </w:r>
          </w:p>
        </w:tc>
        <w:tc>
          <w:tcPr>
            <w:tcW w:w="3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101,056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00" w:type="dxa"/>
            <w:vAlign w:val="bottom"/>
            <w:gridSpan w:val="2"/>
          </w:tcPr>
          <w:p>
            <w:pPr>
              <w:jc w:val="center"/>
              <w:ind w:left="55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rPr>
              <w:t>(1,894)</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(1,894)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Balances, June 30, 2018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2,945,677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31,462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center"/>
              <w:ind w:left="67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(23,980</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Balances, December 31, 2018</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3,012,343</w:t>
            </w:r>
          </w:p>
        </w:tc>
        <w:tc>
          <w:tcPr>
            <w:tcW w:w="1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32,538</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(3,375)</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(27,864)</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20" w:type="dxa"/>
            <w:vAlign w:val="bottom"/>
          </w:tcPr>
          <w:p>
            <w:pPr>
              <w:ind w:left="160"/>
              <w:spacing w:after="0" w:line="121" w:lineRule="exact"/>
              <w:rPr>
                <w:sz w:val="20"/>
                <w:szCs w:val="20"/>
                <w:color w:val="auto"/>
              </w:rPr>
            </w:pPr>
            <w:r>
              <w:rPr>
                <w:rFonts w:ascii="Arial" w:cs="Arial" w:eastAsia="Arial" w:hAnsi="Arial"/>
                <w:sz w:val="13"/>
                <w:szCs w:val="13"/>
                <w:color w:val="auto"/>
              </w:rPr>
              <w:t>Issuance of common stock and warrants net of issuance</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160"/>
              <w:spacing w:after="0"/>
              <w:rPr>
                <w:sz w:val="20"/>
                <w:szCs w:val="20"/>
                <w:color w:val="auto"/>
              </w:rPr>
            </w:pPr>
            <w:r>
              <w:rPr>
                <w:rFonts w:ascii="Arial" w:cs="Arial" w:eastAsia="Arial" w:hAnsi="Arial"/>
                <w:sz w:val="13"/>
                <w:szCs w:val="13"/>
                <w:color w:val="auto"/>
              </w:rPr>
              <w:t>expenses</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1,295,323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9,532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gridSpan w:val="2"/>
          </w:tcPr>
          <w:p>
            <w:pPr>
              <w:jc w:val="center"/>
              <w:ind w:left="55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610</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Unrealized loss on marketable debt security</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center"/>
              <w:ind w:left="5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55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(3,503)</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(3,503)</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CCEEFF"/>
              <w:bottom w:val="single" w:sz="8" w:color="CCEEFF"/>
            </w:tcBorders>
          </w:tcPr>
          <w:p>
            <w:pPr>
              <w:spacing w:after="0" w:line="136" w:lineRule="exact"/>
              <w:rPr>
                <w:sz w:val="20"/>
                <w:szCs w:val="20"/>
                <w:color w:val="auto"/>
              </w:rPr>
            </w:pPr>
            <w:r>
              <w:rPr>
                <w:rFonts w:ascii="Arial" w:cs="Arial" w:eastAsia="Arial" w:hAnsi="Arial"/>
                <w:sz w:val="13"/>
                <w:szCs w:val="13"/>
                <w:color w:val="auto"/>
              </w:rPr>
              <w:t>Balances, June 30, 2019</w:t>
            </w: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4,307,666</w:t>
            </w: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43</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42,680</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(3,375</w:t>
            </w:r>
          </w:p>
        </w:tc>
        <w:tc>
          <w:tcPr>
            <w:tcW w:w="200" w:type="dxa"/>
            <w:vAlign w:val="bottom"/>
            <w:tcBorders>
              <w:top w:val="single" w:sz="8" w:color="CCEEFF"/>
              <w:bottom w:val="single" w:sz="8" w:color="CCEEFF"/>
            </w:tcBorders>
          </w:tcPr>
          <w:p>
            <w:pPr>
              <w:jc w:val="right"/>
              <w:ind w:right="1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center"/>
              <w:ind w:left="677"/>
              <w:spacing w:after="0" w:line="136"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(31,367</w:t>
            </w:r>
          </w:p>
        </w:tc>
        <w:tc>
          <w:tcPr>
            <w:tcW w:w="200" w:type="dxa"/>
            <w:vAlign w:val="bottom"/>
            <w:tcBorders>
              <w:top w:val="single" w:sz="8" w:color="CCEEFF"/>
              <w:bottom w:val="single" w:sz="8" w:color="CCEEFF"/>
            </w:tcBorders>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7,981</w:t>
            </w:r>
          </w:p>
        </w:tc>
        <w:tc>
          <w:tcPr>
            <w:tcW w:w="2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20" w:type="dxa"/>
            <w:vAlign w:val="bottom"/>
          </w:tcPr>
          <w:p>
            <w:pPr>
              <w:spacing w:after="0" w:line="135" w:lineRule="exact"/>
              <w:rPr>
                <w:sz w:val="20"/>
                <w:szCs w:val="20"/>
                <w:color w:val="auto"/>
              </w:rPr>
            </w:pPr>
            <w:r>
              <w:rPr>
                <w:rFonts w:ascii="Arial" w:cs="Arial" w:eastAsia="Arial" w:hAnsi="Arial"/>
                <w:sz w:val="13"/>
                <w:szCs w:val="13"/>
                <w:color w:val="auto"/>
              </w:rPr>
              <w:t>Balances, March 31, 2019</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4,307,666</w:t>
            </w:r>
          </w:p>
        </w:tc>
        <w:tc>
          <w:tcPr>
            <w:tcW w:w="100" w:type="dxa"/>
            <w:vAlign w:val="bottom"/>
          </w:tcPr>
          <w:p>
            <w:pPr>
              <w:spacing w:after="0"/>
              <w:rPr>
                <w:sz w:val="11"/>
                <w:szCs w:val="11"/>
                <w:color w:val="auto"/>
              </w:rPr>
            </w:pPr>
          </w:p>
        </w:tc>
        <w:tc>
          <w:tcPr>
            <w:tcW w:w="2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42,385</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(3,375)</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gridSpan w:val="2"/>
          </w:tcPr>
          <w:p>
            <w:pPr>
              <w:ind w:left="80"/>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(29,825)</w:t>
            </w: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9,228</w:t>
            </w:r>
          </w:p>
        </w:tc>
        <w:tc>
          <w:tcPr>
            <w:tcW w:w="2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20" w:type="dxa"/>
            <w:vAlign w:val="bottom"/>
            <w:shd w:val="clear" w:color="auto" w:fill="CCEEFF"/>
          </w:tcPr>
          <w:p>
            <w:pPr>
              <w:ind w:left="160"/>
              <w:spacing w:after="0" w:line="121" w:lineRule="exact"/>
              <w:rPr>
                <w:sz w:val="20"/>
                <w:szCs w:val="20"/>
                <w:color w:val="auto"/>
              </w:rPr>
            </w:pPr>
            <w:r>
              <w:rPr>
                <w:rFonts w:ascii="Arial" w:cs="Arial" w:eastAsia="Arial" w:hAnsi="Arial"/>
                <w:sz w:val="13"/>
                <w:szCs w:val="13"/>
                <w:color w:val="auto"/>
              </w:rPr>
              <w:t>Issuance of common stock and warrants net of issuance</w:t>
            </w: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expenses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557"/>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160"/>
              <w:spacing w:after="0" w:line="135" w:lineRule="exact"/>
              <w:rPr>
                <w:sz w:val="20"/>
                <w:szCs w:val="20"/>
                <w:color w:val="auto"/>
              </w:rPr>
            </w:pPr>
            <w:r>
              <w:rPr>
                <w:rFonts w:ascii="Arial" w:cs="Arial" w:eastAsia="Arial" w:hAnsi="Arial"/>
                <w:sz w:val="13"/>
                <w:szCs w:val="13"/>
                <w:color w:val="auto"/>
              </w:rPr>
              <w:t>Share-based compensation</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295</w:t>
            </w: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Unrealized loss on marketable debt security</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left="517"/>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ind w:left="160"/>
              <w:spacing w:after="0"/>
              <w:rPr>
                <w:sz w:val="20"/>
                <w:szCs w:val="20"/>
                <w:color w:val="auto"/>
              </w:rPr>
            </w:pPr>
            <w:r>
              <w:rPr>
                <w:rFonts w:ascii="Arial" w:cs="Arial" w:eastAsia="Arial" w:hAnsi="Arial"/>
                <w:sz w:val="13"/>
                <w:szCs w:val="13"/>
                <w:color w:val="auto"/>
              </w:rPr>
              <w:t>Net loss</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00" w:type="dxa"/>
            <w:vAlign w:val="bottom"/>
            <w:gridSpan w:val="2"/>
          </w:tcPr>
          <w:p>
            <w:pPr>
              <w:jc w:val="center"/>
              <w:ind w:left="557"/>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rPr>
              <w:t>(1,542)</w:t>
            </w: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(1,542)</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Arial" w:cs="Arial" w:eastAsia="Arial" w:hAnsi="Arial"/>
                <w:sz w:val="13"/>
                <w:szCs w:val="13"/>
                <w:color w:val="auto"/>
              </w:rPr>
              <w:t>Balances, June 30, 2019</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4,307,666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42,680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(3,375</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center"/>
              <w:ind w:left="67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(31,367</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4 for further information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5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Includes 721,107 common stock classified as temporary equity as of December 31, 2017.</w:t>
      </w:r>
    </w:p>
    <w:p>
      <w:pPr>
        <w:spacing w:after="0" w:line="9" w:lineRule="exact"/>
        <w:rPr>
          <w:sz w:val="20"/>
          <w:szCs w:val="20"/>
          <w:color w:val="auto"/>
        </w:rPr>
      </w:pPr>
    </w:p>
    <w:p>
      <w:pPr>
        <w:ind w:firstLine="8"/>
        <w:spacing w:after="0" w:line="261"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 data as of December 31, 2017, March 31, 2018, and June 30, 2018 and for the periods then ended represent the number of shares adjusted to retroactively reflect the 1:15 reverse stock split effected on September 4, 2018. Refer to Note 1 for further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For the Six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115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Vacation</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discount (premium) on marketable debt securities</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flows from operating activities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marketable debt securities</w:t>
            </w: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flows from investing activities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and warrants, net of issuance costs</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9,562</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cash flows from financing activities</w:t>
            </w:r>
          </w:p>
        </w:tc>
        <w:tc>
          <w:tcPr>
            <w:tcW w:w="46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9,562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cash, cash equivalents and restricted cash</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 cash equivalents and restricted cash, beginning</w:t>
            </w: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5,263</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ending</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1780" w:type="dxa"/>
            <w:vAlign w:val="bottom"/>
            <w:gridSpan w:val="2"/>
          </w:tcPr>
          <w:p>
            <w:pPr>
              <w:jc w:val="right"/>
              <w:ind w:right="115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8"/>
              </w:rPr>
              <w:t>Recognition of right-of-use asset and lease liability upon adoption of ASU 2016-02</w:t>
            </w:r>
          </w:p>
        </w:tc>
        <w:tc>
          <w:tcPr>
            <w:tcW w:w="1780" w:type="dxa"/>
            <w:vAlign w:val="bottom"/>
            <w:gridSpan w:val="2"/>
          </w:tcPr>
          <w:p>
            <w:pPr>
              <w:jc w:val="right"/>
              <w:ind w:right="115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 received from interest</w:t>
            </w:r>
          </w:p>
        </w:tc>
        <w:tc>
          <w:tcPr>
            <w:tcW w:w="1780" w:type="dxa"/>
            <w:vAlign w:val="bottom"/>
            <w:gridSpan w:val="2"/>
          </w:tcPr>
          <w:p>
            <w:pPr>
              <w:jc w:val="right"/>
              <w:ind w:right="115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taxes</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1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1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65" w:lineRule="exact"/>
        <w:rPr>
          <w:rFonts w:ascii="Arial" w:cs="Arial" w:eastAsia="Arial" w:hAnsi="Arial"/>
          <w:sz w:val="18"/>
          <w:szCs w:val="18"/>
          <w:b w:val="1"/>
          <w:bCs w:val="1"/>
          <w:color w:val="auto"/>
        </w:rPr>
      </w:pPr>
    </w:p>
    <w:p>
      <w:pPr>
        <w:jc w:val="both"/>
        <w:ind w:left="1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5" w:lineRule="exact"/>
        <w:rPr>
          <w:rFonts w:ascii="Arial" w:cs="Arial" w:eastAsia="Arial" w:hAnsi="Arial"/>
          <w:sz w:val="18"/>
          <w:szCs w:val="18"/>
          <w:b w:val="1"/>
          <w:bCs w:val="1"/>
          <w:color w:val="auto"/>
        </w:rPr>
      </w:pPr>
    </w:p>
    <w:p>
      <w:pPr>
        <w:jc w:val="both"/>
        <w:ind w:left="13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rFonts w:ascii="Arial" w:cs="Arial" w:eastAsia="Arial" w:hAnsi="Arial"/>
          <w:sz w:val="18"/>
          <w:szCs w:val="18"/>
          <w:b w:val="1"/>
          <w:bCs w:val="1"/>
          <w:color w:val="auto"/>
        </w:rPr>
      </w:pPr>
    </w:p>
    <w:p>
      <w:pPr>
        <w:jc w:val="both"/>
        <w:ind w:left="13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1300" w:hanging="320"/>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1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date, the Company has not generated revenues from its operations. As of June 30, 2019, the Company had unrestricted cash and cash equivalent balance of approximately $7,382,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6" w:lineRule="exact"/>
        <w:rPr>
          <w:rFonts w:ascii="Arial" w:cs="Arial" w:eastAsia="Arial" w:hAnsi="Arial"/>
          <w:sz w:val="18"/>
          <w:szCs w:val="18"/>
          <w:b w:val="1"/>
          <w:bCs w:val="1"/>
          <w:color w:val="auto"/>
        </w:rPr>
      </w:pPr>
    </w:p>
    <w:p>
      <w:pPr>
        <w:jc w:val="both"/>
        <w:ind w:left="13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Due to continuing research and development activities, the Company expects to continue to incur additional losses for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3" w:lineRule="exact"/>
        <w:rPr>
          <w:rFonts w:ascii="Arial" w:cs="Arial" w:eastAsia="Arial" w:hAnsi="Arial"/>
          <w:sz w:val="18"/>
          <w:szCs w:val="18"/>
          <w:b w:val="1"/>
          <w:bCs w:val="1"/>
          <w:color w:val="auto"/>
        </w:rPr>
      </w:pPr>
    </w:p>
    <w:p>
      <w:pPr>
        <w:ind w:left="1300" w:hanging="320"/>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jc w:val="both"/>
        <w:ind w:left="13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13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were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79" w:lineRule="exact"/>
        <w:rPr>
          <w:sz w:val="20"/>
          <w:szCs w:val="20"/>
          <w:color w:val="auto"/>
        </w:rPr>
      </w:pPr>
    </w:p>
    <w:p>
      <w:pPr>
        <w:jc w:val="center"/>
        <w:ind w:right="57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Operating results for the three and six months periods ended June 30, 2019, are not necessarily indicative of the results that may be expected for the year ended December 31, 2019.</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1300" w:right="20"/>
        <w:spacing w:after="0" w:line="308" w:lineRule="auto"/>
        <w:rPr>
          <w:sz w:val="20"/>
          <w:szCs w:val="20"/>
          <w:color w:val="auto"/>
        </w:rPr>
      </w:pPr>
      <w:r>
        <w:rPr>
          <w:rFonts w:ascii="Arial" w:cs="Arial" w:eastAsia="Arial" w:hAnsi="Arial"/>
          <w:sz w:val="17"/>
          <w:szCs w:val="17"/>
          <w:color w:val="auto"/>
        </w:rPr>
        <w:t>The significant accounting policies followed in the preparation of these unaudited interim condensed consolidated financial statements are identical to those applied in the preparation of the latest annual audited financial statements with the exception of the following:</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began investing excess cash in short-term investments during the first quarter of 2019.</w:t>
      </w:r>
    </w:p>
    <w:p>
      <w:pPr>
        <w:spacing w:after="0" w:line="22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Marketable debt securities are considered to be available for sale and are carried at fair value. Unrealized gains and losses net of tax, if any, are reported as a separate component of shareholders’ equity. The cost of marketable debt securities classified as available for sale is adjusted for amortization of premiums and accretion of discounts to maturity. Such amortization and accretion are included in interest income. Realized gains and losses and declines in value judged to be other than temporary, if any, are also included in other income, net. Interest on securities classified as available for sale is included in interest income. The cost of securities sold is based on the specific identification method.</w:t>
      </w:r>
    </w:p>
    <w:p>
      <w:pPr>
        <w:spacing w:after="0" w:line="193"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three and six-months ended June 30, 2019, no investment OTTI losses were realized.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ind w:right="12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 measures the fair value of certain of its financial instruments (marketable debt security) on a recurring basis.</w:t>
      </w:r>
    </w:p>
    <w:p>
      <w:pPr>
        <w:spacing w:after="0" w:line="225"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10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10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In February 2016, the Financial Accounting Standards Board (“FASB”) issued ASU 2016-02, Leases (Topic 842). This ASU requires entities that lease assets to recognize on the balance sheet the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spacing w:after="0" w:line="171" w:lineRule="exact"/>
        <w:rPr>
          <w:sz w:val="20"/>
          <w:szCs w:val="20"/>
          <w:color w:val="auto"/>
        </w:rPr>
      </w:pPr>
    </w:p>
    <w:p>
      <w:pPr>
        <w:jc w:val="both"/>
        <w:ind w:left="100"/>
        <w:spacing w:after="0" w:line="272" w:lineRule="auto"/>
        <w:rPr>
          <w:sz w:val="20"/>
          <w:szCs w:val="20"/>
          <w:color w:val="auto"/>
        </w:rPr>
      </w:pPr>
      <w:r>
        <w:rPr>
          <w:rFonts w:ascii="Arial" w:cs="Arial" w:eastAsia="Arial" w:hAnsi="Arial"/>
          <w:sz w:val="17"/>
          <w:szCs w:val="17"/>
          <w:color w:val="auto"/>
        </w:rPr>
        <w:t>Arrangements that are determined to be leases at inception are recognized as long-term right-of-use assets (“ROU”) and lease liabilities in the condensed consolidated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00"/>
        <w:spacing w:after="0" w:line="271" w:lineRule="auto"/>
        <w:rPr>
          <w:sz w:val="20"/>
          <w:szCs w:val="20"/>
          <w:color w:val="auto"/>
        </w:rPr>
      </w:pPr>
      <w:r>
        <w:rPr>
          <w:rFonts w:ascii="Arial" w:cs="Arial" w:eastAsia="Arial" w:hAnsi="Arial"/>
          <w:sz w:val="17"/>
          <w:szCs w:val="17"/>
          <w:color w:val="auto"/>
        </w:rPr>
        <w:t>Prior to January 1, 2019, warrants with non-standard anti-dilution provisions (referred to as down round protection) were classified as liabilities and re-measured each reporting period. On January 1, 2019, the Company adopted the provisions of Accounting Standards Update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As a result of the adoption of ASU 2017-11, the Company’s warrants were reclassified from liabilities to shareholders’ equity.</w:t>
      </w:r>
    </w:p>
    <w:p>
      <w:pPr>
        <w:spacing w:after="0" w:line="17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cumulative effect of adoption of ASU 2017-11 resulted as follows:</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For the</w:t>
            </w:r>
          </w:p>
        </w:tc>
        <w:tc>
          <w:tcPr>
            <w:tcW w:w="18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Six Months ended</w:t>
            </w:r>
          </w:p>
        </w:tc>
        <w:tc>
          <w:tcPr>
            <w:tcW w:w="18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2018</w:t>
            </w:r>
          </w:p>
        </w:tc>
        <w:tc>
          <w:tcPr>
            <w:tcW w:w="18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 to Note 6 for further information regarding the outstanding warrants as of June 30, 2019.</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 improve information on credit losses for financial assets and net investment in leases that are not accounted for at fair value through net income. This ASU replaces the current incurred loss impairment methodology with a methodology that reflects expected credit losses. This ASU is effective for the Company in the first quarter of 2020, with early adoption permitted. The Company does not expect that this ASU will have a material effect on the Company’s consolidated financial statements.</w:t>
      </w:r>
    </w:p>
    <w:p>
      <w:pPr>
        <w:spacing w:after="0" w:line="18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This ASU removes, modifies, and adds certain disclosure requirements, and is effective for the Company beginning on January 1, 2020. The Company does not expect that this ASU will have a material effect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tables summarize the Company’s marketable debt securities as of June 30, 2019 and December 31, 2018:</w:t>
      </w:r>
    </w:p>
    <w:p>
      <w:pPr>
        <w:spacing w:after="0" w:line="239"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color w:val="auto"/>
              </w:rPr>
              <w:t>As of June 30, 2019</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7"/>
                <w:szCs w:val="17"/>
                <w:color w:val="auto"/>
              </w:rPr>
            </w:pPr>
          </w:p>
        </w:tc>
        <w:tc>
          <w:tcPr>
            <w:tcW w:w="11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7"/>
                <w:szCs w:val="17"/>
                <w:color w:val="auto"/>
              </w:rPr>
            </w:pPr>
          </w:p>
        </w:tc>
        <w:tc>
          <w:tcPr>
            <w:tcW w:w="11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w w:val="94"/>
              </w:rPr>
              <w:t>Realized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Cost</w:t>
            </w: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gains</w:t>
            </w:r>
          </w:p>
        </w:tc>
        <w:tc>
          <w:tcPr>
            <w:tcW w:w="14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color w:val="auto"/>
                <w:w w:val="96"/>
              </w:rPr>
              <w:t>As of December 31, 2018</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7"/>
                <w:szCs w:val="17"/>
                <w:color w:val="auto"/>
              </w:rPr>
            </w:pPr>
          </w:p>
        </w:tc>
        <w:tc>
          <w:tcPr>
            <w:tcW w:w="11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Unrealized</w:t>
            </w:r>
          </w:p>
        </w:tc>
        <w:tc>
          <w:tcPr>
            <w:tcW w:w="140" w:type="dxa"/>
            <w:vAlign w:val="bottom"/>
          </w:tcPr>
          <w:p>
            <w:pPr>
              <w:spacing w:after="0"/>
              <w:rPr>
                <w:sz w:val="17"/>
                <w:szCs w:val="17"/>
                <w:color w:val="auto"/>
              </w:rPr>
            </w:pPr>
          </w:p>
        </w:tc>
        <w:tc>
          <w:tcPr>
            <w:tcW w:w="112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88"/>
              </w:rPr>
              <w:t>Realized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Cost</w:t>
            </w:r>
          </w:p>
        </w:tc>
        <w:tc>
          <w:tcPr>
            <w:tcW w:w="10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gains</w:t>
            </w:r>
          </w:p>
        </w:tc>
        <w:tc>
          <w:tcPr>
            <w:tcW w:w="1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gains</w:t>
            </w:r>
          </w:p>
        </w:tc>
        <w:tc>
          <w:tcPr>
            <w:tcW w:w="12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137160</wp:posOffset>
            </wp:positionV>
            <wp:extent cx="29241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Company’s financial asset is measured at fair value on a recurring basis by level within the fair value hierarchy. The Company’s marketable security is classified as Level 1. Other than the marketable debt security, the Company doesn’t have any other financial assets or financial liabilities marked to market at fair value.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contractual maturity of the marketable security is one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29"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 At June 30, 2019, the Company’s ROU assets and lease liabilities for operating leases totaled $492 and $492, respectively. The impact of adopting the new lease standard was not material to the Company’s condensed consolidated statement of operations for the periods presented.</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Supplemental cash flow information related to operating leases was as follows (unaudited):</w:t>
      </w:r>
    </w:p>
    <w:p>
      <w:pPr>
        <w:spacing w:after="0" w:line="221" w:lineRule="exact"/>
        <w:rPr>
          <w:sz w:val="20"/>
          <w:szCs w:val="20"/>
          <w:color w:val="auto"/>
        </w:rPr>
      </w:pPr>
    </w:p>
    <w:p>
      <w:pPr>
        <w:jc w:val="center"/>
        <w:ind w:left="36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3600"/>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ind w:left="1620"/>
        <w:spacing w:after="0"/>
        <w:tabs>
          <w:tab w:leader="none" w:pos="6600" w:val="left"/>
          <w:tab w:leader="none" w:pos="8120" w:val="left"/>
        </w:tabs>
        <w:rPr>
          <w:sz w:val="20"/>
          <w:szCs w:val="20"/>
          <w:color w:val="auto"/>
        </w:rPr>
      </w:pPr>
      <w:r>
        <w:rPr>
          <w:rFonts w:ascii="Arial" w:cs="Arial" w:eastAsia="Arial" w:hAnsi="Arial"/>
          <w:sz w:val="18"/>
          <w:szCs w:val="18"/>
          <w:color w:val="auto"/>
        </w:rPr>
        <w:t>Cash payments for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434784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88595"/>
                    </a:xfrm>
                    <a:prstGeom prst="rect">
                      <a:avLst/>
                    </a:prstGeom>
                    <a:noFill/>
                  </pic:spPr>
                </pic:pic>
              </a:graphicData>
            </a:graphic>
          </wp:anchor>
        </w:drawing>
      </w:r>
    </w:p>
    <w:p>
      <w:pPr>
        <w:spacing w:after="0" w:line="27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As of June 30, 2019, our operating leases had a weighted average remaining lease term of 2 years and a weighted average discount rate of 7%. Future lease payments under operating leases as of June 30, 2019 were as follows:</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5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2"/>
              </w:rPr>
              <w:t>Operating Leases</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21"/>
                <w:szCs w:val="21"/>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6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517</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6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liability balance</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June 30, 2019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ind w:right="12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81" w:lineRule="exact"/>
        <w:rPr>
          <w:sz w:val="20"/>
          <w:szCs w:val="20"/>
          <w:color w:val="auto"/>
        </w:rPr>
      </w:pPr>
    </w:p>
    <w:p>
      <w:pPr>
        <w:jc w:val="both"/>
        <w:ind w:left="100"/>
        <w:spacing w:after="0" w:line="288" w:lineRule="auto"/>
        <w:rPr>
          <w:sz w:val="20"/>
          <w:szCs w:val="20"/>
          <w:color w:val="auto"/>
        </w:rPr>
      </w:pPr>
      <w:r>
        <w:rPr>
          <w:rFonts w:ascii="Arial" w:cs="Arial" w:eastAsia="Arial" w:hAnsi="Arial"/>
          <w:sz w:val="16"/>
          <w:szCs w:val="16"/>
          <w:color w:val="auto"/>
        </w:rPr>
        <w:t>The study in Washington U. includes several phases. The first phase (initial research) was completed. An agreement on the second phase was entered in September 2018 with total expected costs of approximately $248. As of June 30, 2019, his study is still on going and will be extended to continue until March 1, 2020.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ind w:left="100"/>
        <w:spacing w:after="0" w:line="308" w:lineRule="auto"/>
        <w:rPr>
          <w:sz w:val="20"/>
          <w:szCs w:val="20"/>
          <w:color w:val="auto"/>
        </w:rPr>
      </w:pPr>
      <w:r>
        <w:rPr>
          <w:rFonts w:ascii="Arial" w:cs="Arial" w:eastAsia="Arial" w:hAnsi="Arial"/>
          <w:sz w:val="17"/>
          <w:szCs w:val="17"/>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4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The study in WSU includes several phases. The first phase (initial research) was completed. An agreement on the second phase was entered in April 2018 with total expected costs of approximately $130. In July 2018 the contract was updated to include phase 2.1 (preliminary phase to phase 2) with total expected costs of approximately $213. Pursuant to the WSU Agreement, WSU shall own all data generated by the research and the Company shall have unrestricted free right to use and disclose all the results, information and material generated from the WSU Agreement.</w:t>
      </w:r>
    </w:p>
    <w:p>
      <w:pPr>
        <w:spacing w:after="0" w:line="188" w:lineRule="exact"/>
        <w:rPr>
          <w:sz w:val="20"/>
          <w:szCs w:val="20"/>
          <w:color w:val="auto"/>
        </w:rPr>
      </w:pPr>
    </w:p>
    <w:p>
      <w:pPr>
        <w:jc w:val="both"/>
        <w:ind w:left="100"/>
        <w:spacing w:after="0" w:line="308"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47" w:lineRule="exact"/>
        <w:rPr>
          <w:sz w:val="20"/>
          <w:szCs w:val="20"/>
          <w:color w:val="auto"/>
        </w:rPr>
      </w:pPr>
    </w:p>
    <w:p>
      <w:pPr>
        <w:jc w:val="both"/>
        <w:ind w:left="100"/>
        <w:spacing w:after="0" w:line="312" w:lineRule="auto"/>
        <w:rPr>
          <w:sz w:val="20"/>
          <w:szCs w:val="20"/>
          <w:color w:val="auto"/>
        </w:rPr>
      </w:pPr>
      <w:r>
        <w:rPr>
          <w:rFonts w:ascii="Arial" w:cs="Arial" w:eastAsia="Arial" w:hAnsi="Arial"/>
          <w:sz w:val="16"/>
          <w:szCs w:val="16"/>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47"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3" w:name="page14"/>
    <w:bookmarkEnd w:id="13"/>
    <w:p>
      <w:pPr>
        <w:jc w:val="center"/>
        <w:ind w:right="12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Sabby Litigation</w:t>
      </w:r>
    </w:p>
    <w:p>
      <w:pPr>
        <w:spacing w:after="0" w:line="225"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The Company is named as the defendant in a lawsuit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the Company breached multiple representations and warranties contained in the Securities Purchase Agreement (the “SPA”) related to the Company’s June 8, 2017 equity financing (the “Financing”) of which the Plaintiffs participated. The complaint sought rescission of the SPA and return of the Plaintiffs’ $3,375 purchase price with respect to the Financing, and damages in an amount to be determined at trial but alleged to exceed $1,000. A trial was held on February 11, 2019. On February 28, 2019, the Court issued a Decision and Order After Trial to rescind the SPA. The rescission would require the Plaintiffs to transfer back to the Company the shares they purchased in the Financing, and for the Company to return to Plaintiffs their purchase price of $3,375. On March 27, 2019, the Company filed a Notice of Appeal and an Undertaking to stay execution of the judgment pending appeal.</w:t>
      </w:r>
    </w:p>
    <w:p>
      <w:pPr>
        <w:spacing w:after="0" w:line="178"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In accordance with New York law, in order to move forward with the appeal and to stay the lower court’s judgment, the Company placed approximately $4,200 in escrow with a surety bonding agent on March 26, 2019 in accordance with provisions set forth in the judgment from the Matter, which represents the judgment amount, plus interest and the fee to the bonding company. Accordingly, the Company recorded additional expenses of $101 with respect to interest from the judgement date and up until June 30, 2019.</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Tolling and Standstill Agreement</w:t>
      </w:r>
    </w:p>
    <w:p>
      <w:pPr>
        <w:spacing w:after="0" w:line="225" w:lineRule="exact"/>
        <w:rPr>
          <w:sz w:val="20"/>
          <w:szCs w:val="20"/>
          <w:color w:val="auto"/>
        </w:rPr>
      </w:pPr>
    </w:p>
    <w:p>
      <w:pPr>
        <w:jc w:val="both"/>
        <w:ind w:left="100"/>
        <w:spacing w:after="0" w:line="291" w:lineRule="auto"/>
        <w:rPr>
          <w:sz w:val="20"/>
          <w:szCs w:val="20"/>
          <w:color w:val="auto"/>
        </w:rPr>
      </w:pPr>
      <w:r>
        <w:rPr>
          <w:rFonts w:ascii="Arial" w:cs="Arial" w:eastAsia="Arial" w:hAnsi="Arial"/>
          <w:sz w:val="16"/>
          <w:szCs w:val="16"/>
          <w:color w:val="auto"/>
        </w:rPr>
        <w:t>On April 4, 2018, Microbot entered into a Tolling and Standstill Agreement with Empery Asset Master, Ltd., Empery Tax Efficient LP, Empery Tax Efficient II LP, and Hudson Bay Master Fund, Ltd., the other investors in the Financing (“Other Investors”). Pursuant to the Tolling Agreement, among other things, (a) the Other Investors agree not to bring any claims against Microbot arising out of the Matter, (b) the parties agree that if Microbot reaches an agreement to settle the claims asserted by the Sabby Funds in the above suit, Microbot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provision has been recorded with respect to the Tolling Agreement since no settlement was reached with respect to the Matter.</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ind w:left="100"/>
        <w:spacing w:after="0" w:line="276"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in the Southern District of New York under Section 16(b) of the Securities Exchange Act of 1934, 15 U.S.C. 78p(b), to compel Alliance to disgorge short swing profits realized by Alliance from purchases and sales of the Company’s securities within a period of less than six months, while Alliance was a beneficial owner of more than 10% of the Company’s outstanding common stock and a statutory “insider” for purposes of the statute. The case is Microbot Medical Inc. v. Alliance Investment Management, Ltd., No. 19-cv-3782-GBD (SDNY).</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100"/>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6"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at $74.</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7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approximately $11, covering up to 60 consulting hours per month.</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Yehezkel (Hezi) Himelfarb Resignation:</w:t>
      </w:r>
    </w:p>
    <w:p>
      <w:pPr>
        <w:spacing w:after="0" w:line="229"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Effective as of February 1, 2019, Yehezkel (Hezi) Himelfarb, a member of the Board of Directors of the Company, and the Company’s Chief Operating Officer, resigned from all positions with the Company. Effective as of February 1, 2019, Mr. Himelfarb also resigned from his position as General Manager of Microbot Medical Ltd., a wholly owned subsidiary of the Company. As a result of Mr. Himelfarb providing certain post-resignation transition services to the Company and the terms of his employment agreement, Mr. Himelfarb continued to be paid his full salary and certain benefits for six months after resignation.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CAPITAL</w:t>
      </w:r>
    </w:p>
    <w:p>
      <w:pPr>
        <w:spacing w:after="0" w:line="229"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Each share of the Series A Convertible Preferred Stock, par value $0.01 per share, issued by the Company in December 2016 and in May 2017 (the “Series A Convertible Preferred Stock”), was convertible, at the option of the holder, into 67 shares of common stock (1,000 shares of common stock before the Reverse Split), and conferred upon the holder dividend rights on an as converted basis. On December 12, 2018, the Company filed a Certificate of Elimination with respect to its Series A Convertible Preferred Stock and as of June 30, 2019, the Company did not have any Series A Convertible Preferred Stock issued or outstanding.</w:t>
      </w:r>
    </w:p>
    <w:p>
      <w:pPr>
        <w:spacing w:after="0" w:line="173"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See Note 5 – “Commitments and Contingencies-Agreement with CardioSert Ltd.,” with respect to the issuance of 6,738 shares of the Company’s common stock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The authorized capital stock consists of 221,000,000 shares of capital stock, which consists of 220,000,000 shares of common par value $0.01 (the “Preferred Stock”). As of June 30, 2019, the Company had 4,307,666 shares of common stock issued and outstanding.</w:t>
      </w:r>
    </w:p>
    <w:p>
      <w:pPr>
        <w:spacing w:after="0" w:line="124"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$74.00 per share ($5.00 per share before the Reverse Split) or gross proceeds of $3,500. The Company paid the placement agent a fee of $210 plus reimbursement of out-of-pocket expenses, as well as other offering-related expenses.</w:t>
      </w:r>
    </w:p>
    <w:p>
      <w:pPr>
        <w:spacing w:after="0" w:line="154"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On June 5, 2017, the Company entered into a Securities Purchase Agreement with certain institutional investors (the “Investors”) providing for the issuance and sale by the Company to the Investors of an aggregate of 252,652 shares (3,750,000 shares before the Reverse Split) of common stock, at a purchase price per share of $40.50 ($2.70 before the Reverse Split). The gross proceeds to the Company was $10,125 before deducting placement agent fees and offering expenses of $922. See Note 4 – “Commitments and Contingencies-Litigation” with respect to certain rescission rights awarded to two affiliated Investors.</w:t>
      </w:r>
    </w:p>
    <w:p>
      <w:pPr>
        <w:spacing w:after="0" w:line="173" w:lineRule="exact"/>
        <w:rPr>
          <w:sz w:val="20"/>
          <w:szCs w:val="20"/>
          <w:color w:val="auto"/>
        </w:rPr>
      </w:pPr>
    </w:p>
    <w:p>
      <w:pPr>
        <w:jc w:val="both"/>
        <w:ind w:left="1300"/>
        <w:spacing w:after="0" w:line="276" w:lineRule="auto"/>
        <w:rPr>
          <w:sz w:val="20"/>
          <w:szCs w:val="20"/>
          <w:color w:val="auto"/>
        </w:rPr>
      </w:pPr>
      <w:r>
        <w:rPr>
          <w:rFonts w:ascii="Arial" w:cs="Arial" w:eastAsia="Arial" w:hAnsi="Arial"/>
          <w:sz w:val="17"/>
          <w:szCs w:val="17"/>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The closing of the offering took place on January 15, 2019. The pre-funded warrants were exercised in full in January 2019.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ind w:right="12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The closing of the offering took place on January 17, 2019.</w:t>
      </w:r>
    </w:p>
    <w:p>
      <w:pPr>
        <w:spacing w:after="0" w:line="187"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gross proceeds to the Company were approximately $2,470. The closing of the offering took place on January 25, 2019.</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$12.00 ($0.80 before the Reverse Split) ($4.20 as retroactively adjusted to reflect the Merger). The stock options were fully vested at the date of grant.</w:t>
      </w:r>
    </w:p>
    <w:p>
      <w:pPr>
        <w:spacing w:after="0" w:line="187"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93" w:lineRule="exact"/>
        <w:rPr>
          <w:sz w:val="20"/>
          <w:szCs w:val="20"/>
          <w:color w:val="auto"/>
        </w:rPr>
      </w:pPr>
    </w:p>
    <w:p>
      <w:pPr>
        <w:jc w:val="both"/>
        <w:ind w:left="100"/>
        <w:spacing w:after="0" w:line="342" w:lineRule="auto"/>
        <w:rPr>
          <w:sz w:val="20"/>
          <w:szCs w:val="20"/>
          <w:color w:val="auto"/>
        </w:rPr>
      </w:pPr>
      <w:r>
        <w:rPr>
          <w:rFonts w:ascii="Arial" w:cs="Arial" w:eastAsia="Arial" w:hAnsi="Arial"/>
          <w:sz w:val="16"/>
          <w:szCs w:val="16"/>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24"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for the three months ended June 30, 2019 and 2018 in total amount of $120 and $120 respectively and for the six months ended June 30, 2019 and 2018 in total amount of $240 and $339 respectively included in general and administrative expenses.</w:t>
      </w:r>
    </w:p>
    <w:p>
      <w:pPr>
        <w:spacing w:after="0" w:line="193" w:lineRule="exact"/>
        <w:rPr>
          <w:sz w:val="20"/>
          <w:szCs w:val="20"/>
          <w:color w:val="auto"/>
        </w:rPr>
      </w:pPr>
    </w:p>
    <w:p>
      <w:pPr>
        <w:jc w:val="both"/>
        <w:ind w:left="100"/>
        <w:spacing w:after="0" w:line="272" w:lineRule="auto"/>
        <w:rPr>
          <w:sz w:val="20"/>
          <w:szCs w:val="20"/>
          <w:color w:val="auto"/>
        </w:rPr>
      </w:pPr>
      <w:r>
        <w:rPr>
          <w:rFonts w:ascii="Arial" w:cs="Arial" w:eastAsia="Arial" w:hAnsi="Arial"/>
          <w:sz w:val="17"/>
          <w:szCs w:val="17"/>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for the three months ended June 30, 2019 and 2018 in total amount of $107 and $123, respectively and for the six months ended June 30, 2019 and 2018 in total amount of $214 and $231, respectively included in research and development.</w:t>
      </w:r>
    </w:p>
    <w:p>
      <w:pPr>
        <w:spacing w:after="0" w:line="178"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for the three months ended June 30, 2019 and 2018 in total amount of $13 and $26 respectively and for the six months ended June 30, 2019 and 2018 in total amount of $27 and $41 respectively included in general and administrative expenses.</w:t>
      </w:r>
    </w:p>
    <w:p>
      <w:pPr>
        <w:spacing w:after="0" w:line="15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for the three months ended June 30, 2019 and 2018 in total amount of $40 and $139, respectively and for the six months ended June 30, 2019 and 2018 in total amount of $79 and $211, respectively included in research and development expenses</w:t>
      </w:r>
    </w:p>
    <w:p>
      <w:pPr>
        <w:spacing w:after="0" w:line="193"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before the Reverse Split) of common stock at an exercise price of $0.001 per share.</w:t>
      </w:r>
    </w:p>
    <w:p>
      <w:pPr>
        <w:spacing w:after="0" w:line="170"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a non-executive officer,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for the three months ended June 30, 2019 and 2018 in total amount of $6 and $0 respectively and for the six months ended June 30, 2019 and 2018 in total amount of $18 and $0 respectively included in research and development expenses</w:t>
      </w:r>
    </w:p>
    <w:p>
      <w:pPr>
        <w:spacing w:after="0" w:line="165"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for the three months ended June 30, 2019 and 2018 in total amount of $7 and $0 respectively and for the six months ended June 30, 2019 and 2018 in total amount of $30 and $0 respectively included in general and administrative expenses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summary of the Company’s option activity related to options to employees and directors, and related information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4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88"/>
              </w:rPr>
              <w:t>For the six months ended June 30, 2019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Number of stock</w:t>
            </w: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Weighted average</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intrinsic value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11,630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Cancelled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60" w:type="dxa"/>
            <w:vAlign w:val="bottom"/>
            <w:vMerge w:val="restart"/>
          </w:tcPr>
          <w:p>
            <w:pPr>
              <w:spacing w:after="0"/>
              <w:rPr>
                <w:sz w:val="20"/>
                <w:szCs w:val="20"/>
                <w:color w:val="auto"/>
              </w:rPr>
            </w:pPr>
            <w:r>
              <w:rPr>
                <w:rFonts w:ascii="Arial" w:cs="Arial" w:eastAsia="Arial" w:hAnsi="Arial"/>
                <w:sz w:val="18"/>
                <w:szCs w:val="18"/>
                <w:color w:val="auto"/>
              </w:rPr>
              <w:t>Vested at end of period</w:t>
            </w:r>
          </w:p>
        </w:tc>
        <w:tc>
          <w:tcPr>
            <w:tcW w:w="114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tcPr>
          <w:p>
            <w:pPr>
              <w:spacing w:after="0"/>
              <w:rPr>
                <w:sz w:val="17"/>
                <w:szCs w:val="17"/>
                <w:color w:val="auto"/>
              </w:rPr>
            </w:pPr>
          </w:p>
        </w:tc>
        <w:tc>
          <w:tcPr>
            <w:tcW w:w="32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283,181</w:t>
            </w:r>
          </w:p>
        </w:tc>
        <w:tc>
          <w:tcPr>
            <w:tcW w:w="2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9.39</w:t>
            </w:r>
          </w:p>
        </w:tc>
        <w:tc>
          <w:tcPr>
            <w:tcW w:w="2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w:t>
            </w:r>
          </w:p>
        </w:tc>
        <w:tc>
          <w:tcPr>
            <w:tcW w:w="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6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0"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474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54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91"/>
              </w:rPr>
              <w:t>Number of stock</w:t>
            </w: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Weighted average</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Aggregate</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(24,170)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Vested at end of period</w:t>
            </w: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245,010</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2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which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June 30, 2019 and December 31, 2018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stock options outstanding as of June 30, 2019 and December 31, 2018,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Weighted average</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remaining</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contractual life</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Stock options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exercisable as</w:t>
            </w:r>
          </w:p>
        </w:tc>
        <w:tc>
          <w:tcPr>
            <w:tcW w:w="0" w:type="dxa"/>
            <w:vAlign w:val="bottom"/>
          </w:tcPr>
          <w:p>
            <w:pPr>
              <w:spacing w:after="0"/>
              <w:rPr>
                <w:sz w:val="1"/>
                <w:szCs w:val="1"/>
                <w:color w:val="auto"/>
              </w:rPr>
            </w:pPr>
          </w:p>
        </w:tc>
      </w:tr>
      <w:tr>
        <w:trPr>
          <w:trHeight w:val="216"/>
        </w:trPr>
        <w:tc>
          <w:tcPr>
            <w:tcW w:w="1740" w:type="dxa"/>
            <w:vAlign w:val="bottom"/>
            <w:gridSpan w:val="2"/>
            <w:vMerge w:val="restart"/>
          </w:tcPr>
          <w:p>
            <w:pPr>
              <w:jc w:val="right"/>
              <w:ind w:right="720"/>
              <w:spacing w:after="0"/>
              <w:rPr>
                <w:sz w:val="20"/>
                <w:szCs w:val="20"/>
                <w:color w:val="auto"/>
              </w:rPr>
            </w:pPr>
            <w:r>
              <w:rPr>
                <w:rFonts w:ascii="Arial" w:cs="Arial" w:eastAsia="Arial" w:hAnsi="Arial"/>
                <w:sz w:val="18"/>
                <w:szCs w:val="18"/>
                <w:b w:val="1"/>
                <w:bCs w:val="1"/>
                <w:color w:val="auto"/>
              </w:rPr>
              <w:t>Exercise</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Stock options</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outstanding as of</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contractual life –</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 years as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exercisable as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189"/>
        </w:trPr>
        <w:tc>
          <w:tcPr>
            <w:tcW w:w="1740" w:type="dxa"/>
            <w:vAlign w:val="bottom"/>
            <w:gridSpan w:val="2"/>
            <w:vMerge w:val="continue"/>
          </w:tcPr>
          <w:p>
            <w:pPr>
              <w:spacing w:after="0"/>
              <w:rPr>
                <w:sz w:val="16"/>
                <w:szCs w:val="16"/>
                <w:color w:val="auto"/>
              </w:rPr>
            </w:pPr>
          </w:p>
        </w:tc>
        <w:tc>
          <w:tcPr>
            <w:tcW w:w="172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outstanding as of</w:t>
            </w:r>
          </w:p>
        </w:tc>
        <w:tc>
          <w:tcPr>
            <w:tcW w:w="17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90"/>
              </w:rPr>
              <w:t>December 31,</w:t>
            </w:r>
          </w:p>
        </w:tc>
        <w:tc>
          <w:tcPr>
            <w:tcW w:w="172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years as of June</w:t>
            </w:r>
          </w:p>
        </w:tc>
        <w:tc>
          <w:tcPr>
            <w:tcW w:w="158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3"/>
              </w:rPr>
              <w:t>of</w:t>
            </w:r>
          </w:p>
        </w:tc>
        <w:tc>
          <w:tcPr>
            <w:tcW w:w="136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68"/>
        </w:trPr>
        <w:tc>
          <w:tcPr>
            <w:tcW w:w="17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price $</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2019</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30, 2019</w:t>
            </w:r>
          </w:p>
        </w:tc>
        <w:tc>
          <w:tcPr>
            <w:tcW w:w="34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3"/>
                <w:szCs w:val="23"/>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2019</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77,846</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77,846</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77,846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15.75</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133,546</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133,546</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8.75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69,022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9.25</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9.75</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3,250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19.35</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72,508</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72,508</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39,880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15.30</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41,866</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41,866</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8.50</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26,866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62,542</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62,542</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62,542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409,938</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398,308</w:t>
            </w:r>
          </w:p>
        </w:tc>
        <w:tc>
          <w:tcPr>
            <w:tcW w:w="36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283,181</w:t>
            </w: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2101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six months ended June 30, 2019 and 2018 was $610 and $822, respectively, and for the three months ended June 30, 2019 and 2018 was $295 and $406,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the Black-Scholes options pricing model with the following weighted-average assumptions: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22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3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June 30, 2019</w:t>
            </w:r>
          </w:p>
        </w:tc>
        <w:tc>
          <w:tcPr>
            <w:tcW w:w="2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144.4%</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Risk-free interest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320" w:type="dxa"/>
            <w:vAlign w:val="bottom"/>
            <w:gridSpan w:val="2"/>
          </w:tcPr>
          <w:p>
            <w:pPr>
              <w:jc w:val="right"/>
              <w:ind w:right="300"/>
              <w:spacing w:after="0"/>
              <w:rPr>
                <w:sz w:val="20"/>
                <w:szCs w:val="20"/>
                <w:color w:val="auto"/>
              </w:rPr>
            </w:pPr>
            <w:r>
              <w:rPr>
                <w:rFonts w:ascii="Arial" w:cs="Arial" w:eastAsia="Arial" w:hAnsi="Arial"/>
                <w:sz w:val="18"/>
                <w:szCs w:val="18"/>
                <w:color w:val="auto"/>
              </w:rPr>
              <w:t>6.37</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1800"/>
        <w:spacing w:after="0" w:line="286" w:lineRule="auto"/>
        <w:rPr>
          <w:sz w:val="20"/>
          <w:szCs w:val="20"/>
          <w:color w:val="auto"/>
        </w:rPr>
      </w:pPr>
      <w:r>
        <w:rPr>
          <w:rFonts w:ascii="Arial" w:cs="Arial" w:eastAsia="Arial" w:hAnsi="Arial"/>
          <w:sz w:val="17"/>
          <w:szCs w:val="17"/>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60" w:type="dxa"/>
            <w:vAlign w:val="bottom"/>
            <w:gridSpan w:val="4"/>
          </w:tcPr>
          <w:p>
            <w:pPr>
              <w:ind w:left="340"/>
              <w:spacing w:after="0"/>
              <w:rPr>
                <w:sz w:val="20"/>
                <w:szCs w:val="20"/>
                <w:color w:val="auto"/>
              </w:rPr>
            </w:pPr>
            <w:r>
              <w:rPr>
                <w:rFonts w:ascii="Arial" w:cs="Arial" w:eastAsia="Arial" w:hAnsi="Arial"/>
                <w:sz w:val="18"/>
                <w:szCs w:val="18"/>
                <w:b w:val="1"/>
                <w:bCs w:val="1"/>
                <w:color w:val="auto"/>
              </w:rPr>
              <w:t>Warrants</w:t>
            </w: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0" w:type="dxa"/>
            <w:vAlign w:val="bottom"/>
            <w:gridSpan w:val="11"/>
          </w:tcPr>
          <w:p>
            <w:pPr>
              <w:ind w:left="340"/>
              <w:spacing w:after="0"/>
              <w:rPr>
                <w:sz w:val="20"/>
                <w:szCs w:val="20"/>
                <w:color w:val="auto"/>
              </w:rPr>
            </w:pPr>
            <w:r>
              <w:rPr>
                <w:rFonts w:ascii="Arial" w:cs="Arial" w:eastAsia="Arial" w:hAnsi="Arial"/>
                <w:sz w:val="18"/>
                <w:szCs w:val="18"/>
                <w:color w:val="auto"/>
                <w:w w:val="96"/>
              </w:rPr>
              <w:t>The remaining outstanding warrants and terms as of June 30, 2019 and December 31, 2018 are as follows: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Outstanding as of</w:t>
            </w:r>
          </w:p>
        </w:tc>
        <w:tc>
          <w:tcPr>
            <w:tcW w:w="2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Outstanding as of</w:t>
            </w:r>
          </w:p>
        </w:tc>
        <w:tc>
          <w:tcPr>
            <w:tcW w:w="12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Exercise</w:t>
            </w: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Exercisable as of June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0" w:type="dxa"/>
            <w:vAlign w:val="bottom"/>
          </w:tcPr>
          <w:p>
            <w:pPr>
              <w:spacing w:after="0"/>
              <w:rPr>
                <w:sz w:val="1"/>
                <w:szCs w:val="1"/>
                <w:color w:val="auto"/>
              </w:rPr>
            </w:pPr>
          </w:p>
        </w:tc>
      </w:tr>
      <w:tr>
        <w:trPr>
          <w:trHeight w:val="241"/>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December 31, 2018</w:t>
            </w:r>
          </w:p>
        </w:tc>
        <w:tc>
          <w:tcPr>
            <w:tcW w:w="20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Price</w:t>
            </w: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rPr>
              <w:t>30, 2019</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Series A (2013)</w:t>
            </w:r>
          </w:p>
        </w:tc>
        <w:tc>
          <w:tcPr>
            <w:tcW w:w="3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181</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3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Series A (2015)</w:t>
            </w:r>
          </w:p>
        </w:tc>
        <w:tc>
          <w:tcPr>
            <w:tcW w:w="3160" w:type="dxa"/>
            <w:vAlign w:val="bottom"/>
            <w:gridSpan w:val="4"/>
          </w:tcPr>
          <w:p>
            <w:pPr>
              <w:jc w:val="right"/>
              <w:ind w:right="360"/>
              <w:spacing w:after="0"/>
              <w:rPr>
                <w:sz w:val="20"/>
                <w:szCs w:val="20"/>
                <w:color w:val="auto"/>
              </w:rPr>
            </w:pPr>
            <w:r>
              <w:rPr>
                <w:rFonts w:ascii="Arial" w:cs="Arial" w:eastAsia="Arial" w:hAnsi="Arial"/>
                <w:sz w:val="18"/>
                <w:szCs w:val="18"/>
                <w:color w:val="auto"/>
              </w:rPr>
              <w:t>676</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676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1,377</w:t>
            </w:r>
          </w:p>
        </w:tc>
        <w:tc>
          <w:tcPr>
            <w:tcW w:w="34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676</w:t>
            </w: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Series B (2016)</w:t>
            </w:r>
          </w:p>
        </w:tc>
        <w:tc>
          <w:tcPr>
            <w:tcW w:w="3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2,741</w:t>
            </w:r>
          </w:p>
        </w:tc>
        <w:tc>
          <w:tcPr>
            <w:tcW w:w="2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The cumulative effect of adoption of ASU 2017-11 resulted in an adjustment to accumulated deficit as of January 1, 2018 of $20 with a corresponding adjustment to additional paid-in capital.</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1300"/>
        <w:spacing w:after="0" w:line="273" w:lineRule="auto"/>
        <w:rPr>
          <w:sz w:val="20"/>
          <w:szCs w:val="20"/>
          <w:color w:val="auto"/>
        </w:rPr>
      </w:pPr>
      <w:r>
        <w:rPr>
          <w:rFonts w:ascii="Arial" w:cs="Arial" w:eastAsia="Arial" w:hAnsi="Arial"/>
          <w:sz w:val="17"/>
          <w:szCs w:val="17"/>
          <w:color w:val="auto"/>
        </w:rPr>
        <w:t>The Company had intended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would have been subject to negotiating final terms and entering into definitive agreements with such shareholders.</w:t>
      </w:r>
    </w:p>
    <w:p>
      <w:pPr>
        <w:spacing w:after="0" w:line="178"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6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As of December 31, 2018, the Company determined that no obligation remained to enter into any such definitive agreement as the two-year anniversary of the Merger was in November 2018 and therefore there was no liability for the Company to repurchase any shares from the three Israeli shareholders.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2018.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Medical Inc.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32 issued/allowed patents and 19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 Microbot is no longer pursuing the development of the TipCAT as a colonoscopy tool but is currently exploring the use of the TipCAT for minimally invasive endovascular neurosurgical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salaries, professional fees for accounting, auditing, consulting and legal services, and allocated overhead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expects that its general and administrative expenses may increase in the future as it expands its operating activities, the cost of being a public company and maintaining compliance with exchange listing and SEC requirements. These additional costs include management costs, legal fees, accounting fees, directors’ and officers’ liability insurance premiums and expenses associated with investor relations.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580" w:hanging="248"/>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Six Months Ended June 30, 2019 and 2018</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six-month periods ended June 30, 2019 and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Three months ended</w:t>
            </w:r>
          </w:p>
        </w:tc>
        <w:tc>
          <w:tcPr>
            <w:tcW w:w="140" w:type="dxa"/>
            <w:vAlign w:val="bottom"/>
          </w:tcPr>
          <w:p>
            <w:pPr>
              <w:spacing w:after="0"/>
              <w:rPr>
                <w:sz w:val="18"/>
                <w:szCs w:val="18"/>
                <w:color w:val="auto"/>
              </w:rPr>
            </w:pPr>
          </w:p>
        </w:tc>
        <w:tc>
          <w:tcPr>
            <w:tcW w:w="102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4"/>
              </w:rPr>
              <w:t>Increase/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7"/>
              </w:rPr>
              <w:t>Six months ended</w:t>
            </w:r>
          </w:p>
        </w:tc>
        <w:tc>
          <w:tcPr>
            <w:tcW w:w="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2018(*)</w:t>
            </w:r>
          </w:p>
        </w:tc>
        <w:tc>
          <w:tcPr>
            <w:tcW w:w="3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2,164</w:t>
            </w:r>
          </w:p>
        </w:tc>
        <w:tc>
          <w:tcPr>
            <w:tcW w:w="3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The Company adopted ASU 2017-11 using the full retrospective approach.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$741,000 and $1,364,000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2019, compared to approximately $747,000 and $1,243,000 for the same period in 2018. Microbot expects its research and development expected to increase over time as it advances its development programs and begins pre-clinical and clinical trials for SCS and other platforms.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$804,000 and $2,097,000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compared to approximately $1,145,000 and $2,164,000 for the same period in 2018. The decrease in general and administrative expenses of approximately $341,000 for the three months period ended in June 30, 2019 was primarily due to a decrease in legal expenses relating to the Sabby litigation. Microbot believes its general and administrative expenses may increase over time as it advances its programs, increases its headcount and operating activities and incurs expenses associated with being a public company.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Financing Expenses</w:t>
      </w:r>
      <w:r>
        <w:rPr>
          <w:rFonts w:ascii="Arial" w:cs="Arial" w:eastAsia="Arial" w:hAnsi="Arial"/>
          <w:sz w:val="16"/>
          <w:szCs w:val="16"/>
          <w:color w:val="auto"/>
        </w:rPr>
        <w:t>. Financing income (expenses) were approximately $3,000 and $(42,000) for the three and six months ended June 30, 2019,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$(2,000) and $31,000 for the same period in 2018. The decrease in financial income for the six months ended June 30, 2019 was primarily due to the extra amount of cash that the Company deposited in escrow relating to the appeal of the Sabby litigation, thus lowering the amount of cash earning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Microbot has incurred losses since inception and negative cash flows from operating activities for the three and six months ended June 30, 2019 and the fiscal year ended December 31, 2018. As of June 30, 2019, Microbot had a net working capital of approximately $7,443,000 consisting primarily of cash and cash equivalents and short-term investment. This compares to net working capital of $1,071,000 as of December 31, 2018. Microbot anticipates that it will continue to incur net losses for the foreseeable future as it continues research and development efforts of its product candidates, hires additional staff, including clinical, scientific, operational, financial and management personnel, and incurs costs associated with being a public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June 30, 2019, Microbot has raised gross cash proceeds of approximately $27,500,000 and incurred a total cumulative loss of approximately $31,367,000.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In January 2019, the Company entered into a series of Securities Purchase Agreements with accredited institutional investors providing for the issuance and sale by the Company to the purchasers of an aggregate of 1,295,323 shares of the Company’s common stock and related securities, for aggregate gross proceeds to the Company of approximately $11.37 million.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been awarded non-dilutive grants from the IIA. The grants provide additional sources to be utilized by Microbot for the continued development of the Self-Cleaning Shunt for the treatment of hydrocephalus and Normal Pressure Hydrocephalus. The grant funds may be used for or applied towards several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IIA. Microbot has no obligation to repay the grant, if the SCS project fails, is unsuccessful or aborted before any sales are generated. The financial risk is assumed completely by the IIA.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Microbot has received from the IIA since inception is approximately $1,524,000.</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Microbot is currently appealing an adverse judgment against it in its litigation with Sabby Healthcare Master Fund Ltd. and its affiliates. As a result of the appeal, the Company placed approximately $4.2 million (including estimated interest and fees) in escrow with a surety bonding agent pending the appeal.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believes that its net cash will be sufficient to fund its operations for at least 12 months and fund operations necessary to continue development activities of the SCS.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The capital raises from equity or equity-linked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gridSpan w:val="5"/>
          </w:tcPr>
          <w:p>
            <w:pPr>
              <w:spacing w:after="0"/>
              <w:rPr>
                <w:sz w:val="20"/>
                <w:szCs w:val="20"/>
                <w:color w:val="auto"/>
              </w:rPr>
            </w:pPr>
            <w:r>
              <w:rPr>
                <w:rFonts w:ascii="Arial" w:cs="Arial" w:eastAsia="Arial" w:hAnsi="Arial"/>
                <w:sz w:val="18"/>
                <w:szCs w:val="18"/>
                <w:color w:val="auto"/>
                <w:w w:val="95"/>
              </w:rPr>
              <w:t>The following table provides a summary of the net cash flow activity for each of the periods set forth below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7"/>
        </w:trPr>
        <w:tc>
          <w:tcPr>
            <w:tcW w:w="880" w:type="dxa"/>
            <w:vAlign w:val="bottom"/>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w:t>
            </w:r>
          </w:p>
        </w:tc>
      </w:tr>
      <w:tr>
        <w:trPr>
          <w:trHeight w:val="250"/>
        </w:trPr>
        <w:tc>
          <w:tcPr>
            <w:tcW w:w="88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8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(2,767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8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operating activities for the six months ended June 30, 2019 was approximately $3,200,000, calculated by adjusting net loss from operations by approximately $303,000 to eliminate non-cash and expense items not involving cash flows such as depreciation as well as other changes in assets and liabilities resulting in non-cash adjustments in the income statement. Cash used in operating activities for the six months ended June 30, 2018 was approximately $2,543,000, similarly adjusted by approximately $833,000.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2019 was approximately $2,496,000, consisting of the purchase of a marketable debt security, compared to the purchase of approximately $224,000 of property and equipment for the six months ended June 30,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of approximately $9,562,000 for the six months ended June 30, 2019 consisted of issuance of common stock and warrants, net of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cash and cash equivalents as of June 30, 2019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2019. Based on that review and evaluation, the Chief Executive Officer and Chief Financial Officer, along with the management of the Company, have determined that as of June 30, 2019,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Sabby Litigation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were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or the Financing, of which the Plaintiffs participated. The complaint sought rescission of the SPA and return of the Plaintiffs’ $3,375,000 purchase price with respect to the Financing, and damages in an amount to be determined at trial, but alleged to exceed $1 million. 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 million. On March 27, 2019, the Company filed a Notice of Appeal and an Undertaking to stay execution of the judgment pending appeal. As a result of the appeal, we placed approximately $4.2 million in escrow with a surety bonding agent pending the appeal. However, management is unable to assess the likelihood that we would be successful in the appeal. Accordingly, no assurance can be given that any adverse outcome would not be material to our consolidated financial position. Additionally, in the event we lose our appeals, we will likely be required to use the proceeds from recent offerings or available cash towards payment of damages and interest on the damages from the date of the decision to the Plaintiffs, and to the Other Investors described below if and to the extent they bring similar lawsuits against us and prevail or if we settle the Sabby litigation,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28, 2019, we brought an action against Alliance Investment Management, Ltd. (“Alliance”) in the Southern District of New York under Section 16(b) of the Securities Exchange Act of 1934, 15 U.S.C. 78p(b), to compel Alliance to disgorge short swing profits realized by Alliance from purchases and sales of the Company’s securities within a period of less than six months, while Alliance was a beneficial owner of more than 10% of the Company’s outstanding common stock and a statutory “insider” for purposes of the statute. The case is Microbot Medical Inc. v. Alliance Investment Management, Ltd., No. 19-cv-3782-GBD (SDNY). The amount of profits we are seeking to divest is estimated to be approximately $480,000.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Harel Gadot, Chairman, President and Chief Executive Officer</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Certification of David Ben Naim, Chief Financial Officer</w:t>
              </w:r>
            </w:hyperlink>
          </w:p>
        </w:tc>
        <w:tc>
          <w:tcPr>
            <w:tcW w:w="472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3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Harel Gadot, Chairman, President and Chief Executive Officer, pursuant to 18 U.S.C. Section 1350, as adopted pursuant to</w:t>
              </w:r>
            </w:hyperlink>
          </w:p>
        </w:tc>
      </w:tr>
      <w:tr>
        <w:trPr>
          <w:trHeight w:val="196"/>
        </w:trPr>
        <w:tc>
          <w:tcPr>
            <w:tcW w:w="1040" w:type="dxa"/>
            <w:vAlign w:val="bottom"/>
          </w:tcPr>
          <w:p>
            <w:pPr>
              <w:spacing w:after="0"/>
              <w:rPr>
                <w:sz w:val="17"/>
                <w:szCs w:val="17"/>
                <w:color w:val="auto"/>
              </w:rPr>
            </w:pPr>
          </w:p>
        </w:tc>
        <w:tc>
          <w:tcPr>
            <w:tcW w:w="1038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Section 906 of the Sarbanes-Oxley Act of 2002</w:t>
              </w:r>
            </w:hyperlink>
          </w:p>
        </w:tc>
      </w:tr>
      <w:tr>
        <w:trPr>
          <w:trHeight w:val="20"/>
        </w:trPr>
        <w:tc>
          <w:tcPr>
            <w:tcW w:w="10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80" w:type="dxa"/>
            <w:vAlign w:val="bottom"/>
            <w:gridSpan w:val="6"/>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Certification of David Ben Naim, Chief Financial Officer, pursuant to 18 U.S.C. Section 1350, as adopted pursuant to Section 906 of the</w:t>
              </w:r>
            </w:hyperlink>
          </w:p>
        </w:tc>
      </w:tr>
      <w:tr>
        <w:trPr>
          <w:trHeight w:val="196"/>
        </w:trPr>
        <w:tc>
          <w:tcPr>
            <w:tcW w:w="1040" w:type="dxa"/>
            <w:vAlign w:val="bottom"/>
          </w:tcPr>
          <w:p>
            <w:pPr>
              <w:spacing w:after="0"/>
              <w:rPr>
                <w:sz w:val="17"/>
                <w:szCs w:val="17"/>
                <w:color w:val="auto"/>
              </w:rPr>
            </w:pPr>
          </w:p>
        </w:tc>
        <w:tc>
          <w:tcPr>
            <w:tcW w:w="103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20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w:t>
            </w:r>
          </w:p>
        </w:tc>
        <w:tc>
          <w:tcPr>
            <w:tcW w:w="8340" w:type="dxa"/>
            <w:vAlign w:val="bottom"/>
            <w:gridSpan w:val="5"/>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10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4"/>
          </w:tcPr>
          <w:p>
            <w:pPr>
              <w:ind w:left="4600"/>
              <w:spacing w:after="0"/>
              <w:rPr>
                <w:sz w:val="20"/>
                <w:szCs w:val="20"/>
                <w:color w:val="auto"/>
              </w:rPr>
            </w:pPr>
            <w:r>
              <w:rPr>
                <w:rFonts w:ascii="Arial" w:cs="Arial" w:eastAsia="Arial" w:hAnsi="Arial"/>
                <w:sz w:val="18"/>
                <w:szCs w:val="18"/>
                <w:color w:val="auto"/>
              </w:rPr>
              <w:t>25</w:t>
            </w:r>
          </w:p>
        </w:tc>
        <w:tc>
          <w:tcPr>
            <w:tcW w:w="4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2019.</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2019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14, 2019</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June 30, 2019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14, 2019</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2019-12-28T07:10:22Z</dcterms:created>
  <dcterms:modified xsi:type="dcterms:W3CDTF">2019-12-28T07:10:22Z</dcterms:modified>
</cp:coreProperties>
</file>