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
        <w:spacing w:after="0"/>
        <w:rPr>
          <w:sz w:val="20"/>
          <w:szCs w:val="20"/>
          <w:color w:val="auto"/>
        </w:rPr>
      </w:pPr>
      <w:r>
        <w:rPr>
          <w:rFonts w:ascii="Courier New" w:cs="Courier New" w:eastAsia="Courier New" w:hAnsi="Courier New"/>
          <w:sz w:val="15"/>
          <w:szCs w:val="15"/>
          <w:color w:val="auto"/>
        </w:rPr>
        <w:t>AS FILED WITH THE SECURITIES AND EXCHANGE COMMISSION ON NOVEMBER 8, 2000</w:t>
      </w:r>
    </w:p>
    <w:p>
      <w:pPr>
        <w:spacing w:after="0" w:line="346" w:lineRule="exact"/>
        <w:rPr>
          <w:sz w:val="24"/>
          <w:szCs w:val="24"/>
          <w:color w:val="auto"/>
        </w:rPr>
      </w:pPr>
    </w:p>
    <w:p>
      <w:pPr>
        <w:ind w:left="4828"/>
        <w:spacing w:after="0"/>
        <w:rPr>
          <w:sz w:val="20"/>
          <w:szCs w:val="20"/>
          <w:color w:val="auto"/>
        </w:rPr>
      </w:pPr>
      <w:r>
        <w:rPr>
          <w:rFonts w:ascii="Courier New" w:cs="Courier New" w:eastAsia="Courier New" w:hAnsi="Courier New"/>
          <w:sz w:val="15"/>
          <w:szCs w:val="15"/>
          <w:color w:val="auto"/>
        </w:rPr>
        <w:t>REGISTRATION NO. 333-45496</w:t>
      </w:r>
    </w:p>
    <w:p>
      <w:pPr>
        <w:spacing w:after="0" w:line="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AMENDMENT NO. 2</w:t>
      </w:r>
    </w:p>
    <w:p>
      <w:pPr>
        <w:spacing w:after="0" w:line="2"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TO</w:t>
      </w:r>
    </w:p>
    <w:p>
      <w:pPr>
        <w:spacing w:after="0" w:line="346"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S-1</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p>
      <w:pPr>
        <w:ind w:left="1068"/>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1">
            <w:col w:w="11368"/>
          </w:cols>
          <w:pgMar w:left="232" w:top="575" w:right="299" w:bottom="0" w:gutter="0" w:footer="0" w:header="0"/>
        </w:sectPr>
      </w:pPr>
    </w:p>
    <w:p>
      <w:pPr>
        <w:spacing w:after="0" w:line="4" w:lineRule="exact"/>
        <w:rPr>
          <w:sz w:val="24"/>
          <w:szCs w:val="24"/>
          <w:color w:val="auto"/>
        </w:rPr>
      </w:pPr>
    </w:p>
    <w:p>
      <w:pPr>
        <w:ind w:left="528" w:hanging="357"/>
        <w:spacing w:after="0" w:line="267" w:lineRule="auto"/>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060"/>
        <w:spacing w:after="0"/>
        <w:rPr>
          <w:sz w:val="20"/>
          <w:szCs w:val="20"/>
          <w:color w:val="auto"/>
        </w:rPr>
      </w:pPr>
      <w:r>
        <w:rPr>
          <w:rFonts w:ascii="Courier New" w:cs="Courier New" w:eastAsia="Courier New" w:hAnsi="Courier New"/>
          <w:sz w:val="15"/>
          <w:szCs w:val="15"/>
          <w:color w:val="auto"/>
        </w:rPr>
        <w:t>2836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5"/>
          <w:szCs w:val="15"/>
          <w:color w:val="auto"/>
        </w:rPr>
        <w:t>94-3078125</w:t>
      </w:r>
    </w:p>
    <w:p>
      <w:pPr>
        <w:spacing w:after="0" w:line="2"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26" w:lineRule="exact"/>
        <w:rPr>
          <w:sz w:val="24"/>
          <w:szCs w:val="24"/>
          <w:color w:val="auto"/>
        </w:rPr>
      </w:pPr>
    </w:p>
    <w:p>
      <w:pPr>
        <w:sectPr>
          <w:pgSz w:w="11900" w:h="16838" w:orient="portrait"/>
          <w:cols w:equalWidth="0" w:num="3">
            <w:col w:w="2688" w:space="540"/>
            <w:col w:w="2680" w:space="720"/>
            <w:col w:w="4740"/>
          </w:cols>
          <w:pgMar w:left="232" w:top="575" w:right="299" w:bottom="0" w:gutter="0" w:footer="0" w:header="0"/>
          <w:type w:val="continuous"/>
        </w:sectPr>
      </w:pPr>
    </w:p>
    <w:p>
      <w:pPr>
        <w:spacing w:after="0" w:line="129"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525 DEL REY AVENUE, SUITE C</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SUNNYVALE, CA 94085</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(408)731-8670</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IRIS BREST, ESQ.</w:t>
      </w:r>
    </w:p>
    <w:p>
      <w:pPr>
        <w:spacing w:after="0" w:line="2"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525 DEL REY AVENUE, SUITE C</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SUNNYVALE, CA 94085</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(408)731-8670</w:t>
      </w:r>
    </w:p>
    <w:p>
      <w:pPr>
        <w:spacing w:after="0" w:line="4" w:lineRule="exact"/>
        <w:rPr>
          <w:sz w:val="24"/>
          <w:szCs w:val="24"/>
          <w:color w:val="auto"/>
        </w:rPr>
      </w:pPr>
    </w:p>
    <w:p>
      <w:pPr>
        <w:ind w:left="88"/>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1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of agent for service)</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COPIES TO:</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GEOFFREY B. DAVIS, ESQ.</w:t>
      </w:r>
    </w:p>
    <w:p>
      <w:pPr>
        <w:spacing w:after="0" w:line="2" w:lineRule="exact"/>
        <w:rPr>
          <w:sz w:val="24"/>
          <w:szCs w:val="24"/>
          <w:color w:val="auto"/>
        </w:rPr>
      </w:pPr>
    </w:p>
    <w:p>
      <w:pPr>
        <w:ind w:left="3048"/>
        <w:spacing w:after="0"/>
        <w:rPr>
          <w:sz w:val="20"/>
          <w:szCs w:val="20"/>
          <w:color w:val="auto"/>
        </w:rPr>
      </w:pPr>
      <w:r>
        <w:rPr>
          <w:rFonts w:ascii="Courier New" w:cs="Courier New" w:eastAsia="Courier New" w:hAnsi="Courier New"/>
          <w:sz w:val="15"/>
          <w:szCs w:val="15"/>
          <w:color w:val="auto"/>
        </w:rPr>
        <w:t>Ropes &amp; Gray</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One International Place</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Boston, Massachusetts 02110</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(617) 951-7000</w:t>
      </w:r>
    </w:p>
    <w:p>
      <w:pPr>
        <w:spacing w:after="0" w:line="2"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(617) 951-7050 (fax)</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4660"/>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jc w:val="both"/>
        <w:ind w:left="8" w:right="4300" w:firstLine="358"/>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/X/</w:t>
      </w:r>
    </w:p>
    <w:p>
      <w:pPr>
        <w:spacing w:after="0" w:line="176" w:lineRule="exact"/>
        <w:rPr>
          <w:sz w:val="24"/>
          <w:szCs w:val="24"/>
          <w:color w:val="auto"/>
        </w:rPr>
      </w:pPr>
    </w:p>
    <w:p>
      <w:pPr>
        <w:ind w:left="8" w:right="4400" w:firstLine="358"/>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4480"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4480"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left="8" w:right="4400" w:firstLine="358"/>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1368"/>
          </w:cols>
          <w:pgMar w:left="232" w:top="575" w:right="2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248" w:right="260" w:hanging="715"/>
        <w:spacing w:after="0" w:line="274" w:lineRule="auto"/>
        <w:rPr>
          <w:sz w:val="20"/>
          <w:szCs w:val="20"/>
          <w:color w:val="auto"/>
        </w:rPr>
      </w:pPr>
      <w:r>
        <w:rPr>
          <w:rFonts w:ascii="Courier New" w:cs="Courier New" w:eastAsia="Courier New" w:hAnsi="Courier New"/>
          <w:sz w:val="14"/>
          <w:szCs w:val="14"/>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AMOUNT TO BE</w:t>
      </w:r>
    </w:p>
    <w:p>
      <w:pPr>
        <w:spacing w:after="0" w:line="12"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jc w:val="center"/>
        <w:spacing w:after="0" w:line="241" w:lineRule="auto"/>
        <w:rPr>
          <w:sz w:val="20"/>
          <w:szCs w:val="20"/>
          <w:color w:val="auto"/>
        </w:rPr>
      </w:pPr>
      <w:r>
        <w:rPr>
          <w:rFonts w:ascii="Courier New" w:cs="Courier New" w:eastAsia="Courier New" w:hAnsi="Courier New"/>
          <w:sz w:val="15"/>
          <w:szCs w:val="15"/>
          <w:color w:val="auto"/>
        </w:rPr>
        <w:t>PROPOSED MAXIMUM OFFERING PRICE PER SHARE(1)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jc w:val="center"/>
        <w:spacing w:after="0" w:line="241" w:lineRule="auto"/>
        <w:rPr>
          <w:sz w:val="20"/>
          <w:szCs w:val="20"/>
          <w:color w:val="auto"/>
        </w:rPr>
      </w:pPr>
      <w:r>
        <w:rPr>
          <w:rFonts w:ascii="Courier New" w:cs="Courier New" w:eastAsia="Courier New" w:hAnsi="Courier New"/>
          <w:sz w:val="15"/>
          <w:szCs w:val="15"/>
          <w:color w:val="auto"/>
        </w:rPr>
        <w:t>PROPOSED MAXIMUM AGGREGATE OFFERING PRICE(1)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 FEE</w:t>
      </w:r>
    </w:p>
    <w:p>
      <w:pPr>
        <w:sectPr>
          <w:pgSz w:w="11900" w:h="16838" w:orient="portrait"/>
          <w:cols w:equalWidth="0" w:num="5">
            <w:col w:w="3748" w:space="720"/>
            <w:col w:w="1080" w:space="540"/>
            <w:col w:w="1600" w:space="280"/>
            <w:col w:w="1600" w:space="360"/>
            <w:col w:w="1440"/>
          </w:cols>
          <w:pgMar w:left="232" w:top="575" w:right="299" w:bottom="0" w:gutter="0" w:footer="0" w:header="0"/>
          <w:type w:val="continuous"/>
        </w:sectPr>
      </w:pPr>
    </w:p>
    <w:bookmarkStart w:id="1" w:name="page2"/>
    <w:bookmarkEnd w:id="1"/>
    <w:p>
      <w:pPr>
        <w:ind w:left="8"/>
        <w:spacing w:after="0"/>
        <w:tabs>
          <w:tab w:leader="none" w:pos="4268" w:val="left"/>
          <w:tab w:leader="none" w:pos="6688" w:val="left"/>
          <w:tab w:leader="none" w:pos="8308" w:val="left"/>
          <w:tab w:leader="none" w:pos="10268" w:val="left"/>
        </w:tabs>
        <w:rPr>
          <w:sz w:val="20"/>
          <w:szCs w:val="20"/>
          <w:color w:val="auto"/>
        </w:rPr>
      </w:pPr>
      <w:r>
        <w:rPr>
          <w:rFonts w:ascii="Courier New" w:cs="Courier New" w:eastAsia="Courier New" w:hAnsi="Courier New"/>
          <w:sz w:val="15"/>
          <w:szCs w:val="15"/>
          <w:color w:val="auto"/>
        </w:rPr>
        <w:t>Common Stock, par value $.01 per share.......</w:t>
        <w:tab/>
        <w:t>3,205,486 Shares</w:t>
      </w:r>
      <w:r>
        <w:rPr>
          <w:sz w:val="20"/>
          <w:szCs w:val="20"/>
          <w:color w:val="auto"/>
        </w:rPr>
        <w:tab/>
      </w:r>
      <w:r>
        <w:rPr>
          <w:rFonts w:ascii="Courier New" w:cs="Courier New" w:eastAsia="Courier New" w:hAnsi="Courier New"/>
          <w:sz w:val="15"/>
          <w:szCs w:val="15"/>
          <w:color w:val="auto"/>
        </w:rPr>
        <w:t>$8.22</w:t>
      </w:r>
      <w:r>
        <w:rPr>
          <w:sz w:val="20"/>
          <w:szCs w:val="20"/>
          <w:color w:val="auto"/>
        </w:rPr>
        <w:tab/>
      </w:r>
      <w:r>
        <w:rPr>
          <w:rFonts w:ascii="Courier New" w:cs="Courier New" w:eastAsia="Courier New" w:hAnsi="Courier New"/>
          <w:sz w:val="15"/>
          <w:szCs w:val="15"/>
          <w:color w:val="auto"/>
        </w:rPr>
        <w:t>$26,349,094</w:t>
      </w:r>
      <w:r>
        <w:rPr>
          <w:sz w:val="20"/>
          <w:szCs w:val="20"/>
          <w:color w:val="auto"/>
        </w:rPr>
        <w:tab/>
      </w:r>
      <w:r>
        <w:rPr>
          <w:rFonts w:ascii="Courier New" w:cs="Courier New" w:eastAsia="Courier New" w:hAnsi="Courier New"/>
          <w:sz w:val="14"/>
          <w:szCs w:val="14"/>
          <w:color w:val="auto"/>
        </w:rPr>
        <w:t>$6,956.16</w:t>
      </w:r>
    </w:p>
    <w:p>
      <w:pPr>
        <w:spacing w:after="0" w:line="348" w:lineRule="exact"/>
        <w:rPr>
          <w:sz w:val="20"/>
          <w:szCs w:val="20"/>
          <w:color w:val="auto"/>
        </w:rPr>
      </w:pPr>
    </w:p>
    <w:p>
      <w:pPr>
        <w:ind w:left="348" w:right="4020" w:hanging="348"/>
        <w:spacing w:after="0" w:line="242" w:lineRule="auto"/>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under the Securities Act of 1933. The maximum price per share information is based on the average of the high and low sale prices on the Nasdaq National Market on September 7, 2000.</w:t>
      </w:r>
    </w:p>
    <w:p>
      <w:pPr>
        <w:spacing w:after="0" w:line="1"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940" w:firstLine="358"/>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5"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088"/>
          </w:cols>
          <w:pgMar w:left="232" w:top="312" w:right="579" w:bottom="1440" w:gutter="0" w:footer="0" w:header="0"/>
        </w:sectPr>
      </w:pPr>
    </w:p>
    <w:bookmarkStart w:id="2" w:name="page3"/>
    <w:bookmarkEnd w:id="2"/>
    <w:p>
      <w:pPr>
        <w:ind w:left="1780"/>
        <w:spacing w:after="0"/>
        <w:rPr>
          <w:sz w:val="20"/>
          <w:szCs w:val="20"/>
          <w:color w:val="auto"/>
        </w:rPr>
      </w:pPr>
      <w:r>
        <w:rPr>
          <w:rFonts w:ascii="Courier New" w:cs="Courier New" w:eastAsia="Courier New" w:hAnsi="Courier New"/>
          <w:sz w:val="15"/>
          <w:szCs w:val="15"/>
          <w:color w:val="auto"/>
        </w:rPr>
        <w:t>SUBJECT TO COMPLETION--NOVEMBER 8, 2000</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 2000</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SHARES OF COMMON STOCK</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The selling stockholders listed on page 44 of this prospectus or in an accompanying supplement to this prospectus are offering to sell 3,205,486 shares of our common stock.</w:t>
      </w:r>
    </w:p>
    <w:p>
      <w:pPr>
        <w:spacing w:after="0" w:line="348"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THIS INVESTMENT INVOLVES RISKS. SEE "RISK FACTORS" BEGINNING ON PAGE 4.</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0219"/>
          </w:cols>
          <w:pgMar w:left="240" w:top="633" w:right="1440" w:bottom="1440" w:gutter="0" w:footer="0" w:header="0"/>
        </w:sectPr>
      </w:pPr>
    </w:p>
    <w:bookmarkStart w:id="3" w:name="page4"/>
    <w:bookmarkEnd w:id="3"/>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2</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Industry and Market Data</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14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Condition and Results of</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5"/>
          <w:szCs w:val="15"/>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Beneficial Owners and Management</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Relationships and Transactions with</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Related Parties</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390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Balance</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Sheets</w:t>
      </w:r>
      <w:r>
        <w:rPr>
          <w:sz w:val="20"/>
          <w:szCs w:val="20"/>
          <w:color w:val="auto"/>
        </w:rPr>
        <w:tab/>
      </w:r>
      <w:r>
        <w:rPr>
          <w:rFonts w:ascii="Courier New" w:cs="Courier New" w:eastAsia="Courier New" w:hAnsi="Courier New"/>
          <w:sz w:val="14"/>
          <w:szCs w:val="14"/>
          <w:color w:val="auto"/>
        </w:rPr>
        <w:t>F-25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F-26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Cash Flows</w:t>
      </w:r>
      <w:r>
        <w:rPr>
          <w:sz w:val="20"/>
          <w:szCs w:val="20"/>
          <w:color w:val="auto"/>
        </w:rPr>
        <w:tab/>
      </w:r>
      <w:r>
        <w:rPr>
          <w:rFonts w:ascii="Courier New" w:cs="Courier New" w:eastAsia="Courier New" w:hAnsi="Courier New"/>
          <w:sz w:val="14"/>
          <w:szCs w:val="14"/>
          <w:color w:val="auto"/>
        </w:rPr>
        <w:t>F-27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4"/>
          <w:szCs w:val="14"/>
          <w:color w:val="auto"/>
        </w:rPr>
        <w:t>F-28</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61" w:right="1440" w:bottom="1440" w:gutter="0" w:footer="0" w:header="0"/>
        </w:sectPr>
      </w:pPr>
    </w:p>
    <w:bookmarkStart w:id="4" w:name="page5"/>
    <w:bookmarkEnd w:id="4"/>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THIS SUMMARY HIGHLIGHTS IMPORTANT INFORMATION REGARDING OUR BUSINESS AND THIS OFFERING. BECAUSE THIS IS ONLY A SUMMARY, IT DOES NOT CONTAIN ALL THE INFORMATION THAT MAY BE IMPORTANT TO YOU. YOU SHOULD READ THE ENTIRE PROSPECTUS CAREFULLY, INCLUDING "RISK FACTORS" AND OUR FINANCIAL STATEMENTS AND RELATED NOTES, BEFORE DECIDING TO INVEST IN OUR COMMON STOCK.</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STEMCELLS, INC.</w:t>
      </w:r>
    </w:p>
    <w:p>
      <w:pPr>
        <w:spacing w:after="0" w:line="17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We are engaged in research and development efforts focused on the identification, isolation and expansion of stem cells as the underlying technology for developing potential cell transplant therapies. Stem cells are key cells in the body that produce all of the functional mature cell types found in normal, healthy individuals. Our goal is to develop therapies that will use stem cells to repopulate or repair tissues, such as those of the brain, pancreas or liver, that have been damaged or lost as a result of disease or injury. All of our programs are currently at the discovery or pre-clinical stage.</w:t>
      </w:r>
    </w:p>
    <w:p>
      <w:pPr>
        <w:spacing w:after="0" w:line="16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351"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We have made significant progress toward developing stem cell therapies for the nervous system by identifying and characterizing the human central nervous system stem cell. We have also made significant advances in our search for the stem cells of the pancreas and the liver by identifying novel markers on the surface of cells so they can be isolated and tested to determine whether they are stem cells.</w:t>
      </w:r>
    </w:p>
    <w:p>
      <w:pPr>
        <w:spacing w:after="0" w:line="200" w:lineRule="exact"/>
        <w:rPr>
          <w:sz w:val="20"/>
          <w:szCs w:val="20"/>
          <w:color w:val="auto"/>
        </w:rPr>
      </w:pPr>
    </w:p>
    <w:p>
      <w:pPr>
        <w:spacing w:after="0" w:line="32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established our intellectual property position with respect to stem cell therapies for each of these three areas--the central nervous system, the pancreas and the liver--by patenting or seeking patent protection for our discoveries and by entering into exclusive licensing arrangements. Our portfolio of issued patents includes a method of culturing normal human neural stem cells in our proprietary medium, and our published studies show that our cultured and expanded cells give rise to all three major cell types of the central nervous system. In addition, the Company recently announced the results of a new study that showed that human brain stem cells can be successfully isolated with the use of markers present on the surface of freshly obtained brain cells. We believe this is the first reproducible process for isolating highly purified populations of well-characterized normal human neural stem cells, and we have applied for a composition of matter patent. We also have filed an improved process patent for the growth and expansion of these purified normal human neural cells.</w:t>
      </w:r>
    </w:p>
    <w:p>
      <w:pPr>
        <w:spacing w:after="0" w:line="354"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Historical Note: We were formerly known as CytoTherapeutics and were incorporated in Delaware in 1988. We currently have one subsidiary, StemCells California, Inc., a California corporation we acquired in September 1997. Until mid-1999, we had programs in a different technology, encapsulated cell therapy, as well as stem cell programs. In 1999, we embarked on a major restructuring of our research and development operations and sold the encapsulated cell therapy technology. We now focus exclusively on the discovery, development and commercialization of our proprietary platform of stem cell technologies.</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1" w:right="1440" w:bottom="1440" w:gutter="0" w:footer="0" w:header="0"/>
        </w:sectPr>
      </w:pPr>
    </w:p>
    <w:bookmarkStart w:id="5" w:name="page6"/>
    <w:bookmarkEnd w:id="5"/>
    <w:p>
      <w:pPr>
        <w:jc w:val="center"/>
        <w:ind w:right="4460"/>
        <w:spacing w:after="0"/>
        <w:rPr>
          <w:sz w:val="20"/>
          <w:szCs w:val="20"/>
          <w:color w:val="auto"/>
        </w:rPr>
      </w:pPr>
      <w:r>
        <w:rPr>
          <w:rFonts w:ascii="Courier New" w:cs="Courier New" w:eastAsia="Courier New" w:hAnsi="Courier New"/>
          <w:sz w:val="15"/>
          <w:szCs w:val="15"/>
          <w:color w:val="auto"/>
        </w:rPr>
        <w:t>SUMMARY CONSOLIDATED FINANCIAL AND OTHER DATA</w:t>
      </w:r>
    </w:p>
    <w:p>
      <w:pPr>
        <w:spacing w:after="0" w:line="2"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6" w:lineRule="exact"/>
        <w:rPr>
          <w:sz w:val="20"/>
          <w:szCs w:val="20"/>
          <w:color w:val="auto"/>
        </w:rPr>
      </w:pPr>
    </w:p>
    <w:p>
      <w:pPr>
        <w:ind w:right="4460" w:firstLine="358"/>
        <w:spacing w:after="0" w:line="265" w:lineRule="auto"/>
        <w:rPr>
          <w:sz w:val="20"/>
          <w:szCs w:val="20"/>
          <w:color w:val="auto"/>
        </w:rPr>
      </w:pPr>
      <w:r>
        <w:rPr>
          <w:rFonts w:ascii="Courier New" w:cs="Courier New" w:eastAsia="Courier New" w:hAnsi="Courier New"/>
          <w:sz w:val="14"/>
          <w:szCs w:val="14"/>
          <w:color w:val="auto"/>
        </w:rPr>
        <w:t>The following table summarizes the consolidated financial data for our business. You should read this table together with "Management's Discussion and Analysis of Financial Condition and Results of Operations" and our consolidated financial statements and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right"/>
              <w:ind w:right="85"/>
              <w:spacing w:after="0"/>
              <w:rPr>
                <w:sz w:val="20"/>
                <w:szCs w:val="20"/>
                <w:color w:val="auto"/>
              </w:rPr>
            </w:pPr>
            <w:r>
              <w:rPr>
                <w:rFonts w:ascii="Courier New" w:cs="Courier New" w:eastAsia="Courier New" w:hAnsi="Courier New"/>
                <w:sz w:val="15"/>
                <w:szCs w:val="15"/>
                <w:color w:val="auto"/>
                <w:w w:val="98"/>
              </w:rPr>
              <w:t>SIX MONTHS ENDED</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w:t>
            </w:r>
          </w:p>
        </w:tc>
      </w:tr>
      <w:tr>
        <w:trPr>
          <w:trHeight w:val="172"/>
        </w:trPr>
        <w:tc>
          <w:tcPr>
            <w:tcW w:w="48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7"/>
              </w:rPr>
              <w: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120" w:type="dxa"/>
            <w:vAlign w:val="bottom"/>
          </w:tcPr>
          <w:p>
            <w:pPr>
              <w:spacing w:after="0"/>
              <w:rPr>
                <w:sz w:val="14"/>
                <w:szCs w:val="14"/>
                <w:color w:val="auto"/>
              </w:rPr>
            </w:pPr>
          </w:p>
        </w:tc>
        <w:tc>
          <w:tcPr>
            <w:tcW w:w="6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8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11,761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5,022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8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14,730</w:t>
            </w:r>
          </w:p>
        </w:tc>
        <w:tc>
          <w:tcPr>
            <w:tcW w:w="22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17,130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18,604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9,991</w:t>
            </w:r>
          </w:p>
        </w:tc>
        <w:tc>
          <w:tcPr>
            <w:tcW w:w="1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6,847</w:t>
            </w:r>
          </w:p>
        </w:tc>
        <w:tc>
          <w:tcPr>
            <w:tcW w:w="1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8,344</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ECT wind-down 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6,048</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(8,891)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(13,759)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(18,114)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(12,628)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(15,709)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(3,773)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(2,326)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(0.20)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12,799</w:t>
            </w:r>
          </w:p>
        </w:tc>
        <w:tc>
          <w:tcPr>
            <w:tcW w:w="22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15,430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16,704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18,483</w:t>
            </w:r>
          </w:p>
        </w:tc>
        <w:tc>
          <w:tcPr>
            <w:tcW w:w="1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19,419</w:t>
            </w:r>
          </w:p>
        </w:tc>
      </w:tr>
    </w:tbl>
    <w:p>
      <w:pPr>
        <w:spacing w:after="0" w:line="200" w:lineRule="exact"/>
        <w:rPr>
          <w:sz w:val="20"/>
          <w:szCs w:val="20"/>
          <w:color w:val="auto"/>
        </w:rPr>
      </w:pPr>
    </w:p>
    <w:p>
      <w:pPr>
        <w:spacing w:after="0" w:line="320" w:lineRule="exact"/>
        <w:rPr>
          <w:sz w:val="20"/>
          <w:szCs w:val="20"/>
          <w:color w:val="auto"/>
        </w:rPr>
      </w:pPr>
    </w:p>
    <w:p>
      <w:pPr>
        <w:ind w:right="4380" w:firstLine="358"/>
        <w:spacing w:after="0" w:line="242" w:lineRule="auto"/>
        <w:rPr>
          <w:sz w:val="20"/>
          <w:szCs w:val="20"/>
          <w:color w:val="auto"/>
        </w:rPr>
      </w:pPr>
      <w:r>
        <w:rPr>
          <w:rFonts w:ascii="Courier New" w:cs="Courier New" w:eastAsia="Courier New" w:hAnsi="Courier New"/>
          <w:sz w:val="15"/>
          <w:szCs w:val="15"/>
          <w:color w:val="auto"/>
        </w:rPr>
        <w:t>The following table provides a summary of our consolidated balance sheets. The pro-forma column is based on our historical unaudited financial statements and also reflects our August 3, 2000 sale of 923,521 shares of common stock to Millennium Partners, L.P for $4,000,000 and the sale as of August 30, 2000 of 180,914 shares of common stock to Millennium Partners, L.P., for $1,000,000, net of a stock subscription receivable of $1,250,000.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2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AS OF DECEMBER 31</w:t>
            </w:r>
          </w:p>
        </w:tc>
        <w:tc>
          <w:tcPr>
            <w:tcW w:w="980" w:type="dxa"/>
            <w:vAlign w:val="bottom"/>
          </w:tcPr>
          <w:p>
            <w:pPr>
              <w:spacing w:after="0"/>
              <w:rPr>
                <w:sz w:val="14"/>
                <w:szCs w:val="14"/>
                <w:color w:val="auto"/>
              </w:rPr>
            </w:pPr>
          </w:p>
        </w:tc>
        <w:tc>
          <w:tcPr>
            <w:tcW w:w="19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AS OF JUNE 30</w:t>
            </w:r>
          </w:p>
        </w:tc>
      </w:tr>
      <w:tr>
        <w:trPr>
          <w:trHeight w:val="172"/>
        </w:trPr>
        <w:tc>
          <w:tcPr>
            <w:tcW w:w="4740" w:type="dxa"/>
            <w:vAlign w:val="bottom"/>
          </w:tcPr>
          <w:p>
            <w:pPr>
              <w:spacing w:after="0"/>
              <w:rPr>
                <w:sz w:val="14"/>
                <w:szCs w:val="14"/>
                <w:color w:val="auto"/>
              </w:rPr>
            </w:pPr>
          </w:p>
        </w:tc>
        <w:tc>
          <w:tcPr>
            <w:tcW w:w="1920" w:type="dxa"/>
            <w:vAlign w:val="bottom"/>
            <w:gridSpan w:val="2"/>
          </w:tcPr>
          <w:p>
            <w:pPr>
              <w:ind w:left="80"/>
              <w:spacing w:after="0"/>
              <w:rPr>
                <w:sz w:val="20"/>
                <w:szCs w:val="20"/>
                <w:color w:val="auto"/>
              </w:rPr>
            </w:pPr>
            <w:r>
              <w:rPr>
                <w:rFonts w:ascii="Courier New" w:cs="Courier New" w:eastAsia="Courier New" w:hAnsi="Courier New"/>
                <w:sz w:val="7"/>
                <w:szCs w:val="7"/>
                <w:color w:val="auto"/>
                <w:w w:val="83"/>
              </w:rPr>
              <w:t>----------------------------------------------------</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06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2000</w:t>
            </w:r>
          </w:p>
        </w:tc>
        <w:tc>
          <w:tcPr>
            <w:tcW w:w="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7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ACTUAL</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PRO-FORMA</w:t>
            </w:r>
          </w:p>
        </w:tc>
      </w:tr>
      <w:tr>
        <w:trPr>
          <w:trHeight w:val="172"/>
        </w:trPr>
        <w:tc>
          <w:tcPr>
            <w:tcW w:w="4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 securities....</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$44,192</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$42,607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$17,386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$4,760</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6"/>
              </w:rPr>
              <w:t>$5,535</w:t>
            </w: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$9,285</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Restricted investments..............................</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6"/>
              </w:rPr>
              <w:t>19,220</w:t>
            </w: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19,220</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56,808</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44,301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32,866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15,781</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6"/>
              </w:rPr>
              <w:t>32,088</w:t>
            </w: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35,838</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Long-term debt, including capitalized leases........</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5,441</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8,223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2,775</w:t>
            </w: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2,775</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Redeemable common stock.............................</w:t>
            </w:r>
          </w:p>
        </w:tc>
        <w:tc>
          <w:tcPr>
            <w:tcW w:w="10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6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45,391</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3,506</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6"/>
              </w:rPr>
              <w:t>27,606</w:t>
            </w:r>
          </w:p>
        </w:tc>
        <w:tc>
          <w:tcPr>
            <w:tcW w:w="9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31,356</w:t>
            </w:r>
          </w:p>
        </w:tc>
      </w:tr>
    </w:tbl>
    <w:p>
      <w:pPr>
        <w:spacing w:after="0" w:line="348" w:lineRule="exact"/>
        <w:rPr>
          <w:sz w:val="20"/>
          <w:szCs w:val="20"/>
          <w:color w:val="auto"/>
        </w:rPr>
      </w:pPr>
    </w:p>
    <w:p>
      <w:pPr>
        <w:ind w:right="4460" w:firstLine="358"/>
        <w:spacing w:after="0" w:line="262" w:lineRule="auto"/>
        <w:rPr>
          <w:sz w:val="20"/>
          <w:szCs w:val="20"/>
          <w:color w:val="auto"/>
        </w:rPr>
      </w:pPr>
      <w:r>
        <w:rPr>
          <w:rFonts w:ascii="Courier New" w:cs="Courier New" w:eastAsia="Courier New" w:hAnsi="Courier New"/>
          <w:sz w:val="14"/>
          <w:szCs w:val="14"/>
          <w:color w:val="auto"/>
        </w:rPr>
        <w:t>In July 1999 we began restructuring the company to focus solely on our stem cell technology. As part of this restructuring we terminated all activities related to our former encapsulated cell technology and we relocated our headquarters from Lincoln, Rhode Island to Sunnyvale, California. The results shown for the six months ended June 30, 2000 do not include any charges related to the restructuring. For more information on this restructuring see "Risk Factors," "Business" and "Management's Discussion and Analysis of Financial Condition and Results of Operations" and our consolidated financial statements and notes included elsewhere in this prospectus.</w:t>
      </w:r>
    </w:p>
    <w:p>
      <w:pPr>
        <w:spacing w:after="0" w:line="162" w:lineRule="exact"/>
        <w:rPr>
          <w:sz w:val="20"/>
          <w:szCs w:val="20"/>
          <w:color w:val="auto"/>
        </w:rPr>
      </w:pPr>
    </w:p>
    <w:p>
      <w:pPr>
        <w:ind w:right="4380" w:firstLine="358"/>
        <w:spacing w:after="0" w:line="262" w:lineRule="auto"/>
        <w:rPr>
          <w:sz w:val="20"/>
          <w:szCs w:val="20"/>
          <w:color w:val="auto"/>
        </w:rPr>
      </w:pPr>
      <w:r>
        <w:rPr>
          <w:rFonts w:ascii="Courier New" w:cs="Courier New" w:eastAsia="Courier New" w:hAnsi="Courier New"/>
          <w:sz w:val="14"/>
          <w:szCs w:val="14"/>
          <w:color w:val="auto"/>
        </w:rPr>
        <w:t>During the second quarter 2000 we realized a $1,427,686 gain and recognized an increase in value related to our remaining holdings of $19,220,165 in connection with our investment in Modex Therapeutics Ltd., a Swiss biotechnology company that completed an initial public offering on June 23, 2000. For more information on Modex see "Risk Factors" and "Management's Discussion and Analysis of Financial Condition and Results of Operations" and our consolidated financial statements and notes included elsewhere in this prospectus.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461" w:right="139" w:bottom="1440" w:gutter="0" w:footer="0" w:header="0"/>
        </w:sectPr>
      </w:pPr>
    </w:p>
    <w:bookmarkStart w:id="6" w:name="page7"/>
    <w:bookmarkEnd w:id="6"/>
    <w:p>
      <w:pPr>
        <w:jc w:val="center"/>
        <w:ind w:right="3071"/>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left="8" w:right="3339" w:firstLine="358"/>
        <w:spacing w:after="0" w:line="242" w:lineRule="auto"/>
        <w:rPr>
          <w:sz w:val="20"/>
          <w:szCs w:val="20"/>
          <w:color w:val="auto"/>
        </w:rPr>
      </w:pPr>
      <w:r>
        <w:rPr>
          <w:rFonts w:ascii="Courier New" w:cs="Courier New" w:eastAsia="Courier New" w:hAnsi="Courier New"/>
          <w:sz w:val="15"/>
          <w:szCs w:val="15"/>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17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175"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OUR TECHNOLOGY IS AT AN EARLY STAGE OF DISCOVERY AND DEVELOPMENT AND WE MAY FAIL TO DEVELOP ANY PRODUCTS.</w:t>
      </w:r>
    </w:p>
    <w:p>
      <w:pPr>
        <w:spacing w:after="0" w:line="176"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Our stem cell technology is at the early pre-clinical stage for the brain stem cell and at the discovery phase for the liver and pancreas stem cells and has not yet led to the development of any proposed product. We may fail to discover the stem cells we are seeking, to develop any products, to obtain regulatory approvals, to enter clinical trials, or to commercialize any products. Any product using stem cell technology may fail to (i) survive and persist in the desired location, (ii) provide the intended therapeutic benefits,</w:t>
      </w:r>
    </w:p>
    <w:p>
      <w:pPr>
        <w:ind w:left="528" w:hanging="528"/>
        <w:spacing w:after="0"/>
        <w:tabs>
          <w:tab w:leader="none" w:pos="5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properly integrate into existing tissue in the desired manner, or</w:t>
      </w:r>
    </w:p>
    <w:p>
      <w:pPr>
        <w:spacing w:after="0" w:line="3" w:lineRule="exact"/>
        <w:rPr>
          <w:rFonts w:ascii="Courier New" w:cs="Courier New" w:eastAsia="Courier New" w:hAnsi="Courier New"/>
          <w:sz w:val="15"/>
          <w:szCs w:val="15"/>
          <w:color w:val="auto"/>
        </w:rPr>
      </w:pPr>
    </w:p>
    <w:p>
      <w:pPr>
        <w:ind w:left="8" w:right="3259" w:hanging="8"/>
        <w:spacing w:after="0" w:line="262" w:lineRule="auto"/>
        <w:tabs>
          <w:tab w:leader="none" w:pos="45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achieve benefits therapeutically equal to or better than the standard of treatment at the time of testing. In addition, any such product may cause undesirable side effects. Results of early pre-clinical research may not be indicative of the results that will be obtained in later stages of preclinical or clinical research. If the appropriate regulatory authorities do not approve our products, or if we fail to maintain regulatory compliance, we would have limited ability to commercialize our products, and our business and results of operations would be harmed. Furthermore, since stem cells are a new form of therapy, the marketplace may not accept any products we may develop.</w:t>
      </w:r>
    </w:p>
    <w:p>
      <w:pPr>
        <w:spacing w:after="0" w:line="162"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175" w:lineRule="exact"/>
        <w:rPr>
          <w:sz w:val="20"/>
          <w:szCs w:val="20"/>
          <w:color w:val="auto"/>
        </w:rPr>
      </w:pPr>
    </w:p>
    <w:p>
      <w:pPr>
        <w:ind w:left="8" w:right="3599" w:firstLine="358"/>
        <w:spacing w:after="0" w:line="241" w:lineRule="auto"/>
        <w:rPr>
          <w:sz w:val="20"/>
          <w:szCs w:val="20"/>
          <w:color w:val="auto"/>
        </w:rPr>
      </w:pPr>
      <w:r>
        <w:rPr>
          <w:rFonts w:ascii="Courier New" w:cs="Courier New" w:eastAsia="Courier New" w:hAnsi="Courier New"/>
          <w:sz w:val="15"/>
          <w:szCs w:val="15"/>
          <w:color w:val="auto"/>
        </w:rPr>
        <w:t>WE HAVE LIMITED LIQUIDITY AND CAPITAL RESOURCES AND MAY NOT OBTAIN THE SIGNIFICANT CAPITAL RESOURCES WE WILL NEED TO SUSTAIN OUR RESEARCH AND DEVELOPMENT EFFORTS.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w:t>
      </w:r>
    </w:p>
    <w:p>
      <w:pPr>
        <w:spacing w:after="0" w:line="349"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Even though we own 126,193 shares of Modex Therapeutics Ltd., stock with an estimated fair market value on June 30, 2000 of $19,220,165 based on the per share price of approximately $152.00, which we converted from a market price of 247.50 Swiss francs on June 30, 2000, we are restricted from selling these shares until December 23, 2000. On October 31, 2000, the market price of Modex stock was 329.50 Swiss francs, which converts to $183.28 using the exchange rates on that date, and represents an estimated fair market value of $23,128,598 for our holdings. The performance of Modex stock since Modex's initial public offering does not predict its future value and the value of our holdings is subject to change and could decrease significantly. If we decide to sell our Modex shares, due to the relatively small trading volume in Modex shares and the relatively large size of our holding, or other factors, we may not be able to sell our Modex shares at their market value or at all, and we may have to sell these shares at a significant discount to the market price. In addition, fluctuations in currency exchange rates could decrease the proceeds we might realize on a potential sale of Modex shares.</w:t>
      </w:r>
    </w:p>
    <w:p>
      <w:pPr>
        <w:spacing w:after="0" w:line="35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461" w:right="1440" w:bottom="1440" w:gutter="0" w:footer="0" w:header="0"/>
        </w:sectPr>
      </w:pPr>
    </w:p>
    <w:bookmarkStart w:id="7" w:name="page8"/>
    <w:bookmarkEnd w:id="7"/>
    <w:p>
      <w:pPr>
        <w:ind w:right="3079" w:firstLine="358"/>
        <w:spacing w:after="0" w:line="242" w:lineRule="auto"/>
        <w:rPr>
          <w:sz w:val="20"/>
          <w:szCs w:val="20"/>
          <w:color w:val="auto"/>
        </w:rPr>
      </w:pPr>
      <w:r>
        <w:rPr>
          <w:rFonts w:ascii="Courier New" w:cs="Courier New" w:eastAsia="Courier New" w:hAnsi="Courier New"/>
          <w:sz w:val="15"/>
          <w:szCs w:val="15"/>
          <w:color w:val="auto"/>
        </w:rPr>
        <w:t>We intend to pursue our needed capital resources through equity and debt financings, corporate alliances, grants and collaborative research arrangements. Our ability to complete any such arrangements successfully will depend upon market conditions and, more specifically, on continued progress in our research and development efforts. We may fail to obtain the necessary capital resources from any such sources when needed or on terms acceptable to us.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179"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WE HAVE PAYMENT OBLIGATIONS RESULTING FROM REAL PROPERTY OWNED OR LEASED BY US IN RHODE ISLAND, WHICH ADVERSELY AFFECT OUR ABILITY TO FUND OUR STEM CELL RESEARCH AND DEVELOPMENT.</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Prior to our reorganization in 1999 and the resulting consolidation of all functions in California, we carried out our former encapsulated cell therapy programs at facilities in Lincoln, Rhode Island, where we also had our administrative offices. Although we have vacated these facilities, we have continuing obligations for lease payments and operating costs of approximately $950,000 per year for our former science and administrative facility, which we have leased through June 30, 2013, and debt service payments and operating costs of approximately $1,000,000 per year for our former encapsulated cell therapy pilot manufacturing facility. We are currently seeking to sublease the science and administrative facility and to sell the pilot manufacturing facility, but may not be able to do so. These continuing costs significantly reduce our cash resources and adversely affect our ability to fund further development of our stem cell technology. The lease for the science and administrative facility contains a provision requiring occupancy of the premises and we currently are in violation of this provision. The landlord has agreed not to take any action as a result of this violation until November 19, 2000. We intend to seek an additional period of forebearance from the landlord, but we cannot give any assurance that the landlord will grant this additional forebearance or that we will be able to sublease the premises during any additional period of time. If the landlord decides to pursue its rights after any period of forebearance, we may be required to pay the landlord the entire amount due for the rest of the lease period.</w:t>
      </w:r>
    </w:p>
    <w:p>
      <w:pPr>
        <w:spacing w:after="0" w:line="359"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WE MAY NEED BUT FAIL TO OBTAIN PARTNERS TO SUPPORT OUR STEM CELL DEVELOPMENT EFFORTS AND TO COMMERCIALIZE OUR TECHNOLOGY.</w:t>
      </w:r>
    </w:p>
    <w:p>
      <w:pPr>
        <w:spacing w:after="0" w:line="348"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regarding any such arrangement and we may fail to obtain any such agreement on terms acceptable to us, if at all. Even if we enter into these arrangements, we may not be able to satisfy our obligations under them or renew or replace them after their original terms. Furthermore, these arrangements may require us to grant certain rights to third parties, including exclusive marketing rights to one or more products, or may have other terms that are burdensome to us, and may involve the acquisition of our securities. If any of our collaborators terminates its relationship with us or fails to perform its obligations in a timely manner, the development or commercialization of our technology and potential products may be adversely affected.</w:t>
      </w:r>
    </w:p>
    <w:p>
      <w:pPr>
        <w:spacing w:after="0" w:line="200" w:lineRule="exact"/>
        <w:rPr>
          <w:sz w:val="20"/>
          <w:szCs w:val="20"/>
          <w:color w:val="auto"/>
        </w:rPr>
      </w:pPr>
    </w:p>
    <w:p>
      <w:pPr>
        <w:spacing w:after="0" w:line="308"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entered into a Sponsored Research Agreement with the Scripps Research Institute under which we funded certain research in return for licenses or options to license the inventions resulting from the research. This agreement expires on November 14, 2000 and we are negotiating with Scripps to extend the term. If we are unable to extend the term of this agreement, we will have to find a</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3" w:right="1440" w:bottom="1440" w:gutter="0" w:footer="0" w:header="0"/>
        </w:sectPr>
      </w:pPr>
    </w:p>
    <w:bookmarkStart w:id="8" w:name="page9"/>
    <w:bookmarkEnd w:id="8"/>
    <w:p>
      <w:pPr>
        <w:jc w:val="both"/>
        <w:ind w:right="3339"/>
        <w:spacing w:after="0" w:line="241" w:lineRule="auto"/>
        <w:rPr>
          <w:sz w:val="20"/>
          <w:szCs w:val="20"/>
          <w:color w:val="auto"/>
        </w:rPr>
      </w:pPr>
      <w:r>
        <w:rPr>
          <w:rFonts w:ascii="Courier New" w:cs="Courier New" w:eastAsia="Courier New" w:hAnsi="Courier New"/>
          <w:sz w:val="15"/>
          <w:szCs w:val="15"/>
          <w:color w:val="auto"/>
        </w:rPr>
        <w:t>replacement to perform this research or we will have to perform this research ourselves. In either case, we may experience delay and additional expense in connection with this research effort.</w:t>
      </w:r>
    </w:p>
    <w:p>
      <w:pPr>
        <w:spacing w:after="0" w:line="348"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WE HAVE A HISTORY OF OPERATING LOSSES AND WE MAY FAIL TO OBTAIN REVENUES OR BECOME PROFITABLE.</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incurred $121,698,674 in operating losses through June 30, 2000 and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have no cooperative agreements and we have received only two research grants for our stem cell technology, and we may not obtain any such agreements or additional grants in the future, or receive any revenues from them.</w:t>
      </w:r>
    </w:p>
    <w:p>
      <w:pPr>
        <w:spacing w:after="0" w:line="182" w:lineRule="exact"/>
        <w:rPr>
          <w:sz w:val="20"/>
          <w:szCs w:val="20"/>
          <w:color w:val="auto"/>
        </w:rPr>
      </w:pPr>
    </w:p>
    <w:p>
      <w:pPr>
        <w:ind w:right="3879" w:firstLine="358"/>
        <w:spacing w:after="0"/>
        <w:rPr>
          <w:sz w:val="20"/>
          <w:szCs w:val="20"/>
          <w:color w:val="auto"/>
        </w:rPr>
      </w:pPr>
      <w:r>
        <w:rPr>
          <w:rFonts w:ascii="Courier New" w:cs="Courier New" w:eastAsia="Courier New" w:hAnsi="Courier New"/>
          <w:sz w:val="15"/>
          <w:szCs w:val="15"/>
          <w:color w:val="auto"/>
        </w:rPr>
        <w:t>WE DO NOT ANTICIPATE RECEIVING FUTURE REVENUES FROM THE SALE OF OUR ENCAPSULATED CELL TECHNOLOGY.</w:t>
      </w:r>
    </w:p>
    <w:p>
      <w:pPr>
        <w:spacing w:after="0" w:line="348" w:lineRule="exact"/>
        <w:rPr>
          <w:sz w:val="20"/>
          <w:szCs w:val="20"/>
          <w:color w:val="auto"/>
        </w:rPr>
      </w:pPr>
    </w:p>
    <w:p>
      <w:pPr>
        <w:ind w:right="3159" w:firstLine="358"/>
        <w:spacing w:after="0" w:line="265" w:lineRule="auto"/>
        <w:rPr>
          <w:sz w:val="20"/>
          <w:szCs w:val="20"/>
          <w:color w:val="auto"/>
        </w:rPr>
      </w:pPr>
      <w:r>
        <w:rPr>
          <w:rFonts w:ascii="Courier New" w:cs="Courier New" w:eastAsia="Courier New" w:hAnsi="Courier New"/>
          <w:sz w:val="14"/>
          <w:szCs w:val="14"/>
          <w:color w:val="auto"/>
        </w:rPr>
        <w:t>In December 1999, we sold our encapsulated cell therapy technology to Neurotech S.A. While under the terms of the sale we may receive royalty and other payments from Neurotech under certain circumstances, we do not anticipate receiving any material payments from Neurotech in the near future, if at all.</w:t>
      </w:r>
    </w:p>
    <w:p>
      <w:pPr>
        <w:spacing w:after="0" w:line="33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DEPEND ON PATENTS AND PROPRIETARY RIGHTS TO PROTECT OUR INTELLECTUAL PROPERTY FROM INFRINGEMENT. NEVERTHELESS, SUCH PROTECTION IS UNCERTAIN AND, IF GAINED, MAY OFFER ONLY LIMITED PROTECTION. IF WE ARE UNABLE TO PROTECT OUR PATENTS AND PROPRIETARY RIGHTS, OUR BUSINESS, FINANCIAL CONDITION AND RESULTS OF OPERATION WILL BE HARMED.</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own or license a number of patents or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Since patent applications are secret until patents are issued in the United States or until the applications are published in foreign countries,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Our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190"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IF OTHERS ARE FIRST TO DISCOVER AND PATENT ANY STEM CELLS WE ARE SEEKING TO DISCOVER, WE COULD BE BLOCKED FROM FURTHER WORK ON THAT STEM CELL, AND OUR BUSINESS WOULD BE HARMED.</w:t>
      </w:r>
    </w:p>
    <w:p>
      <w:pPr>
        <w:spacing w:after="0" w:line="176" w:lineRule="exact"/>
        <w:rPr>
          <w:sz w:val="20"/>
          <w:szCs w:val="20"/>
          <w:color w:val="auto"/>
        </w:rPr>
      </w:pPr>
    </w:p>
    <w:p>
      <w:pPr>
        <w:jc w:val="both"/>
        <w:ind w:right="3159" w:firstLine="358"/>
        <w:spacing w:after="0" w:line="241" w:lineRule="auto"/>
        <w:rPr>
          <w:sz w:val="20"/>
          <w:szCs w:val="20"/>
          <w:color w:val="auto"/>
        </w:rPr>
      </w:pPr>
      <w:r>
        <w:rPr>
          <w:rFonts w:ascii="Courier New" w:cs="Courier New" w:eastAsia="Courier New" w:hAnsi="Courier New"/>
          <w:sz w:val="15"/>
          <w:szCs w:val="15"/>
          <w:color w:val="auto"/>
        </w:rPr>
        <w:t>Because the first person or entity to discover and obtain a valid patent to a particular stem or progenitor cell may effectively block all others, it will be important to our development efforts for us or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9" w:name="page10"/>
    <w:bookmarkEnd w:id="9"/>
    <w:p>
      <w:pPr>
        <w:ind w:right="3079"/>
        <w:spacing w:after="0" w:line="242" w:lineRule="auto"/>
        <w:rPr>
          <w:sz w:val="20"/>
          <w:szCs w:val="20"/>
          <w:color w:val="auto"/>
        </w:rPr>
      </w:pPr>
      <w:r>
        <w:rPr>
          <w:rFonts w:ascii="Courier New" w:cs="Courier New" w:eastAsia="Courier New" w:hAnsi="Courier New"/>
          <w:sz w:val="15"/>
          <w:szCs w:val="15"/>
          <w:color w:val="auto"/>
        </w:rPr>
        <w:t>our collaborators to be the first to discover any stem cell that we are seeking. Failure to be the first could prevent us from commercializing all of our research and development related to such stem cell and have a material adverse effect on the Company.</w:t>
      </w:r>
    </w:p>
    <w:p>
      <w:pPr>
        <w:spacing w:after="0" w:line="175"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WE MAY NEED TO OBTAIN LICENSES TO THIRD PARTY PATENTS, AND MAY NOT BE ABLE TO GET THEM.</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We are also aware of a number of patent applications and patents claiming use of genetically modified cells to treat disease, disorder or injury. We are aware of three patents issued to two competitors claiming certain methods for enriching central nervous system stem cells through gene modification of in vitro cultured cells. These patents were issued or licensed to NeuralStem and Layton Bioscience. It is possible that NeuralStem or Layton Bioscience will be able to produce commercially available stem cell products before we can. These genetically modified cells may be effective in treating defective, diseased or damaged central nervous system tissue.</w:t>
      </w:r>
    </w:p>
    <w:p>
      <w:pPr>
        <w:spacing w:after="0" w:line="182"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may have to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7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such licenses could expose us to the risks of third party patents and/or technology. We can give no assurance that any of these licenses will provide effective protection against our competitors.</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COMPETE WITH COMPANIES THAT HAVE SIGNIFICANT ADVANTAGES OVER US.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stem-cell based, and they have significantly greater capital resources and expertise in research and development, manufacturing, testing, obtaining</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3" w:right="1440" w:bottom="1440" w:gutter="0" w:footer="0" w:header="0"/>
        </w:sectPr>
      </w:pPr>
    </w:p>
    <w:bookmarkStart w:id="10" w:name="page11"/>
    <w:bookmarkEnd w:id="10"/>
    <w:p>
      <w:pPr>
        <w:ind w:right="3079"/>
        <w:spacing w:after="0" w:line="242" w:lineRule="auto"/>
        <w:rPr>
          <w:sz w:val="20"/>
          <w:szCs w:val="20"/>
          <w:color w:val="auto"/>
        </w:rPr>
      </w:pPr>
      <w:r>
        <w:rPr>
          <w:rFonts w:ascii="Courier New" w:cs="Courier New" w:eastAsia="Courier New" w:hAnsi="Courier New"/>
          <w:sz w:val="15"/>
          <w:szCs w:val="15"/>
          <w:color w:val="auto"/>
        </w:rPr>
        <w:t>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smaller companies such as NeuralStem and Layton Bioscience and with universities and other research institutions who are developing treatments for degenerative diseases that are stem-cell based.</w:t>
      </w:r>
    </w:p>
    <w:p>
      <w:pPr>
        <w:spacing w:after="0" w:line="177"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Our competitors may succeed in developing technologies and products that are more effective than those being developed by us, or that would render our technology obsolete or non-competitive.</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176" w:lineRule="exact"/>
        <w:rPr>
          <w:sz w:val="20"/>
          <w:szCs w:val="20"/>
          <w:color w:val="auto"/>
        </w:rPr>
      </w:pPr>
    </w:p>
    <w:p>
      <w:pPr>
        <w:ind w:right="3699" w:firstLine="358"/>
        <w:spacing w:after="0"/>
        <w:rPr>
          <w:sz w:val="20"/>
          <w:szCs w:val="20"/>
          <w:color w:val="auto"/>
        </w:rPr>
      </w:pPr>
      <w:r>
        <w:rPr>
          <w:rFonts w:ascii="Courier New" w:cs="Courier New" w:eastAsia="Courier New" w:hAnsi="Courier New"/>
          <w:sz w:val="15"/>
          <w:szCs w:val="15"/>
          <w:color w:val="auto"/>
        </w:rPr>
        <w:t>DEVELOPMENT OF OUR TECHNOLOGY WILL BE SUBJECT TO EXTENSIVE GOVERNMENT REGULATION.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research and development efforts, as well as any future clinical trials, and the manufacturing and marketing of any products we may develop, will be subject to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United States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35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35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may apply for status under the Orphan Drug Act for certain of our therapies, in order to gain a seven year period of marketing exclusivity for those therapies. The U.S. Congress in the past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DEPEND ON A LIMITED NUMBER OF KEY PERSONNEL.</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are highly dependent on the principal members of our management and scientific staff and certain of our outside consultants, including the members of our scientific advisory board, our chief executive officer, each of our vice presidents and the directors of our neural stem cell and liver stem cell programs. Although we have entered into employment agreements with some of these individuals, they may terminate their agreements at any time. We currently have outside consultants and interim personnel in key management and scientific positions who are not permanent employees. Loss of services of any of these individuals could have a material adverse effect on our operations, because these individuals possess management experience or specialized scientific skills which we do not otherwise have and which we may not be able to replace. In addition, our operations are dependent</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3" w:right="1440" w:bottom="1440" w:gutter="0" w:footer="0" w:header="0"/>
        </w:sectPr>
      </w:pPr>
    </w:p>
    <w:bookmarkStart w:id="11" w:name="page12"/>
    <w:bookmarkEnd w:id="11"/>
    <w:p>
      <w:pPr>
        <w:ind w:right="3079"/>
        <w:spacing w:after="0" w:line="242" w:lineRule="auto"/>
        <w:rPr>
          <w:sz w:val="20"/>
          <w:szCs w:val="20"/>
          <w:color w:val="auto"/>
        </w:rPr>
      </w:pPr>
      <w:r>
        <w:rPr>
          <w:rFonts w:ascii="Courier New" w:cs="Courier New" w:eastAsia="Courier New" w:hAnsi="Courier New"/>
          <w:sz w:val="15"/>
          <w:szCs w:val="15"/>
          <w:color w:val="auto"/>
        </w:rPr>
        <w:t>upon our ability to attract and retain additional qualified scientific and management personnel. More generally, we may not be able to attract and retain the personnel we need on acceptable terms given 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349"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On September 22, 2000 we announced that George Dunbar, our acting President and Chief Executive Officer, would be phasing out his service. Mr. Dunbar will continue in his position on a reduced time basis during this transition period. We are actively seeking to hire a permanent chief executive officer, but we can give no assurance that we will be able to find a candidate possessing the necessary qualifications. If we are unable to hire and retain a qualified chief executive officer, our business and operations could suffer materially.</w:t>
      </w:r>
    </w:p>
    <w:p>
      <w:pPr>
        <w:spacing w:after="0" w:line="336"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HEALTHCARE INSURERS AND OTHER ORGANIZATIONS MAY NOT PAY FOR OUR PRODUCTS OR MAY IMPOSE LIMITS ON REIMBURSEMENTS.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certain foreign markets, pricing or profitability of prescription pharmaceuticals is subject to government control. We expect that there will continue to be a number of Federal and state proposals to implement government control over health care costs. Efforts at healthcare reform are likely to continue in future legislative sessions. We do not know what legislative proposals Federal or state governments will adopt or what actions Federal, state or private payers for healthcare goods and services may take in response to healthcare reform proposals or legislation. We cannot predict the effect government control and other healthcare reforms may have on our business.</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operating results have varied, and may in the future continue to vary, significantly from quarter to quarter due to a variety of factors. These factors include the receipt of one-time license or milestone payments under collaborative agreements, costs associated with the winddown of our encapsulated cell therapy programs, variation in the level of expenses related to our research and development efforts, receipt of grants or other support for our research and development efforts, and other factors. Quarterly comparisons of our financial results are not necessarily meaningful and you should not rely upon them as an indication of future performance.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3" w:right="1440" w:bottom="1440" w:gutter="0" w:footer="0" w:header="0"/>
        </w:sectPr>
      </w:pPr>
    </w:p>
    <w:bookmarkStart w:id="12" w:name="page13"/>
    <w:bookmarkEnd w:id="12"/>
    <w:p>
      <w:pPr>
        <w:ind w:left="440" w:right="3079" w:hanging="88"/>
        <w:spacing w:after="0"/>
        <w:rPr>
          <w:sz w:val="20"/>
          <w:szCs w:val="20"/>
          <w:color w:val="auto"/>
        </w:rPr>
      </w:pPr>
      <w:r>
        <w:rPr>
          <w:rFonts w:ascii="Courier New" w:cs="Courier New" w:eastAsia="Courier New" w:hAnsi="Courier New"/>
          <w:sz w:val="15"/>
          <w:szCs w:val="15"/>
          <w:color w:val="auto"/>
        </w:rPr>
        <w:t>OUR STOCK PRICE MAY BE VOLATILE AND THIS VOLATILITY COULD RESULT IN LAWSUITS OR MAKE IT DIFFICULT TO RAISE CAPITAL.</w:t>
      </w:r>
    </w:p>
    <w:p>
      <w:pPr>
        <w:spacing w:after="0" w:line="176" w:lineRule="exact"/>
        <w:rPr>
          <w:sz w:val="20"/>
          <w:szCs w:val="20"/>
          <w:color w:val="auto"/>
        </w:rPr>
      </w:pPr>
    </w:p>
    <w:p>
      <w:pPr>
        <w:jc w:val="both"/>
        <w:ind w:right="3339" w:firstLine="358"/>
        <w:spacing w:after="0" w:line="242" w:lineRule="auto"/>
        <w:rPr>
          <w:sz w:val="20"/>
          <w:szCs w:val="20"/>
          <w:color w:val="auto"/>
        </w:rPr>
      </w:pPr>
      <w:r>
        <w:rPr>
          <w:rFonts w:ascii="Courier New" w:cs="Courier New" w:eastAsia="Courier New" w:hAnsi="Courier New"/>
          <w:sz w:val="15"/>
          <w:szCs w:val="15"/>
          <w:color w:val="auto"/>
        </w:rPr>
        <w:t>The market price for our common stock has been volatile and could decline below the offering price for the shares. We believe that the market price for our common stock could fluctuate substantially due to some or all of the risk factors enumerated above.</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stock market has recently experienced extreme price and volume fluctuations. These fluctuations have especially affected the market price of the stock of many high technology and health care-related companies. Such fluctuations have often been unrelated to the operating performance of these companies. Nonetheless, these broad market fluctuations may negatively affect the market price of our common stock. In the past, companies that have experienced volatility in the market price of their stock have been the objects of securities class action litigation. If we were the object of securities class action litigation, we could incur material costs and suffer a diversion of our management's attention and resources. In addition, volatility in our stock price may make it difficult for us to obtain additional capital resources through financings on terms acceptable to us.</w:t>
      </w:r>
    </w:p>
    <w:p>
      <w:pPr>
        <w:spacing w:after="0" w:line="180"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EVENTS WITH RESPECT TO OUR SHARE CAPITAL COULD CAUSE THE PRICE OF OUR COMMON STOCK TO DECLINE.</w:t>
      </w:r>
    </w:p>
    <w:p>
      <w:pPr>
        <w:spacing w:after="0" w:line="34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Sales of substantial amounts of our common stock on the open market, or the availability of such shares for sale, could adversely affect the price of our common stock. In particular, as of August 15, 2000, we had outstanding stock options to purchase approximately 2,556,486 shares of common stock, at an average exercise price of approximately $4.209 per share, subject to adjustment in certain circumstances. Of this total, options covering approximately 946,476 shares are currently exercisable at an average exercise price of approximately $4.892 per share.</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3" w:right="1440" w:bottom="1440" w:gutter="0" w:footer="0" w:header="0"/>
        </w:sectPr>
      </w:pPr>
    </w:p>
    <w:bookmarkStart w:id="13" w:name="page14"/>
    <w:bookmarkEnd w:id="13"/>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prospectus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"Risk Factors," "Management's Discussion and Analysis of Financial Condition and Results of Operations" and "Business" sections and elsewhere in this prospectus could harm our business, operating results and financial condition. All forward looking statements attributable to us or persons acting on our behalf are expressly qualified in their entirety by the cautionary statements and risk factors contained throughout this prospectus.</w:t>
      </w:r>
    </w:p>
    <w:p>
      <w:pPr>
        <w:spacing w:after="0" w:line="35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INDUSTRY AND MARKET DATA</w:t>
      </w:r>
    </w:p>
    <w:p>
      <w:pPr>
        <w:spacing w:after="0" w:line="176"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In this prospectus, we rely on and refer to information and statistics regarding disease occurrences, costs of treatment, biotechnology, and the market sectors in which we may compete in the future. We obtained this information and statistics from various third party sources, discussions with our consultants and/or our own internal estimates. We believe that these sources and estimates are reliable, but we have not independently verified them.</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will not receive any proceeds from the sale of the shares offered pursuant to this prospectus.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DIVIDEND POLICY</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have never declared or paid any cash dividends on our common stock. We currently intend to retain any future earnings to fund the development and growth of our business. We do not, therefore, anticipate paying any cash dividends in the foreseeable future. Any future determination to pay dividends will be at the discretion of our board of directors and will be dependent on then existing conditions, including our financial stability, results of operations, contractual restrictions, capital requirements, business prospects and other factors our board of directors deems relevant.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1" w:right="1440" w:bottom="1440" w:gutter="0" w:footer="0" w:header="0"/>
        </w:sectPr>
      </w:pPr>
    </w:p>
    <w:bookmarkStart w:id="14" w:name="page15"/>
    <w:bookmarkEnd w:id="14"/>
    <w:p>
      <w:pPr>
        <w:jc w:val="center"/>
        <w:ind w:right="3079"/>
        <w:spacing w:after="0"/>
        <w:rPr>
          <w:sz w:val="20"/>
          <w:szCs w:val="20"/>
          <w:color w:val="auto"/>
        </w:rPr>
      </w:pPr>
      <w:r>
        <w:rPr>
          <w:rFonts w:ascii="Courier New" w:cs="Courier New" w:eastAsia="Courier New" w:hAnsi="Courier New"/>
          <w:sz w:val="15"/>
          <w:szCs w:val="15"/>
          <w:color w:val="auto"/>
        </w:rPr>
        <w:t>CAPITALIZATION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following table presents our consolidated capitalization as of June 30, 2000 on a historical basis and as adjusted to reflect the $4,000,000 aggregate proceeds from our August 3, 2000 sale of 923,521 shares of common stock and $1,000,000 aggregate proceeds from our sale as of August 30, 2000 of 180,914 shares to Millennium Partners, L.P., net of a stock subscription receivable of $1,250,000. This table excludes</w:t>
      </w:r>
    </w:p>
    <w:p>
      <w:pPr>
        <w:spacing w:after="0" w:line="176" w:lineRule="exact"/>
        <w:rPr>
          <w:sz w:val="20"/>
          <w:szCs w:val="20"/>
          <w:color w:val="auto"/>
        </w:rPr>
      </w:pPr>
    </w:p>
    <w:p>
      <w:pPr>
        <w:ind w:left="520" w:right="3079" w:hanging="170"/>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2,852,973 shares of common stock issuable upon the exercise of outstanding stock options and warrants as follows:</w:t>
      </w:r>
    </w:p>
    <w:p>
      <w:pPr>
        <w:spacing w:after="0" w:line="176" w:lineRule="exact"/>
        <w:rPr>
          <w:rFonts w:ascii="Courier New" w:cs="Courier New" w:eastAsia="Courier New" w:hAnsi="Courier New"/>
          <w:sz w:val="15"/>
          <w:szCs w:val="15"/>
          <w:color w:val="auto"/>
        </w:rPr>
      </w:pPr>
    </w:p>
    <w:p>
      <w:pPr>
        <w:ind w:left="700" w:right="369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August 15, 2000, 2,556,486 shares of common stock upon the exercise of stock options pursuant to our stock option plans at a weighted average price of $4.209 per share.</w:t>
      </w:r>
    </w:p>
    <w:p>
      <w:pPr>
        <w:spacing w:after="0" w:line="176" w:lineRule="exact"/>
        <w:rPr>
          <w:rFonts w:ascii="Courier New" w:cs="Courier New" w:eastAsia="Courier New" w:hAnsi="Courier New"/>
          <w:sz w:val="15"/>
          <w:szCs w:val="15"/>
          <w:color w:val="auto"/>
        </w:rPr>
      </w:pPr>
    </w:p>
    <w:p>
      <w:pPr>
        <w:ind w:left="700" w:right="333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101,587 shares of common stock upon the exercise of a warrant held by Millennium Partners, L.P in conjunction with the aforementioned August 3, 2000 financing at an exercise price of $4.725 per share.</w:t>
      </w:r>
    </w:p>
    <w:p>
      <w:pPr>
        <w:spacing w:after="0" w:line="176" w:lineRule="exact"/>
        <w:rPr>
          <w:rFonts w:ascii="Courier New" w:cs="Courier New" w:eastAsia="Courier New" w:hAnsi="Courier New"/>
          <w:sz w:val="15"/>
          <w:szCs w:val="15"/>
          <w:color w:val="auto"/>
        </w:rPr>
      </w:pPr>
    </w:p>
    <w:p>
      <w:pPr>
        <w:ind w:left="700" w:right="343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19,900 shares of common stock upon the exercise of a warrant held by Millennium Partners, L.P. in conjunction with the aforementioned August 30, 2000 financing at an exercise price of $6.03 per share.</w:t>
      </w:r>
    </w:p>
    <w:p>
      <w:pPr>
        <w:spacing w:after="0" w:line="176" w:lineRule="exact"/>
        <w:rPr>
          <w:rFonts w:ascii="Courier New" w:cs="Courier New" w:eastAsia="Courier New" w:hAnsi="Courier New"/>
          <w:sz w:val="15"/>
          <w:szCs w:val="15"/>
          <w:color w:val="auto"/>
        </w:rPr>
      </w:pPr>
    </w:p>
    <w:p>
      <w:pPr>
        <w:jc w:val="both"/>
        <w:ind w:left="700" w:right="3159" w:hanging="261"/>
        <w:spacing w:after="0" w:line="267" w:lineRule="auto"/>
        <w:tabs>
          <w:tab w:leader="none" w:pos="70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 shares of common stock upon the exercise of warrants granted to May Davis Group, Inc. and four of its affiliates in connection with the aforementioned financing at an exercise price of $5.0375 per share.</w:t>
      </w:r>
    </w:p>
    <w:p>
      <w:pPr>
        <w:spacing w:after="0" w:line="158" w:lineRule="exact"/>
        <w:rPr>
          <w:rFonts w:ascii="Courier New" w:cs="Courier New" w:eastAsia="Courier New" w:hAnsi="Courier New"/>
          <w:sz w:val="14"/>
          <w:szCs w:val="14"/>
          <w:color w:val="auto"/>
        </w:rPr>
      </w:pPr>
    </w:p>
    <w:p>
      <w:pPr>
        <w:ind w:left="700" w:right="315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75,000 shares of common stock upon the exercise of warrants at $6.58125 per share held by holders of our 6% cumulative convertible preferred stock purchased on April 13, 2000 for $1,500,000.</w:t>
      </w:r>
    </w:p>
    <w:p>
      <w:pPr>
        <w:spacing w:after="0" w:line="348" w:lineRule="exact"/>
        <w:rPr>
          <w:rFonts w:ascii="Courier New" w:cs="Courier New" w:eastAsia="Courier New" w:hAnsi="Courier New"/>
          <w:sz w:val="15"/>
          <w:szCs w:val="15"/>
          <w:color w:val="auto"/>
        </w:rPr>
      </w:pPr>
    </w:p>
    <w:p>
      <w:pPr>
        <w:ind w:left="520" w:right="3259" w:hanging="170"/>
        <w:spacing w:after="0" w:line="242"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under certain circumstances for holders of our 6% cumulative convertible preferred stock to acquire up to a total of 1,126 additional shares of our 6% cumulative convertible preferred stock, which is convertible at the option of the holders into common stock at $6.33 per share subject to customary antidilution protection.</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520" w:right="3779" w:hanging="170"/>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L.P.'s option to purchase up to an additional $2,000,000 of common stock through August 3, 2001.</w:t>
      </w:r>
    </w:p>
    <w:p>
      <w:pPr>
        <w:spacing w:after="0" w:line="348"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the holders of our 6% cumulative convertible preferred stock to convert their preferred shares into 397,878 shares of common stock at $3.77 per share.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1" w:right="1440" w:bottom="1440" w:gutter="0" w:footer="0" w:header="0"/>
        </w:sectPr>
      </w:pPr>
    </w:p>
    <w:bookmarkStart w:id="15" w:name="page16"/>
    <w:bookmarkEnd w:id="15"/>
    <w:p>
      <w:pPr>
        <w:jc w:val="both"/>
        <w:ind w:right="3159" w:firstLine="358"/>
        <w:spacing w:after="0" w:line="267" w:lineRule="auto"/>
        <w:rPr>
          <w:sz w:val="20"/>
          <w:szCs w:val="20"/>
          <w:color w:val="auto"/>
        </w:rPr>
      </w:pPr>
      <w:r>
        <w:rPr>
          <w:rFonts w:ascii="Courier New" w:cs="Courier New" w:eastAsia="Courier New" w:hAnsi="Courier New"/>
          <w:sz w:val="14"/>
          <w:szCs w:val="14"/>
          <w:color w:val="auto"/>
        </w:rPr>
        <w:t>This table should be read in conjunction with "Management's Discussion and Analysis of Financial Condition and Results of Operations" and our consolidated financial statements and notes thereto included elsewhere in this prospectus.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AS OF JUNE 30, 2000</w:t>
            </w:r>
          </w:p>
        </w:tc>
      </w:tr>
      <w:tr>
        <w:trPr>
          <w:trHeight w:val="172"/>
        </w:trPr>
        <w:tc>
          <w:tcPr>
            <w:tcW w:w="5440" w:type="dxa"/>
            <w:vAlign w:val="bottom"/>
          </w:tcPr>
          <w:p>
            <w:pPr>
              <w:spacing w:after="0"/>
              <w:rPr>
                <w:sz w:val="14"/>
                <w:szCs w:val="14"/>
                <w:color w:val="auto"/>
              </w:rPr>
            </w:pPr>
          </w:p>
        </w:tc>
        <w:tc>
          <w:tcPr>
            <w:tcW w:w="2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ACTUAL</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AS ADJUSTED</w:t>
            </w:r>
          </w:p>
        </w:tc>
      </w:tr>
      <w:tr>
        <w:trPr>
          <w:trHeight w:val="172"/>
        </w:trPr>
        <w:tc>
          <w:tcPr>
            <w:tcW w:w="544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3485"/>
              <w:spacing w:after="0"/>
              <w:rPr>
                <w:sz w:val="20"/>
                <w:szCs w:val="20"/>
                <w:color w:val="auto"/>
              </w:rPr>
            </w:pPr>
            <w:r>
              <w:rPr>
                <w:rFonts w:ascii="Courier New" w:cs="Courier New" w:eastAsia="Courier New" w:hAnsi="Courier New"/>
                <w:sz w:val="15"/>
                <w:szCs w:val="15"/>
                <w:color w:val="auto"/>
                <w:w w:val="98"/>
              </w:rPr>
              <w:t>Stockholders' equity:</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Convertible Preferred Stock, par value $0.01 per share,</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1,000,000 shares authorized, 2,626 designated as 6%</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Cumulative Convertible Preferred Stock, 1,500 shares</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issued..................................................</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1,500,000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par value $0.01 per share, 45,000,000 shares</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authorized, 19,612,677 (actual) and 20,717,112 (as</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adjusted) shares issued.................................</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196,127</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207,171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paid-in-capital................................</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129,525,509</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134,514,465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13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(1,250,000)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(121,698,674)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(121,698,674)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19,220,165</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19,220,165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(1,137,500)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(1,137,500)</w:t>
            </w:r>
          </w:p>
        </w:tc>
      </w:tr>
      <w:tr>
        <w:trPr>
          <w:trHeight w:val="172"/>
        </w:trPr>
        <w:tc>
          <w:tcPr>
            <w:tcW w:w="544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$ 27,605,627</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$ 31,355,627</w:t>
            </w:r>
          </w:p>
        </w:tc>
      </w:tr>
      <w:tr>
        <w:trPr>
          <w:trHeight w:val="172"/>
        </w:trPr>
        <w:tc>
          <w:tcPr>
            <w:tcW w:w="5440" w:type="dxa"/>
            <w:vAlign w:val="bottom"/>
          </w:tcPr>
          <w:p>
            <w:pPr>
              <w:spacing w:after="0"/>
              <w:rPr>
                <w:sz w:val="14"/>
                <w:szCs w:val="14"/>
                <w:color w:val="auto"/>
              </w:rPr>
            </w:pP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19"/>
          </w:cols>
          <w:pgMar w:left="240" w:top="463" w:right="1440" w:bottom="1440" w:gutter="0" w:footer="0" w:header="0"/>
        </w:sectPr>
      </w:pPr>
    </w:p>
    <w:bookmarkStart w:id="16" w:name="page17"/>
    <w:bookmarkEnd w:id="16"/>
    <w:p>
      <w:pPr>
        <w:jc w:val="center"/>
        <w:ind w:right="3079"/>
        <w:spacing w:after="0"/>
        <w:rPr>
          <w:sz w:val="20"/>
          <w:szCs w:val="20"/>
          <w:color w:val="auto"/>
        </w:rPr>
      </w:pPr>
      <w:r>
        <w:rPr>
          <w:rFonts w:ascii="Courier New" w:cs="Courier New" w:eastAsia="Courier New" w:hAnsi="Courier New"/>
          <w:sz w:val="15"/>
          <w:szCs w:val="15"/>
          <w:color w:val="auto"/>
        </w:rPr>
        <w:t>DILUTION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offering is for sales of stock by our existing stockholders on a continuous or delayed basis in the future. Sales of common stock by stockholders will not result in any substantial change to the net tangible book value per share before and after the distribution of shares by the selling stockholders. There will be no change in net tangible book value per share attributable to cash payments made by purchasers of the shares being offered. Prospective investors should be aware, however, that the price of our shares may not bear any rational relationship to net tangible book value per share.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1" w:right="1440" w:bottom="1440" w:gutter="0" w:footer="0" w:header="0"/>
        </w:sectPr>
      </w:pPr>
    </w:p>
    <w:bookmarkStart w:id="17" w:name="page18"/>
    <w:bookmarkEnd w:id="17"/>
    <w:p>
      <w:pPr>
        <w:ind w:left="196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6" w:lineRule="exact"/>
        <w:rPr>
          <w:sz w:val="20"/>
          <w:szCs w:val="20"/>
          <w:color w:val="auto"/>
        </w:rPr>
      </w:pPr>
    </w:p>
    <w:p>
      <w:pPr>
        <w:ind w:right="4560" w:firstLine="358"/>
        <w:spacing w:after="0" w:line="242" w:lineRule="auto"/>
        <w:rPr>
          <w:sz w:val="20"/>
          <w:szCs w:val="20"/>
          <w:color w:val="auto"/>
        </w:rPr>
      </w:pPr>
      <w:r>
        <w:rPr>
          <w:rFonts w:ascii="Courier New" w:cs="Courier New" w:eastAsia="Courier New" w:hAnsi="Courier New"/>
          <w:sz w:val="15"/>
          <w:szCs w:val="15"/>
          <w:color w:val="auto"/>
        </w:rPr>
        <w:t>The following selected consolidated financial data should be read in conjunction with "Management's Discussion and Analysis of Financial Condition and Results of Operations" and our consolidated financial statements and notes to those statements and other financial information included elsewhere in this prospectus.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consolidated historical financial data presented below as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1995, 1996, 1997, 1998, and 1999 and for the years then ended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derived from our consolidated financial statements, which have been audited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Ernst &amp; Young LLP, our independent auditors. The selected consolidated financial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data as of June 30, 1999 and 2000, and for the six months then ended are derived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our unaudited financial statement. In the opinion of management,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financial statements have been prepared on the same basis as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audited consolidated financial statements and include all adjustments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(consisting only of normal recurring adjustments) necessary for a fair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presentation of the financial position and results of operations for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periods. The selected consolidated financial data for the six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2000 are not necessarily indicative of the results that may be expected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ended December 31, 2000 or any other future period.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SIX MONTHS</w:t>
            </w:r>
          </w:p>
        </w:tc>
      </w:tr>
      <w:tr>
        <w:trPr>
          <w:trHeight w:val="172"/>
        </w:trPr>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3"/>
              </w:rPr>
              <w:t>ENDED</w:t>
            </w:r>
          </w:p>
        </w:tc>
        <w:tc>
          <w:tcPr>
            <w:tcW w:w="620" w:type="dxa"/>
            <w:vAlign w:val="bottom"/>
          </w:tcPr>
          <w:p>
            <w:pPr>
              <w:spacing w:after="0"/>
              <w:rPr>
                <w:sz w:val="14"/>
                <w:szCs w:val="14"/>
                <w:color w:val="auto"/>
              </w:rPr>
            </w:pPr>
          </w:p>
        </w:tc>
      </w:tr>
      <w:tr>
        <w:trPr>
          <w:trHeight w:val="172"/>
        </w:trPr>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4"/>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48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4"/>
                <w:szCs w:val="4"/>
                <w:color w:val="auto"/>
                <w:w w:val="86"/>
              </w:rPr>
              <w:t>----------------------------------------------------</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820" w:type="dxa"/>
            <w:vAlign w:val="bottom"/>
          </w:tcPr>
          <w:p>
            <w:pPr>
              <w:spacing w:after="0"/>
              <w:rPr>
                <w:sz w:val="14"/>
                <w:szCs w:val="14"/>
                <w:color w:val="auto"/>
              </w:rPr>
            </w:pP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4"/>
              </w:rPr>
              <w:t>1995</w:t>
            </w:r>
          </w:p>
        </w:tc>
        <w:tc>
          <w:tcPr>
            <w:tcW w:w="120" w:type="dxa"/>
            <w:vAlign w:val="bottom"/>
          </w:tcPr>
          <w:p>
            <w:pPr>
              <w:spacing w:after="0"/>
              <w:rPr>
                <w:sz w:val="14"/>
                <w:szCs w:val="14"/>
                <w:color w:val="auto"/>
              </w:rPr>
            </w:pPr>
          </w:p>
        </w:tc>
        <w:tc>
          <w:tcPr>
            <w:tcW w:w="7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8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$11,761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7,104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$ 10,617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$ 5,022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9"/>
              </w:rPr>
              <w:t>14,730</w:t>
            </w:r>
          </w:p>
        </w:tc>
        <w:tc>
          <w:tcPr>
            <w:tcW w:w="120" w:type="dxa"/>
            <w:vAlign w:val="bottom"/>
          </w:tcPr>
          <w:p>
            <w:pPr>
              <w:spacing w:after="0"/>
              <w:rPr>
                <w:sz w:val="14"/>
                <w:szCs w:val="14"/>
                <w:color w:val="auto"/>
              </w:rPr>
            </w:pP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17,130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18,604</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17,659</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9,991</w:t>
            </w: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6,847</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Acquired research and development....................</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8,344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ECT wind-down expenses...............................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6,048</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$(8,891)</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$(13,759)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$(18,114)</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$(12,628)</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$(15,709)</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$(3,773)</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$(2,326)</w:t>
            </w:r>
          </w:p>
        </w:tc>
      </w:tr>
      <w:tr>
        <w:trPr>
          <w:trHeight w:val="172"/>
        </w:trPr>
        <w:tc>
          <w:tcPr>
            <w:tcW w:w="48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 (0.69)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(0.84)</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 (0.20)</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(0.13)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9"/>
              </w:rPr>
              <w:t>12,799</w:t>
            </w:r>
          </w:p>
        </w:tc>
        <w:tc>
          <w:tcPr>
            <w:tcW w:w="120" w:type="dxa"/>
            <w:vAlign w:val="bottom"/>
          </w:tcPr>
          <w:p>
            <w:pPr>
              <w:spacing w:after="0"/>
              <w:rPr>
                <w:sz w:val="14"/>
                <w:szCs w:val="14"/>
                <w:color w:val="auto"/>
              </w:rPr>
            </w:pP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15,430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16,704</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18,291</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18,706</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18,483</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19,419</w:t>
            </w:r>
          </w:p>
        </w:tc>
      </w:tr>
    </w:tbl>
    <w:p>
      <w:pPr>
        <w:spacing w:after="0" w:line="200" w:lineRule="exact"/>
        <w:rPr>
          <w:sz w:val="20"/>
          <w:szCs w:val="20"/>
          <w:color w:val="auto"/>
        </w:rPr>
      </w:pPr>
    </w:p>
    <w:p>
      <w:pPr>
        <w:spacing w:after="0" w:line="320" w:lineRule="exact"/>
        <w:rPr>
          <w:sz w:val="20"/>
          <w:szCs w:val="20"/>
          <w:color w:val="auto"/>
        </w:rPr>
      </w:pPr>
    </w:p>
    <w:p>
      <w:pPr>
        <w:ind w:right="4460" w:firstLine="358"/>
        <w:spacing w:after="0" w:line="242" w:lineRule="auto"/>
        <w:rPr>
          <w:sz w:val="20"/>
          <w:szCs w:val="20"/>
          <w:color w:val="auto"/>
        </w:rPr>
      </w:pPr>
      <w:r>
        <w:rPr>
          <w:rFonts w:ascii="Courier New" w:cs="Courier New" w:eastAsia="Courier New" w:hAnsi="Courier New"/>
          <w:sz w:val="15"/>
          <w:szCs w:val="15"/>
          <w:color w:val="auto"/>
        </w:rPr>
        <w:t>The following table provides a summary of our consolidated balance sheets. The pro-forma column is based on our historical unaudited financial statements and also reflects our August 3, 2000 sale of 923,521 shares of common stock to Millennium Partners, L.P for $4,000,000 and the August 30, 2000 sale of 180,914 shares of common stock to Millennium Partners L.P. for $1,000,000, net of a stock subscription receivable of $1,250,000.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2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AS OF DECEMBER 31,</w:t>
            </w:r>
          </w:p>
        </w:tc>
        <w:tc>
          <w:tcPr>
            <w:tcW w:w="980" w:type="dxa"/>
            <w:vAlign w:val="bottom"/>
          </w:tcPr>
          <w:p>
            <w:pPr>
              <w:spacing w:after="0"/>
              <w:rPr>
                <w:sz w:val="14"/>
                <w:szCs w:val="14"/>
                <w:color w:val="auto"/>
              </w:rPr>
            </w:pPr>
          </w:p>
        </w:tc>
        <w:tc>
          <w:tcPr>
            <w:tcW w:w="22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AS OF JUNE 30,</w:t>
            </w:r>
          </w:p>
        </w:tc>
      </w:tr>
      <w:tr>
        <w:trPr>
          <w:trHeight w:val="172"/>
        </w:trPr>
        <w:tc>
          <w:tcPr>
            <w:tcW w:w="286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86"/>
              </w:rPr>
              <w:t>----------------------------------------------------</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14"/>
                <w:szCs w:val="14"/>
                <w:color w:val="auto"/>
              </w:rPr>
            </w:pPr>
          </w:p>
        </w:tc>
        <w:tc>
          <w:tcPr>
            <w:tcW w:w="1060" w:type="dxa"/>
            <w:vAlign w:val="bottom"/>
          </w:tcPr>
          <w:p>
            <w:pPr>
              <w:jc w:val="right"/>
              <w:ind w:right="370"/>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2860" w:type="dxa"/>
            <w:vAlign w:val="bottom"/>
          </w:tcPr>
          <w:p>
            <w:pPr>
              <w:spacing w:after="0"/>
              <w:rPr>
                <w:sz w:val="14"/>
                <w:szCs w:val="14"/>
                <w:color w:val="auto"/>
              </w:rPr>
            </w:pPr>
          </w:p>
        </w:tc>
        <w:tc>
          <w:tcPr>
            <w:tcW w:w="10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ACTUAL</w:t>
            </w:r>
          </w:p>
        </w:tc>
        <w:tc>
          <w:tcPr>
            <w:tcW w:w="12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PRO-FORMA</w:t>
            </w: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Cash, cash equivalents and</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marketable securities........</w:t>
            </w:r>
          </w:p>
        </w:tc>
        <w:tc>
          <w:tcPr>
            <w:tcW w:w="106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$44,192</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$42,607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$17,386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$ 4,760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$ 5,535</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$ 9,285</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Restricted investments.........</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19,220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19,220</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56,808</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44,301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32,866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15,781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32,088</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35,838</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Long-term debt, including</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capitalized leases...........</w:t>
            </w:r>
          </w:p>
        </w:tc>
        <w:tc>
          <w:tcPr>
            <w:tcW w:w="106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5,441</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8,223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2,937</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2,775</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2,775</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Redeemable common stock........</w:t>
            </w:r>
          </w:p>
        </w:tc>
        <w:tc>
          <w:tcPr>
            <w:tcW w:w="10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6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45,391</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27,606</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31,356</w:t>
            </w:r>
          </w:p>
        </w:tc>
      </w:tr>
      <w:tr>
        <w:trPr>
          <w:trHeight w:val="516"/>
        </w:trPr>
        <w:tc>
          <w:tcPr>
            <w:tcW w:w="286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15</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520"/>
          </w:cols>
          <w:pgMar w:left="240" w:top="461" w:right="139" w:bottom="1440" w:gutter="0" w:footer="0" w:header="0"/>
        </w:sectPr>
      </w:pPr>
    </w:p>
    <w:bookmarkStart w:id="18" w:name="page19"/>
    <w:bookmarkEnd w:id="18"/>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for the six months ended June 30, 2000 and 1999 and the years ended December 31, 1999, 1998, and 1997 should be read in conjunction with our consolidated financial statements and notes to those statements and other financial information included elsewhere in this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351"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80"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SIX MONTHS ENDED JUNE 30, 2000 AND 1999</w:t>
      </w:r>
    </w:p>
    <w:p>
      <w:pPr>
        <w:spacing w:after="0" w:line="34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For the six months ended June 30, 2000 and 1999, revenues from collaborative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totaled $0 and $5,021,707, respectively. The decrease in revenues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resulted from the June 1999 termination of a Development, Marketing and License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related to our former ECT. We have not yet entered into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revenue-producing collaborations with respect to our platform of stem cell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technologies. During the second quarter 2000 we realized a $1,427,686 gain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our investment in Modex Therapeutics Ltd., a Swiss biotechnology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that completed an initial public offering on June 23, 2000. At June 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we owned 126,193 shares with an estimated fair market value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$19,220,165, based on the per share price of approximately $152.00, which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converted from a market price of 247.50 Swiss francs on that date. The market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Modex stock on October 31, 2000 was 329.50 Swiss francs, which converts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$183.28 using exchange rates on that date, which represents an estimated fair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value of $23,128,598 for our holdings.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1" w:right="1440" w:bottom="1440" w:gutter="0" w:footer="0" w:header="0"/>
        </w:sectPr>
      </w:pPr>
    </w:p>
    <w:bookmarkStart w:id="19" w:name="page20"/>
    <w:bookmarkEnd w:id="19"/>
    <w:p>
      <w:pPr>
        <w:ind w:right="3079" w:firstLine="358"/>
        <w:spacing w:after="0" w:line="242" w:lineRule="auto"/>
        <w:rPr>
          <w:sz w:val="20"/>
          <w:szCs w:val="20"/>
          <w:color w:val="auto"/>
        </w:rPr>
      </w:pPr>
      <w:r>
        <w:rPr>
          <w:rFonts w:ascii="Courier New" w:cs="Courier New" w:eastAsia="Courier New" w:hAnsi="Courier New"/>
          <w:sz w:val="15"/>
          <w:szCs w:val="15"/>
          <w:color w:val="auto"/>
        </w:rPr>
        <w:t>Research and development expenses totaled $1,659,932 for the six months ended June 30, 2000, compared with $6,847,383 for the same period in 1999. The decrease of $5,187,451, or 76%, from 1999 to 2000 was primarily attributable to the wind-down of research activities relating to the ECT. General and administrative expenses were $2,078,286 for the six months ended June 30, 2000, compared with $2,168,315 for the same period in 1999. The decrease of $90,029, or 4%, from 1999 to 2000 was primarily attributable to the establishment of a smaller corporate office in California. Interest income for the six months ended June 30, 2000 and 1999 was $138,232 and $406,331, respectively. The decrease in interest income in 2000 was attributable to the lower average investment balances during such period. Interest expense was $142,566 for the six months ended June 30, 2000, compared with $185,054 for the same period in 1999. The decrease in 2000 was attributable to lower outstanding debt and capital lease balances in 2000 compared to 1999.</w:t>
      </w:r>
    </w:p>
    <w:p>
      <w:pPr>
        <w:spacing w:after="0" w:line="35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Net loss for the six months ended June 30, 2000 was $2,325,964, or ($0.12) per share, as compared to net loss of $3,772,714, or ($0.20) per share, for the comparable period in 1999. The decrease in net loss of $1,446,750 from the same period in 1999 primarily reflects a gain from the sale of certain shares of our stock in Modex, as the reductions in expenses were offset by the decrease in revenues from collaboration agreements. We were one of the founders of Modex, a Swiss biotherapeutics company established in 1996 to pursue encapsulated cell technologies related to our former programs. After Modex' initial public offering on the Swiss Neue Market on June 23, 2000 and our sale of 23,807 shares, we own 126,193 shares of Modex common stock. The IPO price was 168.00 Swiss francs, and the share price on June 30, 2000 was 247.50 Swiss francs. The market price on October 31, 2000 was 329.50 Swiss francs. The shares are subject to a lockup for 6 months from the date of the IPO.</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1999, 1998 AND 1997</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Revenues from collaborative agreements totaled $5,022,000, $8,803,000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$10,617,000 for the years ending December 31, 1999, 1998 and 1997, respectively.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earned revenues primarily from a Development, Marketing and License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AstraZeneca Group plc, which we signed in March 1995. The decrease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from 1998 to 1999 resulted primarily from the June 1999 termination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AstraZeneca Agreement. 1997 revenues included a $3,000,000 milestone payment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AstraZeneca related to the Phase II clinical trials for an ECT product.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Research and development expenses totaled $9,984,000 in 1999, as compared to $17,659,000 in 1998 and $18,604,000 in 1997. The decrease of $7,668,000, or 43%, from 1998 to 1999 was primarily attributable to the wind-down of research activities relating to the ECT, precipitated by termination of the AstraZeneca Agreement. The decrease of $945,000, or 5%, from 1997 to 1998 was primarily attributable to a reduction in spending on research agreements and a reduction in research and development personnel.</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Acquired research and development consists of a one-time charge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$8,344,000 related to the acquisition of StemCells California, Inc., in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Commercialization of this technology will require significant incremental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 over a number of years. With the recent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of the restructuring of our research operations, we are now focused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solely on the research and development of our platform of stem cell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technologies, which encompasses the technology acquired upon the acquisition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California, Inc. and related technology we have developed or licensed.</w:t>
      </w:r>
    </w:p>
    <w:p>
      <w:pPr>
        <w:spacing w:after="0" w:line="35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General and administrative expenses were $4,927,303 for the year ended December 31, 1999, compared with $4,603,000 in 1998 and $6,158,000 in 1997. The 1999 general administrative expenses were positively impacted by the reduction in facility costs that were included in wind-down ($239,000), reduction in amortization of patents and intangible assets of approximately $338,000, as well as reduced activities and related personnel costs estimated at approximately $500,000 that were not incurred. This was due to the wind-down of our ECT programs and relocation of our headquarters in October 1999.</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3" w:right="1440" w:bottom="1440" w:gutter="0" w:footer="0" w:header="0"/>
        </w:sectPr>
      </w:pPr>
    </w:p>
    <w:bookmarkStart w:id="20" w:name="page21"/>
    <w:bookmarkEnd w:id="20"/>
    <w:p>
      <w:pPr>
        <w:ind w:right="3259"/>
        <w:spacing w:after="0" w:line="241" w:lineRule="auto"/>
        <w:rPr>
          <w:sz w:val="20"/>
          <w:szCs w:val="20"/>
          <w:color w:val="auto"/>
        </w:rPr>
      </w:pPr>
      <w:r>
        <w:rPr>
          <w:rFonts w:ascii="Courier New" w:cs="Courier New" w:eastAsia="Courier New" w:hAnsi="Courier New"/>
          <w:sz w:val="15"/>
          <w:szCs w:val="15"/>
          <w:color w:val="auto"/>
        </w:rPr>
        <w:t>The reduction of $1,555,000, or 25%, from 1997 to 1998 was primarily attributable to a reduction in legal fees, recruiting and relocation expenses, as well as a reduction in employees.</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Wind-down and relocation expenses totaled $6,047,806 for the year ended December 31, 1999; no such expenses were incurred in 1998 and 1997. These expenses relate to the wind-down of our encapsulated cell technology research and our other Rhode Island operations the transfer of our corporate headquarters to Sunnyvale, California.</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They include accruals of approximately $1,554,000 for employee severance costs, $1,858,000 in losses and reserves for the write-down of related patents and fixed assets, $1,172,000 for our costs of settlement of a 1989 funding agreement with the Rhode Island Partnership for Science and Technology, $702,000 of estimated additional carrying costs through disposition of the Rhode Island facilities, and other related expenses totaling $762,000.</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Interest income for the years ended December 31, 1999, 1998 and 1997 totaled $564,000, $1,254,000 and $1,931,000, respectively. The average cash and investment balances were $10,663,000, $21,795,000 and $33,343,000 in 1999, 1998 and 1997, respectively. The decrease in interest income from 1997 to 1998 to 1999 was attributable to lower average balances.</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1999, interest expense was $335,000, compared with $472,000 in 1998 and $438,000 in 1997. The decrease from 1998 to 1999 was attributable to lower outstanding debt and capital lease balances. The increase from 1997 to 1998 was primarily attributable to capitalization of $210,000 of interest on the new facility in 1997.</w:t>
      </w:r>
    </w:p>
    <w:p>
      <w:pPr>
        <w:spacing w:after="0" w:line="347"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In October 1997, we recognized a gain in the amount of $3,387,000 related to the sale of 50 percent of our interest in Modex Therapeutics Ltd.</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net loss in 1999, 1998 and 1997 was $15,709,000, $12,628,000, and $18,114,000, respectively. The loss per share was $0.84, $0.69 and $1.08 in 1999, 1998 and 1997, respectively. The increase from 1998 to 1999 is primarily attributable to the elimination of revenue from the AstraZeneca Agreement, which was terminated in June 1999, as well as expenses related to the wind-down of our ECT research and our other Rhode Island operations, the transfer of our corporate headquarters to Sunnyvale, California and an accrual of approximately $1,172,000 for our estimate of the costs of settlement of the funding agreement with RIPSAT. The decrease from 1997 to 1998 was attributable to a one-time charge of $8,344,000 for acquired research and development related to the purchase of StemCells California, Inc. offset by the $3,387,000 gain on a partial sale of our interest in Modex in 1997.</w:t>
      </w:r>
    </w:p>
    <w:p>
      <w:pPr>
        <w:spacing w:after="0" w:line="352" w:lineRule="exact"/>
        <w:rPr>
          <w:sz w:val="20"/>
          <w:szCs w:val="20"/>
          <w:color w:val="auto"/>
        </w:rPr>
      </w:pPr>
    </w:p>
    <w:p>
      <w:pPr>
        <w:jc w:val="both"/>
        <w:ind w:right="3339" w:firstLine="358"/>
        <w:spacing w:after="0" w:line="265" w:lineRule="auto"/>
        <w:rPr>
          <w:sz w:val="20"/>
          <w:szCs w:val="20"/>
          <w:color w:val="auto"/>
        </w:rPr>
      </w:pPr>
      <w:r>
        <w:rPr>
          <w:rFonts w:ascii="Courier New" w:cs="Courier New" w:eastAsia="Courier New" w:hAnsi="Courier New"/>
          <w:sz w:val="14"/>
          <w:szCs w:val="14"/>
          <w:color w:val="auto"/>
        </w:rPr>
        <w:t>The 1999 decrease in patents of $3,229,932 from 1998 was primarily due to management's decision to wind down the ECT program and dispose of the related intellectual property. During the fourth quarter of 1999 we sold the patents related to our encapsulated cell technology to Neurotech for $3,000,000.</w:t>
      </w:r>
    </w:p>
    <w:p>
      <w:pPr>
        <w:spacing w:after="0" w:line="332" w:lineRule="exact"/>
        <w:rPr>
          <w:sz w:val="20"/>
          <w:szCs w:val="20"/>
          <w:color w:val="auto"/>
        </w:rPr>
      </w:pPr>
    </w:p>
    <w:p>
      <w:pPr>
        <w:ind w:right="3259" w:firstLine="358"/>
        <w:spacing w:after="0" w:line="263" w:lineRule="auto"/>
        <w:rPr>
          <w:sz w:val="20"/>
          <w:szCs w:val="20"/>
          <w:color w:val="auto"/>
        </w:rPr>
      </w:pPr>
      <w:r>
        <w:rPr>
          <w:rFonts w:ascii="Courier New" w:cs="Courier New" w:eastAsia="Courier New" w:hAnsi="Courier New"/>
          <w:sz w:val="14"/>
          <w:szCs w:val="14"/>
          <w:color w:val="auto"/>
        </w:rPr>
        <w:t>Accrued expenses increased by $1,584,949, primarily due to the accrual of approximately $1,172,000 for our estimate of the costs of settlement of a 1989 funding agreement with the Rhode Island Partnership for Science and Technology and $463,000 for the estimated lease payments and operating costs of the Rhode Island facilities through an expected disposal date of June 30, 2000.</w:t>
      </w:r>
    </w:p>
    <w:p>
      <w:pPr>
        <w:spacing w:after="0" w:line="33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75"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had unrestricted cash and cash equivalents totaling $5,535,264 at June 30, 2000. Cash equivalents are invested in money market funds.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21" w:name="page22"/>
    <w:bookmarkEnd w:id="21"/>
    <w:p>
      <w:pPr>
        <w:jc w:val="both"/>
        <w:ind w:right="3079" w:firstLine="358"/>
        <w:spacing w:after="0" w:line="242" w:lineRule="auto"/>
        <w:rPr>
          <w:sz w:val="20"/>
          <w:szCs w:val="20"/>
          <w:color w:val="auto"/>
        </w:rPr>
      </w:pPr>
      <w:r>
        <w:rPr>
          <w:rFonts w:ascii="Courier New" w:cs="Courier New" w:eastAsia="Courier New" w:hAnsi="Courier New"/>
          <w:sz w:val="15"/>
          <w:szCs w:val="15"/>
          <w:color w:val="auto"/>
        </w:rPr>
        <w:t>Our 126,193 shares of Modex stock are subject to a lock-up agreement for six months in connection with Modex' initial public offering. The actual sale price for the shares may vary significantly from the initial public offering price of 168.00 Swiss francs and the share price at June 30, 2000 of 247.50 Swiss francs. On October 31, 2000 the market price was 329.50 Swiss francs.</w:t>
      </w:r>
    </w:p>
    <w:p>
      <w:pPr>
        <w:spacing w:after="0" w:line="34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w:t>
      </w:r>
    </w:p>
    <w:p>
      <w:pPr>
        <w:spacing w:after="0" w:line="34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March 1995, we signed a collaborative research and development agreement with AstraZeneca plc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we were obligated to conduct certain research and development pursuant to a four-year research plan agreed upon by the parties. Over the term of the research plan, we originally expected to receive annual payments of $5 million to $7 million from AstraZeneca, which was to approximate the research and development costs incurred by us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we were entitled to a royalty on the worldwide net sales of such products in return for the marketing license granted to AstraZeneca and our obligation to manufacture and supply products. AstraZeneca had the right to terminate the original agreement beginning April 1, 1998. On June 24, 1999, AstraZeneca informed us of the results of AstraZeneca's analysis of the double-blind, placebo-controlled trial of a potential ECT product, an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exercised its right to terminate the agreement. See also Note 17--"Research Agreements" to the Accompanying Consolidated Financial Statements.</w:t>
      </w:r>
    </w:p>
    <w:p>
      <w:pPr>
        <w:spacing w:after="0" w:line="36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the third quarter of 1999, we announced restructuring plans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operations relating to our ECT and to focus our resources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of our platform of proprietary stem cell technologies.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terminated approximately 68 full time employees and, in October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relocated our corporate headquarters to Sunnyvale, California. We recorded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$6,047,806 of wind-down expenses including employee separation and relocation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during 1999.</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On December 30, 1999 we sold our ECT and assigned our intellectual property assets in it to Neurotech S.A. for a payment of $3,000,000, royalties on future product sales, and a portion of certain Neurotech revenues from third parties. In addition, we retained certain non-exclusive rights to use ECT in combination with our proprietary stem cell technologies and in the field of vaccines for prevention and treatment of infectious diseases. We received $2,800,000 of the initial payment on January 3, 2000 with a remaining balance of $200,000 placed in escrow, to be released to us upon demonstration satisfactory to Neurotech that certain intellectual property is not subject to other claims.</w:t>
      </w:r>
    </w:p>
    <w:p>
      <w:pPr>
        <w:spacing w:after="0" w:line="16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are being used to fund our continuing operations.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22" w:name="page23"/>
    <w:bookmarkEnd w:id="22"/>
    <w:p>
      <w:pPr>
        <w:ind w:left="340"/>
        <w:spacing w:after="0"/>
        <w:rPr>
          <w:sz w:val="20"/>
          <w:szCs w:val="20"/>
          <w:color w:val="auto"/>
        </w:rPr>
      </w:pPr>
      <w:r>
        <w:rPr>
          <w:rFonts w:ascii="Courier New" w:cs="Courier New" w:eastAsia="Courier New" w:hAnsi="Courier New"/>
          <w:sz w:val="15"/>
          <w:szCs w:val="15"/>
          <w:color w:val="auto"/>
        </w:rPr>
        <w:t>In July 1999, as a result of our decision to close our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the Rhode Island Partnership for Science and Technology, or RIPSAT,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alleged that we were in default under a June, 1989 Funding Agreement,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demanded payment of approximately $2.6 million. While we believe we were not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them under the Funding Agreement. At the same time, IRBA agreed to return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35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May 1996, we secured an equipment loan facility with a bank in the amount of $2,000,000. On August 5, 1999 we made a payment of approximately $752,000 of principal and interest to the lender to retire this loan facility rather than seek a waiver by the lender of our violation of a loan covenant requiring us to maintain unrestricted liquidity in an amount equal to or in excess of $10 million.</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continue to have outstanding obligations in regard to our former facilities in Lincoln, Rhode Island, including lease payments and operating costs of approximately $950,000 per year associated with our former research laboratory and corporate headquarters building, and debt service payments and operating costs of approximately $1,000,000 per year with respect to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200" w:lineRule="exact"/>
        <w:rPr>
          <w:sz w:val="20"/>
          <w:szCs w:val="20"/>
          <w:color w:val="auto"/>
        </w:rPr>
      </w:pPr>
    </w:p>
    <w:p>
      <w:pPr>
        <w:spacing w:after="0" w:line="32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 6 months, the investors have the right to acquire up to a total of 1,126 additional shares of convertible preferred stock, the face value of which is convertible at the</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3" w:right="1440" w:bottom="1440" w:gutter="0" w:footer="0" w:header="0"/>
        </w:sectPr>
      </w:pPr>
    </w:p>
    <w:bookmarkStart w:id="23" w:name="page24"/>
    <w:bookmarkEnd w:id="23"/>
    <w:p>
      <w:pPr>
        <w:ind w:right="3079"/>
        <w:spacing w:after="0" w:line="242" w:lineRule="auto"/>
        <w:rPr>
          <w:sz w:val="20"/>
          <w:szCs w:val="20"/>
          <w:color w:val="auto"/>
        </w:rPr>
      </w:pPr>
      <w:r>
        <w:rPr>
          <w:rFonts w:ascii="Courier New" w:cs="Courier New" w:eastAsia="Courier New" w:hAnsi="Courier New"/>
          <w:sz w:val="15"/>
          <w:szCs w:val="15"/>
          <w:color w:val="auto"/>
        </w:rPr>
        <w:t>option of the holders into common stock at $6.33 per share. Any unconverted preferred stock is converted, at the applicable conversion price, on April 13, 2002 in the case of the original stock and two years after the first acquisition of any of the additional 1,126 shares, if any are acquired. The warrants expire on April 13, 2005.</w:t>
      </w:r>
    </w:p>
    <w:p>
      <w:pPr>
        <w:spacing w:after="0" w:line="200" w:lineRule="exact"/>
        <w:rPr>
          <w:sz w:val="20"/>
          <w:szCs w:val="20"/>
          <w:color w:val="auto"/>
        </w:rPr>
      </w:pPr>
    </w:p>
    <w:p>
      <w:pPr>
        <w:spacing w:after="0" w:line="31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will receive the remaining $1 million upon effectiveness of a registration statement covering the shares purchased by the Fund. The Fund purchased our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200" w:lineRule="exact"/>
        <w:rPr>
          <w:sz w:val="20"/>
          <w:szCs w:val="20"/>
          <w:color w:val="auto"/>
        </w:rPr>
      </w:pPr>
    </w:p>
    <w:p>
      <w:pPr>
        <w:spacing w:after="0" w:line="328" w:lineRule="exact"/>
        <w:rPr>
          <w:sz w:val="20"/>
          <w:szCs w:val="20"/>
          <w:color w:val="auto"/>
        </w:rPr>
      </w:pPr>
    </w:p>
    <w:p>
      <w:pPr>
        <w:ind w:right="3439" w:firstLine="358"/>
        <w:spacing w:after="0" w:line="260" w:lineRule="auto"/>
        <w:rPr>
          <w:sz w:val="20"/>
          <w:szCs w:val="20"/>
          <w:color w:val="auto"/>
        </w:rPr>
      </w:pPr>
      <w:r>
        <w:rPr>
          <w:rFonts w:ascii="Courier New" w:cs="Courier New" w:eastAsia="Courier New" w:hAnsi="Courier New"/>
          <w:sz w:val="14"/>
          <w:szCs w:val="14"/>
          <w:color w:val="auto"/>
        </w:rPr>
        <w:t>In addition, the Fund has the option for twelve months to purchase up to $3 million of additional common stock. On August 23, 2000 the Fund exercised</w:t>
      </w:r>
    </w:p>
    <w:p>
      <w:pPr>
        <w:ind w:right="3079"/>
        <w:spacing w:after="0" w:line="242" w:lineRule="auto"/>
        <w:rPr>
          <w:sz w:val="20"/>
          <w:szCs w:val="20"/>
          <w:color w:val="auto"/>
        </w:rPr>
      </w:pPr>
      <w:r>
        <w:rPr>
          <w:rFonts w:ascii="Courier New" w:cs="Courier New" w:eastAsia="Courier New" w:hAnsi="Courier New"/>
          <w:sz w:val="15"/>
          <w:szCs w:val="15"/>
          <w:color w:val="auto"/>
        </w:rPr>
        <w:t>$1,000,000 of its option to purchase additional common stock at $5.53 per share. The Fund paid $750,000 of the purchase price in connection with the closing on August 30, 2000, and will pay the remaining $250,000 upon effectiveness of a registration statement covering the shares owned by the Fund. At the closing on August 30, 2000, we issued to the Fund an adjustable warrant similar to the one issued on August 3, 2000. This adjustable warrant was canceled by agreement between us and the Fund on November 1, 2000. The Fund also received a warrant to purchase up to 19,900 shares of common stock at $6.03 per share. This warrant is callable by us at $10.05 per underlying share.</w:t>
      </w:r>
    </w:p>
    <w:p>
      <w:pPr>
        <w:spacing w:after="0" w:line="35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Substantial additional funds 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our operations into the first quarter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5" w:right="1440" w:bottom="1440" w:gutter="0" w:footer="0" w:header="0"/>
        </w:sectPr>
      </w:pPr>
    </w:p>
    <w:bookmarkStart w:id="24" w:name="page25"/>
    <w:bookmarkEnd w:id="24"/>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34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34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 THERAPY BACKGROUND</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Alzheimer's disease and amyotrophic lateral sclerosis.</w:t>
      </w:r>
    </w:p>
    <w:p>
      <w:pPr>
        <w:spacing w:after="0" w:line="164"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w:t>
      </w:r>
    </w:p>
    <w:p>
      <w:pPr>
        <w:spacing w:after="0" w:line="163"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Cells, however, do this naturally. As a result, investigators have considered replacing failing cells that are no longer producing the needed substances or proteins by implanting stem or progenitor cells capable of regenerating the cell that the degenerative condition has damaged or destroyed. Where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1" w:right="1440" w:bottom="1440" w:gutter="0" w:footer="0" w:header="0"/>
        </w:sectPr>
      </w:pPr>
    </w:p>
    <w:bookmarkStart w:id="25" w:name="page26"/>
    <w:bookmarkEnd w:id="25"/>
    <w:p>
      <w:pPr>
        <w:ind w:right="3259"/>
        <w:spacing w:after="0" w:line="241" w:lineRule="auto"/>
        <w:rPr>
          <w:sz w:val="20"/>
          <w:szCs w:val="20"/>
          <w:color w:val="auto"/>
        </w:rPr>
      </w:pPr>
      <w:r>
        <w:rPr>
          <w:rFonts w:ascii="Courier New" w:cs="Courier New" w:eastAsia="Courier New" w:hAnsi="Courier New"/>
          <w:sz w:val="15"/>
          <w:szCs w:val="15"/>
          <w:color w:val="auto"/>
        </w:rPr>
        <w:t>there has been irreversible tissue damage or organ failure, transplantation of stem cells offers the possibility of generating new and healthy tissue, thus potentially restoring the organ function and the patient's health.</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175"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161" w:lineRule="exact"/>
        <w:rPr>
          <w:sz w:val="20"/>
          <w:szCs w:val="20"/>
          <w:color w:val="auto"/>
        </w:rPr>
      </w:pPr>
    </w:p>
    <w:p>
      <w:pPr>
        <w:ind w:left="700" w:hanging="350"/>
        <w:spacing w:after="0"/>
        <w:tabs>
          <w:tab w:leader="none" w:pos="7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175" w:lineRule="exact"/>
        <w:rPr>
          <w:rFonts w:ascii="Courier New" w:cs="Courier New" w:eastAsia="Courier New" w:hAnsi="Courier New"/>
          <w:sz w:val="15"/>
          <w:szCs w:val="15"/>
          <w:color w:val="auto"/>
        </w:rPr>
      </w:pPr>
    </w:p>
    <w:p>
      <w:pPr>
        <w:ind w:left="620" w:right="3079" w:hanging="270"/>
        <w:spacing w:after="0"/>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techniques and processes that can be used to expand these rare cells in sufficient quantities for effective transplants; and</w:t>
      </w:r>
    </w:p>
    <w:p>
      <w:pPr>
        <w:spacing w:after="0" w:line="176" w:lineRule="exact"/>
        <w:rPr>
          <w:rFonts w:ascii="Courier New" w:cs="Courier New" w:eastAsia="Courier New" w:hAnsi="Courier New"/>
          <w:sz w:val="15"/>
          <w:szCs w:val="15"/>
          <w:color w:val="auto"/>
        </w:rPr>
      </w:pPr>
    </w:p>
    <w:p>
      <w:pPr>
        <w:ind w:left="620" w:right="3079" w:hanging="270"/>
        <w:spacing w:after="0" w:line="241" w:lineRule="auto"/>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can be used for transplantation into individuals whose own cells are not suitable because of disease or other reasons.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178" w:lineRule="exact"/>
        <w:rPr>
          <w:sz w:val="20"/>
          <w:szCs w:val="20"/>
          <w:color w:val="auto"/>
        </w:rPr>
      </w:pPr>
    </w:p>
    <w:p>
      <w:pPr>
        <w:ind w:right="3259" w:firstLine="358"/>
        <w:spacing w:after="0" w:line="263" w:lineRule="auto"/>
        <w:rPr>
          <w:sz w:val="20"/>
          <w:szCs w:val="20"/>
          <w:color w:val="auto"/>
        </w:rPr>
      </w:pPr>
      <w:r>
        <w:rPr>
          <w:rFonts w:ascii="Courier New" w:cs="Courier New" w:eastAsia="Courier New" w:hAnsi="Courier New"/>
          <w:sz w:val="14"/>
          <w:szCs w:val="14"/>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w:t>
      </w:r>
    </w:p>
    <w:p>
      <w:pPr>
        <w:spacing w:after="0" w:line="16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173" w:lineRule="exact"/>
        <w:rPr>
          <w:sz w:val="20"/>
          <w:szCs w:val="20"/>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diagnostics.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3" w:right="1440" w:bottom="1440" w:gutter="0" w:footer="0" w:header="0"/>
        </w:sectPr>
      </w:pPr>
    </w:p>
    <w:bookmarkStart w:id="26" w:name="page27"/>
    <w:bookmarkEnd w:id="26"/>
    <w:p>
      <w:pPr>
        <w:ind w:left="340"/>
        <w:spacing w:after="0"/>
        <w:rPr>
          <w:sz w:val="20"/>
          <w:szCs w:val="20"/>
          <w:color w:val="auto"/>
        </w:rPr>
      </w:pPr>
      <w:r>
        <w:rPr>
          <w:rFonts w:ascii="Courier New" w:cs="Courier New" w:eastAsia="Courier New" w:hAnsi="Courier New"/>
          <w:sz w:val="15"/>
          <w:szCs w:val="15"/>
          <w:color w:val="auto"/>
        </w:rPr>
        <w:t>We will be pursuing key alliances in these areas.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176" w:lineRule="exact"/>
        <w:rPr>
          <w:sz w:val="20"/>
          <w:szCs w:val="20"/>
          <w:color w:val="auto"/>
        </w:rPr>
      </w:pPr>
    </w:p>
    <w:p>
      <w:pPr>
        <w:ind w:left="520" w:right="3599" w:hanging="170"/>
        <w:spacing w:after="0"/>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176" w:lineRule="exact"/>
        <w:rPr>
          <w:rFonts w:ascii="Courier New" w:cs="Courier New" w:eastAsia="Courier New" w:hAnsi="Courier New"/>
          <w:sz w:val="15"/>
          <w:szCs w:val="15"/>
          <w:color w:val="auto"/>
        </w:rPr>
      </w:pPr>
    </w:p>
    <w:p>
      <w:pPr>
        <w:ind w:left="520" w:right="3259" w:hanging="170"/>
        <w:spacing w:after="0" w:line="241"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Stem cells are known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More recently, we announced the results of a new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181"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Neurological disorders such as Parkinson's disease, epilepsy, Alzheimer's disease, and the side effects of stroke,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these diseases.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continue to advance our research programs to discover the islet stem cell in the human pancreas and the liver stem cell. Islet cells are the cells that produce insulin, so islet stem cells may be useful in the treatment of Type 1 diabetes and those cases of Type 2 diabetes where insulin secretion is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1" w:right="1440" w:bottom="1440" w:gutter="0" w:footer="0" w:header="0"/>
        </w:sectPr>
      </w:pPr>
    </w:p>
    <w:bookmarkStart w:id="27" w:name="page28"/>
    <w:bookmarkEnd w:id="27"/>
    <w:p>
      <w:pPr>
        <w:ind w:right="3259"/>
        <w:spacing w:after="0"/>
        <w:rPr>
          <w:sz w:val="20"/>
          <w:szCs w:val="20"/>
          <w:color w:val="auto"/>
        </w:rPr>
      </w:pPr>
      <w:r>
        <w:rPr>
          <w:rFonts w:ascii="Courier New" w:cs="Courier New" w:eastAsia="Courier New" w:hAnsi="Courier New"/>
          <w:sz w:val="15"/>
          <w:szCs w:val="15"/>
          <w:color w:val="auto"/>
        </w:rPr>
        <w:t>defective. Liver stem cells may be useful in the treatment of diseases such as hepatitis, cirrhosis of the liver and liver cancer.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 OTHER TREATMENT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prospectus.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3" w:right="1440" w:bottom="1440" w:gutter="0" w:footer="0" w:header="0"/>
        </w:sectPr>
      </w:pPr>
    </w:p>
    <w:bookmarkStart w:id="28" w:name="page29"/>
    <w:bookmarkEnd w:id="28"/>
    <w:p>
      <w:pPr>
        <w:ind w:left="8" w:right="3879"/>
        <w:spacing w:after="0"/>
        <w:rPr>
          <w:sz w:val="20"/>
          <w:szCs w:val="20"/>
          <w:color w:val="auto"/>
        </w:rPr>
      </w:pPr>
      <w:r>
        <w:rPr>
          <w:rFonts w:ascii="Courier New" w:cs="Courier New" w:eastAsia="Courier New" w:hAnsi="Courier New"/>
          <w:sz w:val="15"/>
          <w:szCs w:val="15"/>
          <w:color w:val="auto"/>
        </w:rPr>
        <w:t>programs are at relatively early stages of development and will require substantial resources to commercialize.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5"/>
          <w:szCs w:val="15"/>
          <w:color w:val="auto"/>
        </w:rPr>
        <w:t>RESEARCH AND PRODUCT DEVELOPMENT PROGRAMS</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5168" w:val="left"/>
        </w:tabs>
        <w:rPr>
          <w:sz w:val="20"/>
          <w:szCs w:val="20"/>
          <w:color w:val="auto"/>
        </w:rPr>
      </w:pPr>
      <w:r>
        <w:rPr>
          <w:rFonts w:ascii="Courier New" w:cs="Courier New" w:eastAsia="Courier New" w:hAnsi="Courier New"/>
          <w:sz w:val="15"/>
          <w:szCs w:val="15"/>
          <w:color w:val="auto"/>
        </w:rPr>
        <w:t>PROGRAM DESCRIPTION AND OBJECTIVE</w:t>
      </w:r>
      <w:r>
        <w:rPr>
          <w:sz w:val="20"/>
          <w:szCs w:val="20"/>
          <w:color w:val="auto"/>
        </w:rPr>
        <w:tab/>
      </w:r>
      <w:r>
        <w:rPr>
          <w:rFonts w:ascii="Courier New" w:cs="Courier New" w:eastAsia="Courier New" w:hAnsi="Courier New"/>
          <w:sz w:val="14"/>
          <w:szCs w:val="14"/>
          <w:color w:val="auto"/>
        </w:rPr>
        <w:t>STAGE/STATUS(1)</w:t>
      </w:r>
    </w:p>
    <w:p>
      <w:pPr>
        <w:spacing w:after="0" w:line="2" w:lineRule="exact"/>
        <w:rPr>
          <w:sz w:val="20"/>
          <w:szCs w:val="20"/>
          <w:color w:val="auto"/>
        </w:rPr>
      </w:pPr>
    </w:p>
    <w:p>
      <w:pPr>
        <w:ind w:left="8"/>
        <w:spacing w:after="0"/>
        <w:tabs>
          <w:tab w:leader="none" w:pos="33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
        <w:spacing w:after="0"/>
        <w:tabs>
          <w:tab w:leader="none" w:pos="5348" w:val="left"/>
        </w:tabs>
        <w:rPr>
          <w:sz w:val="20"/>
          <w:szCs w:val="20"/>
          <w:color w:val="auto"/>
        </w:rPr>
      </w:pPr>
      <w:r>
        <w:rPr>
          <w:rFonts w:ascii="Courier New" w:cs="Courier New" w:eastAsia="Courier New" w:hAnsi="Courier New"/>
          <w:sz w:val="15"/>
          <w:szCs w:val="15"/>
          <w:color w:val="auto"/>
        </w:rPr>
        <w:t>HUMAN NEURAL STEM CELL</w:t>
      </w:r>
      <w:r>
        <w:rPr>
          <w:sz w:val="20"/>
          <w:szCs w:val="20"/>
          <w:color w:val="auto"/>
        </w:rPr>
        <w:tab/>
      </w:r>
      <w:r>
        <w:rPr>
          <w:rFonts w:ascii="Courier New" w:cs="Courier New" w:eastAsia="Courier New" w:hAnsi="Courier New"/>
          <w:sz w:val="14"/>
          <w:szCs w:val="14"/>
          <w:color w:val="auto"/>
        </w:rPr>
        <w:t>PRECLINICAL</w:t>
      </w:r>
    </w:p>
    <w:p>
      <w:pPr>
        <w:sectPr>
          <w:pgSz w:w="11900" w:h="16838" w:orient="portrait"/>
          <w:cols w:equalWidth="0" w:num="1">
            <w:col w:w="10227"/>
          </w:cols>
          <w:pgMar w:left="232" w:top="635" w:right="1440" w:bottom="1440" w:gutter="0" w:footer="0" w:header="0"/>
        </w:sectPr>
      </w:pPr>
    </w:p>
    <w:p>
      <w:pPr>
        <w:spacing w:after="0" w:line="176" w:lineRule="exact"/>
        <w:rPr>
          <w:sz w:val="20"/>
          <w:szCs w:val="20"/>
          <w:color w:val="auto"/>
        </w:rPr>
      </w:pPr>
    </w:p>
    <w:p>
      <w:pPr>
        <w:ind w:left="8" w:right="100"/>
        <w:spacing w:after="0" w:line="263" w:lineRule="auto"/>
        <w:rPr>
          <w:sz w:val="20"/>
          <w:szCs w:val="20"/>
          <w:color w:val="auto"/>
        </w:rPr>
      </w:pPr>
      <w:r>
        <w:rPr>
          <w:rFonts w:ascii="Courier New" w:cs="Courier New" w:eastAsia="Courier New" w:hAnsi="Courier New"/>
          <w:sz w:val="14"/>
          <w:szCs w:val="14"/>
          <w:color w:val="auto"/>
        </w:rPr>
        <w:t>Repair or replace damaged central nervous system tissue (including spinal cord, degenerated retinas and tissue affected by certain genetic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PANCREAS ISLET STEM CELL</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Repair or replace damaged pancreas islet tissue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LIVER STEM CELL</w:t>
      </w:r>
    </w:p>
    <w:p>
      <w:pPr>
        <w:spacing w:after="0" w:line="176" w:lineRule="exact"/>
        <w:rPr>
          <w:sz w:val="20"/>
          <w:szCs w:val="20"/>
          <w:color w:val="auto"/>
        </w:rPr>
      </w:pPr>
    </w:p>
    <w:p>
      <w:pPr>
        <w:ind w:left="8" w:right="100"/>
        <w:spacing w:after="0" w:line="242" w:lineRule="auto"/>
        <w:rPr>
          <w:sz w:val="20"/>
          <w:szCs w:val="20"/>
          <w:color w:val="auto"/>
        </w:rPr>
      </w:pPr>
      <w:r>
        <w:rPr>
          <w:rFonts w:ascii="Courier New" w:cs="Courier New" w:eastAsia="Courier New" w:hAnsi="Courier New"/>
          <w:sz w:val="15"/>
          <w:szCs w:val="15"/>
          <w:color w:val="auto"/>
        </w:rPr>
        <w:t>Repair or replace damaged liver tissue including tissue resulting from certain metabolic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68" w:right="1639" w:hanging="268"/>
        <w:spacing w:after="0" w:line="242" w:lineRule="auto"/>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VITRO the ability to initiate and expand stem cell-containing human neural cultures and specialization into three types of central nervous system cells</w:t>
      </w:r>
    </w:p>
    <w:p>
      <w:pPr>
        <w:spacing w:after="0" w:line="2" w:lineRule="exact"/>
        <w:rPr>
          <w:rFonts w:ascii="Courier New" w:cs="Courier New" w:eastAsia="Courier New" w:hAnsi="Courier New"/>
          <w:sz w:val="15"/>
          <w:szCs w:val="15"/>
          <w:color w:val="auto"/>
        </w:rPr>
      </w:pPr>
    </w:p>
    <w:p>
      <w:pPr>
        <w:ind w:left="268" w:right="1819" w:hanging="268"/>
        <w:spacing w:after="0"/>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ability of neurosphere-initiating stem cells from human brain</w:t>
      </w:r>
    </w:p>
    <w:p>
      <w:pPr>
        <w:spacing w:after="0" w:line="4" w:lineRule="exact"/>
        <w:rPr>
          <w:rFonts w:ascii="Courier New" w:cs="Courier New" w:eastAsia="Courier New" w:hAnsi="Courier New"/>
          <w:sz w:val="15"/>
          <w:szCs w:val="15"/>
          <w:color w:val="auto"/>
        </w:rPr>
      </w:pPr>
    </w:p>
    <w:p>
      <w:pPr>
        <w:ind w:left="268" w:right="1899" w:hanging="268"/>
        <w:spacing w:after="0" w:line="242" w:lineRule="auto"/>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rodent studies that transplanted human brain-derived stem cells are accepted and properly specialized into the three major cell types of the central nervous system.</w:t>
      </w:r>
    </w:p>
    <w:p>
      <w:pPr>
        <w:spacing w:after="0" w:line="1"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RESEARCH</w:t>
      </w:r>
    </w:p>
    <w:p>
      <w:pPr>
        <w:spacing w:after="0" w:line="176" w:lineRule="exact"/>
        <w:rPr>
          <w:sz w:val="20"/>
          <w:szCs w:val="20"/>
          <w:color w:val="auto"/>
        </w:rPr>
      </w:pPr>
    </w:p>
    <w:p>
      <w:pPr>
        <w:ind w:left="268" w:right="1819" w:hanging="268"/>
        <w:spacing w:after="0" w:line="260" w:lineRule="auto"/>
        <w:tabs>
          <w:tab w:leader="none" w:pos="26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Identified markers on the surface of cells to identify, isolate and culture islet stem cells of the pancreas</w:t>
      </w:r>
    </w:p>
    <w:p>
      <w:pPr>
        <w:ind w:left="268" w:hanging="268"/>
        <w:spacing w:after="0"/>
        <w:tabs>
          <w:tab w:leader="none" w:pos="2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small animal testing</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RESEARCH</w:t>
      </w:r>
    </w:p>
    <w:p>
      <w:pPr>
        <w:spacing w:after="0" w:line="176" w:lineRule="exact"/>
        <w:rPr>
          <w:sz w:val="20"/>
          <w:szCs w:val="20"/>
          <w:color w:val="auto"/>
        </w:rPr>
      </w:pPr>
    </w:p>
    <w:p>
      <w:pPr>
        <w:ind w:left="268" w:right="1739" w:hanging="268"/>
        <w:spacing w:after="0"/>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production of hepatocytes from purified mouse hematopoietic stem cells</w:t>
      </w:r>
    </w:p>
    <w:p>
      <w:pPr>
        <w:spacing w:after="0" w:line="4" w:lineRule="exact"/>
        <w:rPr>
          <w:rFonts w:ascii="Courier New" w:cs="Courier New" w:eastAsia="Courier New" w:hAnsi="Courier New"/>
          <w:sz w:val="15"/>
          <w:szCs w:val="15"/>
          <w:color w:val="auto"/>
        </w:rPr>
      </w:pPr>
    </w:p>
    <w:p>
      <w:pPr>
        <w:jc w:val="both"/>
        <w:ind w:left="268" w:right="1999" w:hanging="268"/>
        <w:spacing w:after="0" w:line="241" w:lineRule="auto"/>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IN VITRO culture assay for growth of human bipotent liver progenitor cells that can produce both bile duct and hepatocytes</w:t>
      </w:r>
    </w:p>
    <w:p>
      <w:pPr>
        <w:spacing w:after="0" w:line="4" w:lineRule="exact"/>
        <w:rPr>
          <w:rFonts w:ascii="Courier New" w:cs="Courier New" w:eastAsia="Courier New" w:hAnsi="Courier New"/>
          <w:sz w:val="15"/>
          <w:szCs w:val="15"/>
          <w:color w:val="auto"/>
        </w:rPr>
      </w:pPr>
    </w:p>
    <w:p>
      <w:pPr>
        <w:ind w:left="268" w:right="1739" w:hanging="268"/>
        <w:spacing w:after="0"/>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Showed that the in vitro culture of human bipotent liver cells can also grow human hepatitis virus</w:t>
      </w:r>
    </w:p>
    <w:p>
      <w:pPr>
        <w:spacing w:after="0" w:line="692" w:lineRule="exact"/>
        <w:rPr>
          <w:sz w:val="20"/>
          <w:szCs w:val="20"/>
          <w:color w:val="auto"/>
        </w:rPr>
      </w:pPr>
    </w:p>
    <w:p>
      <w:pPr>
        <w:sectPr>
          <w:pgSz w:w="11900" w:h="16838" w:orient="portrait"/>
          <w:cols w:equalWidth="0" w:num="2">
            <w:col w:w="3048" w:space="172"/>
            <w:col w:w="7007"/>
          </w:cols>
          <w:pgMar w:left="232" w:top="635" w:right="1440" w:bottom="1440" w:gutter="0" w:footer="0" w:header="0"/>
          <w:type w:val="continuous"/>
        </w:sectPr>
      </w:pPr>
    </w:p>
    <w:p>
      <w:pPr>
        <w:ind w:left="348" w:right="3079" w:hanging="348"/>
        <w:spacing w:after="0" w:line="265" w:lineRule="auto"/>
        <w:tabs>
          <w:tab w:leader="none" w:pos="34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178"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348"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635" w:right="1440" w:bottom="1440" w:gutter="0" w:footer="0" w:header="0"/>
          <w:type w:val="continuous"/>
        </w:sectPr>
      </w:pPr>
    </w:p>
    <w:bookmarkStart w:id="29" w:name="page30"/>
    <w:bookmarkEnd w:id="29"/>
    <w:p>
      <w:pPr>
        <w:ind w:right="3079" w:firstLine="358"/>
        <w:spacing w:after="0" w:line="242" w:lineRule="auto"/>
        <w:rPr>
          <w:sz w:val="20"/>
          <w:szCs w:val="20"/>
          <w:color w:val="auto"/>
        </w:rPr>
      </w:pPr>
      <w:r>
        <w:rPr>
          <w:rFonts w:ascii="Courier New" w:cs="Courier New" w:eastAsia="Courier New" w:hAnsi="Courier New"/>
          <w:sz w:val="15"/>
          <w:szCs w:val="15"/>
          <w:color w:val="auto"/>
        </w:rPr>
        <w:t>In 1997, our scientists invented a reproducible method for growing human CNS, stem and progenitor cells in cultures. In preclinical IN VITRO and early IN VIVO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18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We are expanding our preclinical efforts toward the goal of selecting the proper indications to pursue.</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177" w:lineRule="exact"/>
        <w:rPr>
          <w:sz w:val="20"/>
          <w:szCs w:val="20"/>
          <w:color w:val="auto"/>
        </w:rPr>
      </w:pPr>
    </w:p>
    <w:p>
      <w:pPr>
        <w:ind w:right="3339" w:firstLine="358"/>
        <w:spacing w:after="0" w:line="265" w:lineRule="auto"/>
        <w:rPr>
          <w:sz w:val="20"/>
          <w:szCs w:val="20"/>
          <w:color w:val="auto"/>
        </w:rPr>
      </w:pPr>
      <w:r>
        <w:rPr>
          <w:rFonts w:ascii="Courier New" w:cs="Courier New" w:eastAsia="Courier New" w:hAnsi="Courier New"/>
          <w:sz w:val="14"/>
          <w:szCs w:val="14"/>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17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w:t>
      </w:r>
    </w:p>
    <w:p>
      <w:pPr>
        <w:spacing w:after="0" w:line="177" w:lineRule="exact"/>
        <w:rPr>
          <w:sz w:val="20"/>
          <w:szCs w:val="20"/>
          <w:color w:val="auto"/>
        </w:rPr>
      </w:pPr>
    </w:p>
    <w:p>
      <w:pPr>
        <w:ind w:right="3439" w:firstLine="358"/>
        <w:spacing w:after="0" w:line="265" w:lineRule="auto"/>
        <w:rPr>
          <w:sz w:val="20"/>
          <w:szCs w:val="20"/>
          <w:color w:val="auto"/>
        </w:rPr>
      </w:pPr>
      <w:r>
        <w:rPr>
          <w:rFonts w:ascii="Courier New" w:cs="Courier New" w:eastAsia="Courier New" w:hAnsi="Courier New"/>
          <w:sz w:val="14"/>
          <w:szCs w:val="14"/>
          <w:color w:val="auto"/>
        </w:rPr>
        <w:t>In January 2000, we reported what we regard as an even more important result: In long term animal studies, our researchers were able to take these purified and expanded stem cells and transplant them into normal mouse brain hosts, where they take hold and grow into neurons and glial cells.</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During the course of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3" w:right="1440" w:bottom="1440" w:gutter="0" w:footer="0" w:header="0"/>
        </w:sectPr>
      </w:pPr>
    </w:p>
    <w:bookmarkStart w:id="30" w:name="page31"/>
    <w:bookmarkEnd w:id="30"/>
    <w:p>
      <w:pPr>
        <w:ind w:right="3159" w:firstLine="358"/>
        <w:spacing w:after="0" w:line="260" w:lineRule="auto"/>
        <w:rPr>
          <w:sz w:val="20"/>
          <w:szCs w:val="20"/>
          <w:color w:val="auto"/>
        </w:rPr>
      </w:pPr>
      <w:r>
        <w:rPr>
          <w:rFonts w:ascii="Courier New" w:cs="Courier New" w:eastAsia="Courier New" w:hAnsi="Courier New"/>
          <w:sz w:val="14"/>
          <w:szCs w:val="14"/>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w:t>
      </w:r>
    </w:p>
    <w:p>
      <w:pPr>
        <w:spacing w:after="0" w:line="1"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5 million people in the United States and there are no effective long-term therapies currently available. We believe the ability to purify human brain stem cells directly from fresh tissue is important because:</w:t>
      </w:r>
    </w:p>
    <w:p>
      <w:pPr>
        <w:spacing w:after="0" w:line="348" w:lineRule="exact"/>
        <w:rPr>
          <w:sz w:val="20"/>
          <w:szCs w:val="20"/>
          <w:color w:val="auto"/>
        </w:rPr>
      </w:pPr>
    </w:p>
    <w:p>
      <w:pPr>
        <w:ind w:left="520" w:right="3259" w:hanging="170"/>
        <w:spacing w:after="0" w:line="241"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 cultures might be genetically modified to produce those proteins. The modified brain stem cells could be transplanted into patients with these genetic diseases;</w:t>
      </w:r>
    </w:p>
    <w:p>
      <w:pPr>
        <w:spacing w:after="0" w:line="176" w:lineRule="exact"/>
        <w:rPr>
          <w:rFonts w:ascii="Courier New" w:cs="Courier New" w:eastAsia="Courier New" w:hAnsi="Courier New"/>
          <w:sz w:val="15"/>
          <w:szCs w:val="15"/>
          <w:color w:val="auto"/>
        </w:rPr>
      </w:pPr>
    </w:p>
    <w:p>
      <w:pPr>
        <w:ind w:left="520" w:right="3159" w:hanging="170"/>
        <w:spacing w:after="0" w:line="242"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discovery program directed to the identification, isolation and culturing of the pancreas stem and progenitor cells is currently being conducted by Nora Sarvetnick, Ph.D., of The Scripps Research Institute, in collaboration with some of our senior researchers.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34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350"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In 1999, advances in the research sponsored by us resulted in our obtaining additional exclusive, worldwide licenses from The Scripps Research Institute to novel markers on the cell surface identified by Dr. Sarvetnick and her research team as being unique to the pancreas islet stem cell for which we have now filed a US patent application. In collaboration with Dr. Sarvetnick, we continue to advance the discovery program directed at the identification, isolation and culturing of pancreas stem and progenitor cells utilizing this technology.</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5" w:right="1440" w:bottom="1440" w:gutter="0" w:footer="0" w:header="0"/>
        </w:sectPr>
      </w:pPr>
    </w:p>
    <w:bookmarkStart w:id="31" w:name="page32"/>
    <w:bookmarkEnd w:id="31"/>
    <w:p>
      <w:pPr>
        <w:ind w:left="340"/>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a worldwide exclusive license to a novel mouse model of liver failure for evaluating cell transplantation developed by Dr. Grompe.</w:t>
      </w:r>
    </w:p>
    <w:p>
      <w:pPr>
        <w:spacing w:after="0" w:line="177"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1999, our researchers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w:t>
      </w:r>
    </w:p>
    <w:p>
      <w:pPr>
        <w:spacing w:after="0" w:line="34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Sunnyvale, California. We are actively seeking to sublease, assign or sell our interest in our former corporate headquarters building and our pilot manufacturing and cell processing facility in Rhode Island.</w:t>
      </w:r>
    </w:p>
    <w:p>
      <w:pPr>
        <w:spacing w:after="0" w:line="35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retained certain non-exclusive rights to use the ECT in combination with our proprietary stem cell technology, and in the field of vaccines for prevention and treatment of infectious diseases.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1" w:right="1440" w:bottom="1440" w:gutter="0" w:footer="0" w:header="0"/>
        </w:sectPr>
      </w:pPr>
    </w:p>
    <w:bookmarkStart w:id="32" w:name="page33"/>
    <w:bookmarkEnd w:id="32"/>
    <w:p>
      <w:pPr>
        <w:ind w:right="3259" w:firstLine="358"/>
        <w:spacing w:after="0" w:line="262" w:lineRule="auto"/>
        <w:rPr>
          <w:sz w:val="20"/>
          <w:szCs w:val="20"/>
          <w:color w:val="auto"/>
        </w:rPr>
      </w:pPr>
      <w:r>
        <w:rPr>
          <w:rFonts w:ascii="Courier New" w:cs="Courier New" w:eastAsia="Courier New" w:hAnsi="Courier New"/>
          <w:sz w:val="14"/>
          <w:szCs w:val="14"/>
          <w:color w:val="auto"/>
        </w:rPr>
        <w:t>In a related development, by mutual consent we and the Advanced Technology Program of the National Institute of Standards and Technology terminated two grants previously awarded to us for our encapsulated cell therapy and stem cell-related research. The encapsulated cell therapy grant was obviated by the sale of the technology to Neurotech. The funding agency has invited us to resubmit a proposal consistent with the new directions we are taking in our research and development of our platform of stem cell technologies.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STEMCELLS CALIFORNIA,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September 26, 1997, we acquired by merger StemCells, Inc. (now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348" w:lineRule="exact"/>
        <w:rPr>
          <w:sz w:val="20"/>
          <w:szCs w:val="20"/>
          <w:color w:val="auto"/>
        </w:rPr>
      </w:pPr>
    </w:p>
    <w:p>
      <w:pPr>
        <w:ind w:right="3159" w:firstLine="358"/>
        <w:spacing w:after="0" w:line="261" w:lineRule="auto"/>
        <w:rPr>
          <w:sz w:val="20"/>
          <w:szCs w:val="20"/>
          <w:color w:val="auto"/>
        </w:rPr>
      </w:pPr>
      <w:r>
        <w:rPr>
          <w:rFonts w:ascii="Courier New" w:cs="Courier New" w:eastAsia="Courier New" w:hAnsi="Courier New"/>
          <w:sz w:val="14"/>
          <w:szCs w:val="14"/>
          <w:color w:val="auto"/>
        </w:rPr>
        <w:t>In July 1996, we, together with certain founding scientists, established Modex Therapeutics SA, a Swiss biotherapeutics company, to pursue extensions of our former technology of ECT for certain applications outside the central nervous system. Modex, headquartered in Lausanne, Switzerland, was formed to integrate technologies developed by us and by several other institutions to develop products to treat diseases such as diabetes, obesity and anemia. After our disposition of the encapsulated cell technology in December 1999, we no longer had common research or development interests with Modex, but we held approximate 17% of its stock. Modex completed an initial public offering on June 23, 2000, in the course of which we realized a gain of approximately $1.4 million from the sale of certain shares. We now own 126,193 shares, or approximately 9%, of Modex's equity, subject to a lockup until December 23, 2000. The closing market price of Modex stock on the Swiss Neue Market exchange on October 31, 2000 was 329.50 Swiss francs, or approximately $183, per share.</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NEUROSPHERES, LTD.</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31, 2000, under which we obtained an exclusive license in the field of non-transplant uses, such as drug discovery and drug testing, so that together the licenses are exclusive for all uses of the technology. We will make payments to NeuroSpheres when milestones are achieved in</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3" w:right="1440" w:bottom="1440" w:gutter="0" w:footer="0" w:header="0"/>
        </w:sectPr>
      </w:pPr>
    </w:p>
    <w:bookmarkStart w:id="33" w:name="page34"/>
    <w:bookmarkEnd w:id="33"/>
    <w:p>
      <w:pPr>
        <w:ind w:right="3159"/>
        <w:spacing w:after="0" w:line="242" w:lineRule="auto"/>
        <w:rPr>
          <w:sz w:val="20"/>
          <w:szCs w:val="20"/>
          <w:color w:val="auto"/>
        </w:rPr>
      </w:pPr>
      <w:r>
        <w:rPr>
          <w:rFonts w:ascii="Courier New" w:cs="Courier New" w:eastAsia="Courier New" w:hAnsi="Courier New"/>
          <w:sz w:val="15"/>
          <w:szCs w:val="15"/>
          <w:color w:val="auto"/>
        </w:rPr>
        <w:t>the non-transplant field, or in any products employing NeuroSpheres patents for generating cells of the blood and immune system from neural stem cells.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34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SIGNAL PHARMACEUTICALS,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17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SPONSORED RESEARCH AGREEMENTS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34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research agreement with Scripps expires on November 14, 2000 and we are negotiating with Scripps to extend the term of this agreement. If we are unable to extend the term of this agreement, we will have to find a replacement to perform this research or we will have to perform this research ourselves. In either case, we may experience delay and additional expense in connection with this research effort. Our license agreements with Scripps will terminate upon expiration, revocation or invalidation of the patents licensed to us, unless governmental regulations require a shorter term. These license agreements also will terminate earlier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w:t>
      </w:r>
    </w:p>
    <w:p>
      <w:pPr>
        <w:spacing w:after="0" w:line="35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paid $10,000 to the California Institute of Technology upon execution of the license agreements, and we must pay an additional $10,000 upon the issuance of the patent licensed to us under the relevant agreement. We 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5"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MANUFACTURING</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by appropriate testing and banking representative vials of large-scale cultures. Commercial production is expected to involve expansion of banked cells and packaging them in appropriate containers after formulating the cells in an effective carrier. The carrier may also be used to improve the stability and acceptance of the stem cells or their progeny. Because of the early stage of our stem and progenitor cell programs, all of the issues that will affect manufacture of stem and progenitor cell products are not yet clear.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It is our intent to have the marketing of our products undertaken by such partners, although we may seek to retain limited marketing rights in specific narrow markets where the product may be addressed by a specialty or niche sales force.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that proprietary protection of our inventions will be of major importance to our future business. We have an aggressive program of vigorously seeking and protecting our intellectual property which we believe might be useful in connection with our products.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 therapy area includes nineteen issued U.S. patents, six of which have issued within the last year. An additional thirteen patent applications are pending, one of which has been allowed.</w:t>
      </w:r>
    </w:p>
    <w:p>
      <w:pPr>
        <w:spacing w:after="0" w:line="34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own or have filed patent applications which have been published for the following U.S. patents: Patent Number 5,968,829 (Human CNS neural stem cells); Patent Number 6,103,530 (Human CNS neural stem cells--culture media); Application Number WO 99/11758 (Cultures of human CNS neural stem cells); and Application Number WO 00/36091 (An animal model for identifying a common stem/progenitor to liver cells and pancreatic cells). We have licensed the following patents or pending patent applications from Neurospheres Holdings Ltd.: Patent Number 5,851,832 (In vitro proliferation); Patent Number 5,750,376 (In vitro genetic modification); Patent Number 5,981,165 (In vitro production of dopaminergic cells from mammalian central nervous system multipotent stem cell compositions); Patent Number 6,093,531 (Generation of hematopoietic cells from multipotent neural stem cells); Application Number WO 93/01275 (Mammalian central nervous system multipotent stem cell compositions); Application Number WO 94/09119 (Remyelination using mammalian central nervous system multipotent stem cell compositions); Application Number WO 94/10292 (Biological factors useful in differentiating mammalian central nervous system multipotent stem cell compositions); Application Number WO 94/16718 (Genetically engineered mammalian central nervous system multipotent stem cell compositions); Application Number WO 96/15224 (Differentiation of mammalian central nervous system multipotent stem cell compositions); and Application Number WO 96/15226 (In vitro production of dopaminergic cells from mammalian central nervous system multipotent stem cell</w:t>
      </w:r>
    </w:p>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61" w:right="1440" w:bottom="1440" w:gutter="0" w:footer="0" w:header="0"/>
        </w:sectPr>
      </w:pPr>
    </w:p>
    <w:bookmarkStart w:id="35" w:name="page36"/>
    <w:bookmarkEnd w:id="35"/>
    <w:p>
      <w:pPr>
        <w:ind w:right="3959"/>
        <w:spacing w:after="0" w:line="260" w:lineRule="auto"/>
        <w:rPr>
          <w:sz w:val="20"/>
          <w:szCs w:val="20"/>
          <w:color w:val="auto"/>
        </w:rPr>
      </w:pPr>
      <w:r>
        <w:rPr>
          <w:rFonts w:ascii="Courier New" w:cs="Courier New" w:eastAsia="Courier New" w:hAnsi="Courier New"/>
          <w:sz w:val="14"/>
          <w:szCs w:val="14"/>
          <w:color w:val="auto"/>
        </w:rPr>
        <w:t>composition). We have licensed the following patents or pending patent applications from the University of California, San Diego: Patent</w:t>
      </w:r>
    </w:p>
    <w:p>
      <w:pPr>
        <w:spacing w:after="0" w:line="238" w:lineRule="auto"/>
        <w:rPr>
          <w:sz w:val="20"/>
          <w:szCs w:val="20"/>
          <w:color w:val="auto"/>
        </w:rPr>
      </w:pPr>
      <w:r>
        <w:rPr>
          <w:rFonts w:ascii="Courier New" w:cs="Courier New" w:eastAsia="Courier New" w:hAnsi="Courier New"/>
          <w:sz w:val="15"/>
          <w:szCs w:val="15"/>
          <w:color w:val="auto"/>
        </w:rPr>
        <w:t>Number 5,776,948 (Method of production of neuroblasts); Patent Number 6,013,521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production of neuroblasts); Patent Number 6,020,197 (Method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of neuroblasts); and Application Number WO 94/16059 (Method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of neuroblasts). We have licensed the following patents or pending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applications from the California Institute of Technology: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5,629,159 (Immortalization and disimmortalization of cells); Application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WO 96/40877 (Immortalization and disimmortalization of cells);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5,935,811 (Neuron restrictive silencer factor proteins); Application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WO 96/27665 (Neuron restrictive silencer factor proteins);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5,589,376 (Mammalian neural crest stem cells); Patent Number 5,824,489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(Methods for isolating mammalian multipotent neural crest stem cells);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Application Number WO 94/02593 (Mammalian neural crest stem cells);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5,654,183 (Genetically engineered mammalian neural crest stem cells);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Number 5,928,947 (Mammalian multipotent neural crest stem cells);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5,693,482 (In vitro neural crest stem cell assay); Patent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Number 6,001,654 (Methods for differentiating neural stem cells to neurons or smooth muscle cells (TGFb)); Application Number WO 98/48001 (Methods for differentiating neural stem cells to neurons or smooth muscle cells (TGFb)); Patent Number 5,672,499 (Methods for immortalizing multipotent neural crest stem cells); Patent Number 5,849,553 (Immortalizing and disimmortalizing multipotent neural crest stem cells); and Patent Number 6,033,906 (Differentiating mammalian neural stem cells to glial cells using neuregulins).</w:t>
      </w:r>
    </w:p>
    <w:p>
      <w:pPr>
        <w:spacing w:after="0" w:line="349" w:lineRule="exact"/>
        <w:rPr>
          <w:sz w:val="20"/>
          <w:szCs w:val="20"/>
          <w:color w:val="auto"/>
        </w:rPr>
      </w:pPr>
    </w:p>
    <w:p>
      <w:pPr>
        <w:ind w:right="3599" w:firstLine="358"/>
        <w:spacing w:after="0" w:line="241" w:lineRule="auto"/>
        <w:rPr>
          <w:sz w:val="20"/>
          <w:szCs w:val="20"/>
          <w:color w:val="auto"/>
        </w:rPr>
      </w:pPr>
      <w:r>
        <w:rPr>
          <w:rFonts w:ascii="Courier New" w:cs="Courier New" w:eastAsia="Courier New" w:hAnsi="Courier New"/>
          <w:sz w:val="15"/>
          <w:szCs w:val="15"/>
          <w:color w:val="auto"/>
        </w:rPr>
        <w:t>We also rely upon trade-secret protection for our confidential and proprietary information and take active measures to control access to that information.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and pancreas stem cells.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5" w:right="1440" w:bottom="1440" w:gutter="0" w:footer="0" w:header="0"/>
        </w:sectPr>
      </w:pPr>
    </w:p>
    <w:bookmarkStart w:id="36" w:name="page37"/>
    <w:bookmarkEnd w:id="36"/>
    <w:p>
      <w:pPr>
        <w:ind w:right="3079" w:firstLine="358"/>
        <w:spacing w:after="0" w:line="242" w:lineRule="auto"/>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and is expected to increase. Our most significant competitors are expected to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75" w:lineRule="exact"/>
        <w:rPr>
          <w:sz w:val="20"/>
          <w:szCs w:val="20"/>
          <w:color w:val="auto"/>
        </w:rPr>
      </w:pPr>
    </w:p>
    <w:p>
      <w:pPr>
        <w:ind w:right="3259" w:firstLine="358"/>
        <w:spacing w:after="0" w:line="262" w:lineRule="auto"/>
        <w:rPr>
          <w:sz w:val="20"/>
          <w:szCs w:val="20"/>
          <w:color w:val="auto"/>
        </w:rPr>
      </w:pPr>
      <w:r>
        <w:rPr>
          <w:rFonts w:ascii="Courier New" w:cs="Courier New" w:eastAsia="Courier New" w:hAnsi="Courier New"/>
          <w:sz w:val="14"/>
          <w:szCs w:val="14"/>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w:t>
      </w:r>
    </w:p>
    <w:p>
      <w:pPr>
        <w:spacing w:after="0" w:line="16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3" w:right="1440" w:bottom="1440" w:gutter="0" w:footer="0" w:header="0"/>
        </w:sectPr>
      </w:pPr>
    </w:p>
    <w:bookmarkStart w:id="37" w:name="page38"/>
    <w:bookmarkEnd w:id="37"/>
    <w:p>
      <w:pPr>
        <w:ind w:left="348"/>
        <w:spacing w:after="0"/>
        <w:rPr>
          <w:sz w:val="20"/>
          <w:szCs w:val="20"/>
          <w:color w:val="auto"/>
        </w:rPr>
      </w:pPr>
      <w:r>
        <w:rPr>
          <w:rFonts w:ascii="Courier New" w:cs="Courier New" w:eastAsia="Courier New" w:hAnsi="Courier New"/>
          <w:sz w:val="15"/>
          <w:szCs w:val="15"/>
          <w:color w:val="auto"/>
        </w:rPr>
        <w:t>FDA APPROVAL</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steps required before our potential products may be marketed in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United States include:</w:t>
      </w:r>
    </w:p>
    <w:p>
      <w:pPr>
        <w:spacing w:after="0" w:line="200" w:lineRule="exact"/>
        <w:rPr>
          <w:sz w:val="20"/>
          <w:szCs w:val="20"/>
          <w:color w:val="auto"/>
        </w:rPr>
      </w:pPr>
    </w:p>
    <w:p>
      <w:pPr>
        <w:spacing w:after="0" w:line="318" w:lineRule="exact"/>
        <w:rPr>
          <w:sz w:val="20"/>
          <w:szCs w:val="20"/>
          <w:color w:val="auto"/>
        </w:rPr>
      </w:pPr>
    </w:p>
    <w:p>
      <w:pPr>
        <w:ind w:left="1788"/>
        <w:spacing w:after="0"/>
        <w:tabs>
          <w:tab w:leader="none" w:pos="5528"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74" w:lineRule="exact"/>
        <w:rPr>
          <w:sz w:val="20"/>
          <w:szCs w:val="20"/>
          <w:color w:val="auto"/>
        </w:rPr>
      </w:pPr>
    </w:p>
    <w:p>
      <w:pPr>
        <w:ind w:left="8"/>
        <w:spacing w:after="0"/>
        <w:tabs>
          <w:tab w:leader="none" w:pos="4188" w:val="left"/>
        </w:tabs>
        <w:rPr>
          <w:sz w:val="20"/>
          <w:szCs w:val="20"/>
          <w:color w:val="auto"/>
        </w:rPr>
      </w:pPr>
      <w:r>
        <w:rPr>
          <w:rFonts w:ascii="Courier New" w:cs="Courier New" w:eastAsia="Courier New" w:hAnsi="Courier New"/>
          <w:sz w:val="15"/>
          <w:szCs w:val="15"/>
          <w:color w:val="auto"/>
        </w:rPr>
        <w:t>1. Preclinical laboratory and animal tests</w:t>
      </w:r>
      <w:r>
        <w:rPr>
          <w:sz w:val="20"/>
          <w:szCs w:val="20"/>
          <w:color w:val="auto"/>
        </w:rPr>
        <w:tab/>
      </w:r>
      <w:r>
        <w:rPr>
          <w:rFonts w:ascii="Courier New" w:cs="Courier New" w:eastAsia="Courier New" w:hAnsi="Courier New"/>
          <w:sz w:val="14"/>
          <w:szCs w:val="14"/>
          <w:color w:val="auto"/>
        </w:rPr>
        <w:t>Preclinical tests include laboratory</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evaluation of the product and animal studies</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in specific disease models to assess the</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potential safety and efficacy of the product</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and our formulation as well as the quality</w:t>
      </w:r>
    </w:p>
    <w:p>
      <w:pPr>
        <w:spacing w:after="0" w:line="4" w:lineRule="exact"/>
        <w:rPr>
          <w:sz w:val="20"/>
          <w:szCs w:val="20"/>
          <w:color w:val="auto"/>
        </w:rPr>
      </w:pPr>
    </w:p>
    <w:p>
      <w:pPr>
        <w:ind w:left="4208"/>
        <w:spacing w:after="0"/>
        <w:rPr>
          <w:sz w:val="20"/>
          <w:szCs w:val="20"/>
          <w:color w:val="auto"/>
        </w:rPr>
      </w:pPr>
      <w:r>
        <w:rPr>
          <w:rFonts w:ascii="Courier New" w:cs="Courier New" w:eastAsia="Courier New" w:hAnsi="Courier New"/>
          <w:sz w:val="14"/>
          <w:szCs w:val="14"/>
          <w:color w:val="auto"/>
        </w:rPr>
        <w:t>and consistency of the manufacturing process.</w:t>
      </w:r>
    </w:p>
    <w:p>
      <w:pPr>
        <w:sectPr>
          <w:pgSz w:w="11900" w:h="16838" w:orient="portrait"/>
          <w:cols w:equalWidth="0" w:num="1">
            <w:col w:w="10227"/>
          </w:cols>
          <w:pgMar w:left="232" w:top="461" w:right="1440" w:bottom="1440" w:gutter="0" w:footer="0" w:header="0"/>
        </w:sectPr>
      </w:pPr>
    </w:p>
    <w:p>
      <w:pPr>
        <w:spacing w:after="0" w:line="184" w:lineRule="exact"/>
        <w:rPr>
          <w:sz w:val="20"/>
          <w:szCs w:val="20"/>
          <w:color w:val="auto"/>
        </w:rPr>
      </w:pPr>
    </w:p>
    <w:p>
      <w:pPr>
        <w:ind w:left="268" w:hanging="268"/>
        <w:spacing w:after="0"/>
        <w:tabs>
          <w:tab w:leader="none" w:pos="2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an application</w:t>
      </w:r>
    </w:p>
    <w:p>
      <w:pPr>
        <w:spacing w:after="0" w:line="3" w:lineRule="exact"/>
        <w:rPr>
          <w:rFonts w:ascii="Courier New" w:cs="Courier New" w:eastAsia="Courier New" w:hAnsi="Courier New"/>
          <w:sz w:val="15"/>
          <w:szCs w:val="15"/>
          <w:color w:val="auto"/>
        </w:rPr>
      </w:pPr>
    </w:p>
    <w:p>
      <w:pPr>
        <w:ind w:left="8"/>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an Investigational New Drug Exemption, or IND, which must become effective before U.S. human clinical trials may commence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79"/>
        <w:spacing w:after="0" w:line="242" w:lineRule="auto"/>
        <w:rPr>
          <w:sz w:val="20"/>
          <w:szCs w:val="20"/>
          <w:color w:val="auto"/>
        </w:rPr>
      </w:pPr>
      <w:r>
        <w:rPr>
          <w:rFonts w:ascii="Courier New" w:cs="Courier New" w:eastAsia="Courier New" w:hAnsi="Courier New"/>
          <w:sz w:val="15"/>
          <w:szCs w:val="15"/>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176" w:lineRule="exact"/>
        <w:rPr>
          <w:sz w:val="20"/>
          <w:szCs w:val="20"/>
          <w:color w:val="auto"/>
        </w:rPr>
      </w:pPr>
    </w:p>
    <w:p>
      <w:pPr>
        <w:sectPr>
          <w:pgSz w:w="11900" w:h="16838" w:orient="portrait"/>
          <w:cols w:equalWidth="0" w:num="2">
            <w:col w:w="4028" w:space="180"/>
            <w:col w:w="6019"/>
          </w:cols>
          <w:pgMar w:left="232" w:top="461" w:right="1440" w:bottom="1440" w:gutter="0" w:footer="0" w:header="0"/>
          <w:type w:val="continuous"/>
        </w:sectPr>
      </w:pPr>
    </w:p>
    <w:p>
      <w:pPr>
        <w:ind w:left="8" w:hanging="8"/>
        <w:spacing w:after="0" w:line="241" w:lineRule="auto"/>
        <w:tabs>
          <w:tab w:leader="none" w:pos="27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ind w:left="4" w:right="1999"/>
        <w:spacing w:after="0" w:line="242" w:lineRule="auto"/>
        <w:rPr>
          <w:sz w:val="20"/>
          <w:szCs w:val="20"/>
          <w:color w:val="auto"/>
        </w:rPr>
      </w:pPr>
      <w:r>
        <w:rPr>
          <w:rFonts w:ascii="Courier New" w:cs="Courier New" w:eastAsia="Courier New" w:hAnsi="Courier New"/>
          <w:sz w:val="15"/>
          <w:szCs w:val="15"/>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189" w:lineRule="exact"/>
        <w:rPr>
          <w:sz w:val="20"/>
          <w:szCs w:val="20"/>
          <w:color w:val="auto"/>
        </w:rPr>
      </w:pPr>
    </w:p>
    <w:p>
      <w:pPr>
        <w:ind w:left="4" w:right="2179"/>
        <w:spacing w:after="0" w:line="241" w:lineRule="auto"/>
        <w:rPr>
          <w:sz w:val="20"/>
          <w:szCs w:val="20"/>
          <w:color w:val="auto"/>
        </w:rPr>
      </w:pPr>
      <w:r>
        <w:rPr>
          <w:rFonts w:ascii="Courier New" w:cs="Courier New" w:eastAsia="Courier New" w:hAnsi="Courier New"/>
          <w:sz w:val="15"/>
          <w:szCs w:val="15"/>
          <w:color w:val="auto"/>
        </w:rPr>
        <w:t>Clinical development is traditionally conducted in three sequential phases, which may overlap:</w:t>
      </w:r>
    </w:p>
    <w:p>
      <w:pPr>
        <w:spacing w:after="0" w:line="176" w:lineRule="exact"/>
        <w:rPr>
          <w:sz w:val="20"/>
          <w:szCs w:val="20"/>
          <w:color w:val="auto"/>
        </w:rPr>
      </w:pPr>
    </w:p>
    <w:p>
      <w:pPr>
        <w:ind w:left="4" w:right="2359" w:hanging="4"/>
        <w:spacing w:after="0" w:line="260" w:lineRule="auto"/>
        <w:tabs>
          <w:tab w:leader="none" w:pos="183"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healthy human subjects or</w:t>
      </w:r>
    </w:p>
    <w:p>
      <w:pPr>
        <w:ind w:left="184" w:right="217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into selected patient populations to test for adverse reactions, dosage tolerance, absorption and distribution, metabolism, excretion and clinical pharmacology.</w:t>
      </w:r>
    </w:p>
    <w:p>
      <w:pPr>
        <w:spacing w:after="0" w:line="200" w:lineRule="exact"/>
        <w:rPr>
          <w:sz w:val="20"/>
          <w:szCs w:val="20"/>
          <w:color w:val="auto"/>
        </w:rPr>
      </w:pPr>
    </w:p>
    <w:p>
      <w:pPr>
        <w:sectPr>
          <w:pgSz w:w="11900" w:h="16838" w:orient="portrait"/>
          <w:cols w:equalWidth="0" w:num="2">
            <w:col w:w="3848" w:space="356"/>
            <w:col w:w="6023"/>
          </w:cols>
          <w:pgMar w:left="232" w:top="461" w:right="1440" w:bottom="1440" w:gutter="0" w:footer="0" w:header="0"/>
          <w:type w:val="continuous"/>
        </w:sectPr>
      </w:pPr>
    </w:p>
    <w:p>
      <w:pPr>
        <w:spacing w:after="0" w:line="13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461" w:right="1440" w:bottom="144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 w:right="176" w:hanging="8"/>
        <w:spacing w:after="0"/>
        <w:tabs>
          <w:tab w:leader="none" w:pos="27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20" w:lineRule="exact"/>
        <w:rPr>
          <w:sz w:val="20"/>
          <w:szCs w:val="20"/>
          <w:color w:val="auto"/>
        </w:rPr>
      </w:pPr>
      <w:r>
        <w:rPr>
          <w:sz w:val="20"/>
          <w:szCs w:val="20"/>
          <w:color w:val="auto"/>
        </w:rPr>
        <w:br w:type="column"/>
      </w:r>
    </w:p>
    <w:p>
      <w:pPr>
        <w:ind w:left="4" w:right="2439" w:hanging="4"/>
        <w:spacing w:after="0" w:line="260" w:lineRule="auto"/>
        <w:tabs>
          <w:tab w:leader="none" w:pos="18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involves studies in a limited patient population to (i) determine the</w:t>
      </w:r>
    </w:p>
    <w:p>
      <w:pPr>
        <w:ind w:left="184" w:right="2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78" w:lineRule="exact"/>
        <w:rPr>
          <w:rFonts w:ascii="Courier New" w:cs="Courier New" w:eastAsia="Courier New" w:hAnsi="Courier New"/>
          <w:sz w:val="14"/>
          <w:szCs w:val="14"/>
          <w:color w:val="auto"/>
        </w:rPr>
      </w:pPr>
    </w:p>
    <w:p>
      <w:pPr>
        <w:ind w:left="4" w:right="2259" w:hanging="4"/>
        <w:spacing w:after="0" w:line="260" w:lineRule="auto"/>
        <w:tabs>
          <w:tab w:leader="none" w:pos="18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III trials are undertaken to conclusively demonstrate clinical efficacy</w:t>
      </w:r>
    </w:p>
    <w:p>
      <w:pPr>
        <w:ind w:left="184" w:right="217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to test further for safety within an expanded patient population, generally at multiple study sites.</w:t>
      </w:r>
    </w:p>
    <w:p>
      <w:pPr>
        <w:spacing w:after="0" w:line="176" w:lineRule="exact"/>
        <w:rPr>
          <w:sz w:val="20"/>
          <w:szCs w:val="20"/>
          <w:color w:val="auto"/>
        </w:rPr>
      </w:pPr>
    </w:p>
    <w:p>
      <w:pPr>
        <w:ind w:left="4" w:right="2079"/>
        <w:spacing w:after="0" w:line="242" w:lineRule="auto"/>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may require discontinuance of the trials at any time if significant safety issues arise.</w:t>
      </w:r>
    </w:p>
    <w:p>
      <w:pPr>
        <w:spacing w:after="0" w:line="175" w:lineRule="exact"/>
        <w:rPr>
          <w:sz w:val="20"/>
          <w:szCs w:val="20"/>
          <w:color w:val="auto"/>
        </w:rPr>
      </w:pPr>
    </w:p>
    <w:p>
      <w:pPr>
        <w:ind w:left="4" w:right="2079"/>
        <w:spacing w:after="0" w:line="242" w:lineRule="auto"/>
        <w:rPr>
          <w:sz w:val="20"/>
          <w:szCs w:val="20"/>
          <w:color w:val="auto"/>
        </w:rPr>
      </w:pPr>
      <w:r>
        <w:rPr>
          <w:rFonts w:ascii="Courier New" w:cs="Courier New" w:eastAsia="Courier New" w:hAnsi="Courier New"/>
          <w:sz w:val="15"/>
          <w:szCs w:val="15"/>
          <w:color w:val="auto"/>
        </w:rPr>
        <w:t>The results of the preclinical studies and clinical studies are submitted to the FDA in the form of marketing approval authorization applications.</w:t>
      </w:r>
    </w:p>
    <w:p>
      <w:pPr>
        <w:spacing w:after="0" w:line="175" w:lineRule="exact"/>
        <w:rPr>
          <w:sz w:val="20"/>
          <w:szCs w:val="20"/>
          <w:color w:val="auto"/>
        </w:rPr>
      </w:pPr>
    </w:p>
    <w:p>
      <w:pPr>
        <w:sectPr>
          <w:pgSz w:w="11900" w:h="16838" w:orient="portrait"/>
          <w:cols w:equalWidth="0" w:num="2">
            <w:col w:w="3484" w:space="720"/>
            <w:col w:w="6023"/>
          </w:cols>
          <w:pgMar w:left="232" w:top="807" w:right="1440" w:bottom="1440" w:gutter="0" w:footer="0" w:header="0"/>
        </w:sectPr>
      </w:pPr>
    </w:p>
    <w:p>
      <w:pPr>
        <w:ind w:left="8" w:hanging="8"/>
        <w:spacing w:after="0" w:line="242" w:lineRule="auto"/>
        <w:tabs>
          <w:tab w:leader="none" w:pos="27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ind w:right="1999"/>
        <w:spacing w:after="0" w:line="242" w:lineRule="auto"/>
        <w:rPr>
          <w:sz w:val="20"/>
          <w:szCs w:val="20"/>
          <w:color w:val="auto"/>
        </w:rPr>
      </w:pPr>
      <w:r>
        <w:rPr>
          <w:rFonts w:ascii="Courier New" w:cs="Courier New" w:eastAsia="Courier New" w:hAnsi="Courier New"/>
          <w:sz w:val="15"/>
          <w:szCs w:val="15"/>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4028" w:space="180"/>
            <w:col w:w="6019"/>
          </w:cols>
          <w:pgMar w:left="232" w:top="807" w:right="1440" w:bottom="1440" w:gutter="0" w:footer="0" w:header="0"/>
          <w:type w:val="continuous"/>
        </w:sectPr>
      </w:pPr>
    </w:p>
    <w:p>
      <w:pPr>
        <w:spacing w:after="0" w:line="151"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After FDA approval for the initial indications and requisite approval of the manufacturing facility,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FDA MANUFACTURING REQUIREMENTS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78"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ORPHAN DRUG ACT</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807" w:right="1440" w:bottom="1440" w:gutter="0" w:footer="0" w:header="0"/>
          <w:type w:val="continuous"/>
        </w:sectPr>
      </w:pPr>
    </w:p>
    <w:bookmarkStart w:id="39" w:name="page40"/>
    <w:bookmarkEnd w:id="39"/>
    <w:p>
      <w:pPr>
        <w:ind w:right="3079"/>
        <w:spacing w:after="0" w:line="267" w:lineRule="auto"/>
        <w:rPr>
          <w:sz w:val="20"/>
          <w:szCs w:val="20"/>
          <w:color w:val="auto"/>
        </w:rPr>
      </w:pPr>
      <w:r>
        <w:rPr>
          <w:rFonts w:ascii="Courier New" w:cs="Courier New" w:eastAsia="Courier New" w:hAnsi="Courier New"/>
          <w:sz w:val="14"/>
          <w:szCs w:val="14"/>
          <w:color w:val="auto"/>
        </w:rPr>
        <w:t>affect more than 200,000 individuals in the United States if the sponsor does not realistically anticipate its product becoming profitable from sales in the United States. We may apply for orphan drug status for certain of our therapies.</w:t>
      </w:r>
    </w:p>
    <w:p>
      <w:pPr>
        <w:spacing w:after="0" w:line="15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PROPOSED FDA REGULATIONS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our collaborators have stock options or other equity interests in us that could subject such collaborators and us to the proposed regulations.</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might be taken from it. Restrictions exist on the testing or use of cells, whether human or non-human.</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OTHER REGULATIONS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Outside the United States, we will be subject to regulations which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348" w:lineRule="exact"/>
        <w:rPr>
          <w:sz w:val="20"/>
          <w:szCs w:val="20"/>
          <w:color w:val="auto"/>
        </w:rPr>
      </w:pPr>
    </w:p>
    <w:p>
      <w:pPr>
        <w:ind w:right="3079" w:firstLine="358"/>
        <w:spacing w:after="0" w:line="260" w:lineRule="auto"/>
        <w:rPr>
          <w:sz w:val="20"/>
          <w:szCs w:val="20"/>
          <w:color w:val="auto"/>
        </w:rPr>
      </w:pPr>
      <w:r>
        <w:rPr>
          <w:rFonts w:ascii="Courier New" w:cs="Courier New" w:eastAsia="Courier New" w:hAnsi="Courier New"/>
          <w:sz w:val="14"/>
          <w:szCs w:val="14"/>
          <w:color w:val="auto"/>
        </w:rPr>
        <w:t>Our investment in 126,193 shares of Modex Therapeutics Ltd. Stock was valued at $19,220,165 based on the per share price of $152.31, which we converted from a market price of 247.50 Swiss francs on June 30, 2000. Our value in this investment is subject to both equity price risk and foreign currency exchange risk. Modex shares were offered in an IPO on the Swiss Neue Market on June 23, 2000 at a price of 168.00 Swiss francs. From the date of the IPO to the date of this prospectus, the Modex closing share price has fluctuated from a low of</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200.00 Swiss francs on June 23, 2000 to a high of 390.00 Swiss francs on October 6, 2000. The market price of the Modex stock on October 31, 2000 was 329.50 Swiss francs, which converts to $183.28 using exchange rates on that date, which represents an estimated fair market value of $23,128,598 for our holdings. If we were to seek to liquidate all or part of our investment in Modex, our proceeds would depend on the share price and foreign currency</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63" w:right="1440" w:bottom="1440" w:gutter="0" w:footer="0" w:header="0"/>
        </w:sectPr>
      </w:pPr>
    </w:p>
    <w:bookmarkStart w:id="40" w:name="page41"/>
    <w:bookmarkEnd w:id="40"/>
    <w:p>
      <w:pPr>
        <w:ind w:left="8" w:right="3439"/>
        <w:spacing w:after="0" w:line="242" w:lineRule="auto"/>
        <w:rPr>
          <w:sz w:val="20"/>
          <w:szCs w:val="20"/>
          <w:color w:val="auto"/>
        </w:rPr>
      </w:pPr>
      <w:r>
        <w:rPr>
          <w:rFonts w:ascii="Courier New" w:cs="Courier New" w:eastAsia="Courier New" w:hAnsi="Courier New"/>
          <w:sz w:val="15"/>
          <w:szCs w:val="15"/>
          <w:color w:val="auto"/>
        </w:rPr>
        <w:t>exchange rates at the time of conversion. Additionally, if we sell a sizable portion of our holdings, we may have to sell these shares at a discount to market price. We are restricted from any sale of our shares in Modex until December 23, 2000.</w:t>
      </w:r>
    </w:p>
    <w:p>
      <w:pPr>
        <w:spacing w:after="0" w:line="345"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company's sole market risk sensitive instrument is:</w:t>
      </w:r>
    </w:p>
    <w:p>
      <w:pPr>
        <w:sectPr>
          <w:pgSz w:w="11900" w:h="16838" w:orient="portrait"/>
          <w:cols w:equalWidth="0" w:num="1">
            <w:col w:w="10227"/>
          </w:cols>
          <w:pgMar w:left="232" w:top="6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NO.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VALUE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JUNE 30,</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5"/>
          <w:szCs w:val="15"/>
          <w:color w:val="auto"/>
        </w:rPr>
        <w:t>EXPECTED</w:t>
      </w:r>
    </w:p>
    <w:p>
      <w:pPr>
        <w:spacing w:after="0" w:line="2"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5"/>
          <w:szCs w:val="15"/>
          <w:color w:val="auto"/>
        </w:rPr>
        <w:t>FUTURE</w:t>
      </w:r>
    </w:p>
    <w:p>
      <w:pPr>
        <w:spacing w:after="0" w:line="4"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4"/>
          <w:szCs w:val="14"/>
          <w:color w:val="auto"/>
        </w:rPr>
        <w:t>CASH FLOWS</w:t>
      </w:r>
    </w:p>
    <w:p>
      <w:pPr>
        <w:spacing w:after="0" w:line="183" w:lineRule="exact"/>
        <w:rPr>
          <w:sz w:val="20"/>
          <w:szCs w:val="20"/>
          <w:color w:val="auto"/>
        </w:rPr>
      </w:pPr>
    </w:p>
    <w:p>
      <w:pPr>
        <w:sectPr>
          <w:pgSz w:w="11900" w:h="16838" w:orient="portrait"/>
          <w:cols w:equalWidth="0" w:num="5">
            <w:col w:w="1528" w:space="520"/>
            <w:col w:w="1160" w:space="720"/>
            <w:col w:w="900" w:space="620"/>
            <w:col w:w="1080" w:space="620"/>
            <w:col w:w="3079"/>
          </w:cols>
          <w:pgMar w:left="232" w:top="635" w:right="1440" w:bottom="1440" w:gutter="0" w:footer="0" w:header="0"/>
          <w:type w:val="continuous"/>
        </w:sectPr>
      </w:pPr>
    </w:p>
    <w:p>
      <w:pPr>
        <w:ind w:left="528"/>
        <w:spacing w:after="0"/>
        <w:rPr>
          <w:sz w:val="20"/>
          <w:szCs w:val="20"/>
          <w:color w:val="auto"/>
        </w:rPr>
      </w:pPr>
      <w:r>
        <w:rPr>
          <w:rFonts w:ascii="Courier New" w:cs="Courier New" w:eastAsia="Courier New" w:hAnsi="Courier New"/>
          <w:sz w:val="15"/>
          <w:szCs w:val="15"/>
          <w:color w:val="auto"/>
        </w:rPr>
        <w:t>123,193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Modex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Equity/Foreign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$19,220,165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sectPr>
          <w:pgSz w:w="11900" w:h="16838" w:orient="portrait"/>
          <w:cols w:equalWidth="0" w:num="5">
            <w:col w:w="1608" w:space="720"/>
            <w:col w:w="620" w:space="720"/>
            <w:col w:w="1260" w:space="520"/>
            <w:col w:w="1340" w:space="720"/>
            <w:col w:w="2719"/>
          </w:cols>
          <w:pgMar w:left="232" w:top="635" w:right="1440" w:bottom="1440" w:gutter="0" w:footer="0" w:header="0"/>
          <w:type w:val="continuous"/>
        </w:sectPr>
      </w:pPr>
    </w:p>
    <w:p>
      <w:pPr>
        <w:ind w:left="1968"/>
        <w:spacing w:after="0"/>
        <w:rPr>
          <w:sz w:val="20"/>
          <w:szCs w:val="20"/>
          <w:color w:val="auto"/>
        </w:rPr>
      </w:pPr>
      <w:r>
        <w:rPr>
          <w:rFonts w:ascii="Courier New" w:cs="Courier New" w:eastAsia="Courier New" w:hAnsi="Courier New"/>
          <w:sz w:val="15"/>
          <w:szCs w:val="15"/>
          <w:color w:val="auto"/>
        </w:rPr>
        <w:t>Therapeutics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Currency</w:t>
      </w:r>
    </w:p>
    <w:p>
      <w:pPr>
        <w:spacing w:after="0" w:line="4" w:lineRule="exact"/>
        <w:rPr>
          <w:sz w:val="20"/>
          <w:szCs w:val="20"/>
          <w:color w:val="auto"/>
        </w:rPr>
      </w:pPr>
    </w:p>
    <w:p>
      <w:pPr>
        <w:sectPr>
          <w:pgSz w:w="11900" w:h="16838" w:orient="portrait"/>
          <w:cols w:equalWidth="0" w:num="2">
            <w:col w:w="3048" w:space="620"/>
            <w:col w:w="6559"/>
          </w:cols>
          <w:pgMar w:left="232" w:top="635" w:right="1440" w:bottom="1440" w:gutter="0" w:footer="0" w:header="0"/>
          <w:type w:val="continuous"/>
        </w:sectPr>
      </w:pPr>
    </w:p>
    <w:p>
      <w:pPr>
        <w:ind w:left="3668"/>
        <w:spacing w:after="0"/>
        <w:rPr>
          <w:sz w:val="20"/>
          <w:szCs w:val="20"/>
          <w:color w:val="auto"/>
        </w:rPr>
      </w:pPr>
      <w:r>
        <w:rPr>
          <w:rFonts w:ascii="Courier New" w:cs="Courier New" w:eastAsia="Courier New" w:hAnsi="Courier New"/>
          <w:sz w:val="14"/>
          <w:szCs w:val="14"/>
          <w:color w:val="auto"/>
        </w:rPr>
        <w:t>Translation</w:t>
      </w:r>
    </w:p>
    <w:p>
      <w:pPr>
        <w:sectPr>
          <w:pgSz w:w="11900" w:h="16838" w:orient="portrait"/>
          <w:cols w:equalWidth="0" w:num="1">
            <w:col w:w="10227"/>
          </w:cols>
          <w:pgMar w:left="232" w:top="635" w:right="1440" w:bottom="1440" w:gutter="0" w:footer="0" w:header="0"/>
          <w:type w:val="continuous"/>
        </w:sectPr>
      </w:pPr>
    </w:p>
    <w:p>
      <w:pPr>
        <w:spacing w:after="0" w:line="35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348" w:right="3079" w:hanging="348"/>
        <w:spacing w:after="0" w:line="242"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the company has not formally adopted a liquidation plan for this investment, liquidation may be necessary to meet operating cash flow requirements. Under the agreement with Modex, the company is restricted from selling its holding through December 23, 2000.</w:t>
      </w: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75"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As of August 15, 2000, we had twenty full-time employees, of whom five have Ph.D. degrees, as well as two half-time employees. The equivalent of fifteen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SCIENTIFIC ADVISORY BOARD</w:t>
      </w:r>
    </w:p>
    <w:p>
      <w:pPr>
        <w:spacing w:after="0" w:line="176"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which would conflict with the services the member provides to us. Members of the Scientific Advisory Board offer consultation on specific issues encountered by us as</w:t>
      </w:r>
    </w:p>
    <w:p>
      <w:pPr>
        <w:spacing w:after="0" w:line="16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635" w:right="1440" w:bottom="1440" w:gutter="0" w:footer="0" w:header="0"/>
          <w:type w:val="continuous"/>
        </w:sectPr>
      </w:pPr>
    </w:p>
    <w:bookmarkStart w:id="41" w:name="page42"/>
    <w:bookmarkEnd w:id="41"/>
    <w:p>
      <w:pPr>
        <w:ind w:right="3259"/>
        <w:spacing w:after="0" w:line="242" w:lineRule="auto"/>
        <w:rPr>
          <w:sz w:val="20"/>
          <w:szCs w:val="20"/>
          <w:color w:val="auto"/>
        </w:rPr>
      </w:pPr>
      <w:r>
        <w:rPr>
          <w:rFonts w:ascii="Courier New" w:cs="Courier New" w:eastAsia="Courier New" w:hAnsi="Courier New"/>
          <w:sz w:val="15"/>
          <w:szCs w:val="15"/>
          <w:color w:val="auto"/>
        </w:rPr>
        <w:t>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75" w:lineRule="exact"/>
        <w:rPr>
          <w:sz w:val="20"/>
          <w:szCs w:val="20"/>
          <w:color w:val="auto"/>
        </w:rPr>
      </w:pPr>
    </w:p>
    <w:p>
      <w:pPr>
        <w:ind w:left="520" w:right="3259" w:hanging="170"/>
        <w:spacing w:after="0" w:line="24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Chairman of the Scientific Advisory Board of StemCells, Inc.</w:t>
      </w:r>
    </w:p>
    <w:p>
      <w:pPr>
        <w:spacing w:after="0" w:line="176" w:lineRule="exact"/>
        <w:rPr>
          <w:rFonts w:ascii="Courier New" w:cs="Courier New" w:eastAsia="Courier New" w:hAnsi="Courier New"/>
          <w:sz w:val="15"/>
          <w:szCs w:val="15"/>
          <w:color w:val="auto"/>
        </w:rPr>
      </w:pPr>
    </w:p>
    <w:p>
      <w:pPr>
        <w:ind w:left="520" w:right="3079" w:hanging="170"/>
        <w:spacing w:after="0" w:line="241"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76" w:lineRule="exact"/>
        <w:rPr>
          <w:rFonts w:ascii="Courier New" w:cs="Courier New" w:eastAsia="Courier New" w:hAnsi="Courier New"/>
          <w:sz w:val="15"/>
          <w:szCs w:val="15"/>
          <w:color w:val="auto"/>
        </w:rPr>
      </w:pPr>
    </w:p>
    <w:p>
      <w:pPr>
        <w:ind w:left="520" w:right="3519" w:hanging="170"/>
        <w:spacing w:after="0" w:line="24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63" w:right="1440" w:bottom="1440" w:gutter="0" w:footer="0" w:header="0"/>
        </w:sectPr>
      </w:pPr>
    </w:p>
    <w:bookmarkStart w:id="42" w:name="page43"/>
    <w:bookmarkEnd w:id="42"/>
    <w:p>
      <w:pPr>
        <w:jc w:val="center"/>
        <w:ind w:right="3079"/>
        <w:spacing w:after="0"/>
        <w:rPr>
          <w:sz w:val="20"/>
          <w:szCs w:val="20"/>
          <w:color w:val="auto"/>
        </w:rPr>
      </w:pPr>
      <w:r>
        <w:rPr>
          <w:rFonts w:ascii="Courier New" w:cs="Courier New" w:eastAsia="Courier New" w:hAnsi="Courier New"/>
          <w:sz w:val="15"/>
          <w:szCs w:val="15"/>
          <w:color w:val="auto"/>
        </w:rPr>
        <w:t>MANAGEMENT</w:t>
      </w:r>
    </w:p>
    <w:p>
      <w:pPr>
        <w:spacing w:after="0" w:line="176" w:lineRule="exact"/>
        <w:rPr>
          <w:sz w:val="20"/>
          <w:szCs w:val="20"/>
          <w:color w:val="auto"/>
        </w:rPr>
      </w:pPr>
    </w:p>
    <w:p>
      <w:pPr>
        <w:ind w:right="3439" w:firstLine="358"/>
        <w:spacing w:after="0"/>
        <w:rPr>
          <w:sz w:val="20"/>
          <w:szCs w:val="20"/>
          <w:color w:val="auto"/>
        </w:rPr>
      </w:pPr>
      <w:r>
        <w:rPr>
          <w:rFonts w:ascii="Courier New" w:cs="Courier New" w:eastAsia="Courier New" w:hAnsi="Courier New"/>
          <w:sz w:val="15"/>
          <w:szCs w:val="15"/>
          <w:color w:val="auto"/>
        </w:rPr>
        <w:t>The following table sets forth the name, age and position of each of our executive officers, key members of management, and directors.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AGE</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66</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 Chairman of the Board</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94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w w:val="98"/>
              </w:rPr>
              <w:t>Acting President and Chief Executive</w:t>
            </w:r>
          </w:p>
        </w:tc>
      </w:tr>
      <w:tr>
        <w:trPr>
          <w:trHeight w:val="172"/>
        </w:trPr>
        <w:tc>
          <w:tcPr>
            <w:tcW w:w="39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54</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Officer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69</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Irving L. Weissman, M.D...................</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320" w:lineRule="exact"/>
        <w:rPr>
          <w:sz w:val="20"/>
          <w:szCs w:val="20"/>
          <w:color w:val="auto"/>
        </w:rPr>
      </w:pPr>
    </w:p>
    <w:p>
      <w:pPr>
        <w:ind w:left="520" w:right="3079" w:hanging="170"/>
        <w:spacing w:after="0" w:line="242"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J. Schwartz, Ph.D., was elected to the board of directors in December 1998 and was elected Chairman of the board at the same time. He was formerly Senior Vice President and General Counsel of SyStemix, Inc. from 1993 to 1995, and then President and Chief Executive Officer of SyStemix, Inc. from 1995 to 1997.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w:t>
      </w:r>
    </w:p>
    <w:p>
      <w:pPr>
        <w:spacing w:after="0" w:line="351"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W. Dunbar, Jr., was appointed Acting President and Chief Executive Officer of the company effective as of February 1, 2000. Mr. Dunbar joined the company as Acting President of StemCells California, Inc., the company's wholly owned subsidiary, on November 8, 1999, and still holds this office. From September 1999 through the present, Mr. Dunbar has been a founding member of iCEO, LLC. From July 1991 until July 1999, Mr. Dunbar was President, Chief Executive Officer and a member of the Board of Directors of Metra Biosystems, a medical device company, which merged with Quidel Corporation during 1999. Prior to Metra Biosystems, Mr. Dunbar was a vice president of The Ares-Serono Group, a Swiss healthcare company, and served before that as a vice president of Amersham International plc's life sciences business in the United States. Mr. Dunbar serves as a Board member for Competitive Technologies, Quidel Corporation, LJL Biosystems, Sonus Pharmaceuticals and The Valley Medical Center Foundation. He also sits on the MBA Advisory Board of the Auburn University School of Business, his alma mater.</w:t>
      </w:r>
    </w:p>
    <w:p>
      <w:pPr>
        <w:spacing w:after="0" w:line="354"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Donald Kennedy, Ph.D., has served as a director of the company since July 1999. Dr. Kennedy is the Bing Professor of Environmental Science, Professor of Education, and President Emeritus of Stanford University. He is Editor-in-Chief of SCIENCE magazine. He is also co-director of the Center for Environmental Science and Policy at Stanford. From 1960 to 1977, Dr. Kennedy held various faculty positions at Stanford University. From 1977 to 1979, he served as Commissioner at the U.S. Food and Drug Administration. From 1979 to 1980, he served as Provost of Stanford University. From 1980 to 1992, Dr. Kennedy served as President of Stanford University, and from 1992 to present, he has served as a Stanford faculty member. He is Chairman of Children Now; a member of the National Academy of Sciences, the National Institute of Medicine, and the American Philosophical Society; and a fellow of the American Academy of Arts and Sciences, the American Association for the Advancement of Science, and the California Academy of Sciences. Dr. Kennedy is a member of the Board of Directors of AxyS Pharmaceuticals, Inc., and Alzeta Corp. Dr. Kennedy holds a Ph.D. in biology from Harvard University.</w:t>
      </w:r>
    </w:p>
    <w:p>
      <w:pPr>
        <w:spacing w:after="0" w:line="35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61" w:right="1440" w:bottom="1440" w:gutter="0" w:footer="0" w:header="0"/>
        </w:sectPr>
      </w:pPr>
    </w:p>
    <w:bookmarkStart w:id="43" w:name="page44"/>
    <w:bookmarkEnd w:id="43"/>
    <w:p>
      <w:pPr>
        <w:ind w:left="520" w:right="3079" w:hanging="170"/>
        <w:spacing w:after="0" w:line="242" w:lineRule="auto"/>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J. Levin is a founder of the company and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Tularik, Inc.</w:t>
      </w:r>
    </w:p>
    <w:p>
      <w:pPr>
        <w:spacing w:after="0" w:line="350"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Director, is the Karel and Avice Beekhuis Professor of Cancer Biology, Professor of Pathology and Professor of Developmental Biology at Stanford University. Stanford has employed Dr. Weissman since July 1967, and he has been a Faculty member since January 1969. He has been a full professor of pathology since September 1987, and also of developmental biology since July 1989. Since October 1990, Dr. Weissman has also served as a professor of biology (by courtesy). He has been Chairman of the Stanford University Immunology Program since 1986. Dr. Weissman was a cofounder of SyStemix, Inc., and Chairman of its Scientific Advisory Board. He has served on the Scientific Advisory Boards of Amgen Inc., DNAX and T-Cell Sciences, Inc. Dr. Weissman is a member of the National Academy of Sciences and also serves as Chairman of our Scientific Advisory Board. He also serves as Chief Executive Officer and a member of the Board of Managers of Celtrans, LLC.</w:t>
      </w:r>
    </w:p>
    <w:p>
      <w:pPr>
        <w:spacing w:after="0" w:line="354"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Restated Certificate of Incorporation and Amended and Restated By-laws provide for the classification of the board of directors into three classes, as nearly equal in number as possible, with the term of office of one class expiring each year. There are no family relationships between any of our directors or executive officers. Our executive officers are elected by, and serve at the discretion of, the board of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6"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Our board of directors has an audit committee and compensation committee. The board may also establish other committees to assist in the discharge of its responsibilities.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audit committee oversees our financial reporting process on behalf of the board of directors, makes recommendations to the board regarding the independent auditors to be nominated for election by the stockholders, reviews the independence of such auditors, approves the scope of their annual audit activities, reviews their audit results, assures that our financial reporting is of high quality, and reviews the interim financial statements with our management and the independent auditors prior to the filing of our Quarterly Report on Form 10-Q. The audit committee is currently comprised of Dr. Schwartz and Dr. Kennedy.</w:t>
      </w:r>
    </w:p>
    <w:p>
      <w:pPr>
        <w:spacing w:after="0" w:line="17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duties of the compensation committee are to make recommendations to the board and our management concerning salaries in general, determine executive compensation, and approve incentive compensation. The compensation committee is currently comprised of Mr. Levin and Dr. Schwartz.</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63" w:right="1440" w:bottom="1440" w:gutter="0" w:footer="0" w:header="0"/>
        </w:sectPr>
      </w:pPr>
    </w:p>
    <w:bookmarkStart w:id="44" w:name="page45"/>
    <w:bookmarkEnd w:id="44"/>
    <w:p>
      <w:pPr>
        <w:jc w:val="center"/>
        <w:ind w:right="4212"/>
        <w:spacing w:after="0"/>
        <w:rPr>
          <w:sz w:val="20"/>
          <w:szCs w:val="20"/>
          <w:color w:val="auto"/>
        </w:rPr>
      </w:pPr>
      <w:r>
        <w:rPr>
          <w:rFonts w:ascii="Courier New" w:cs="Courier New" w:eastAsia="Courier New" w:hAnsi="Courier New"/>
          <w:sz w:val="15"/>
          <w:szCs w:val="15"/>
          <w:color w:val="auto"/>
        </w:rPr>
        <w:t>EXECUTIVE COMPENSATION</w:t>
      </w:r>
    </w:p>
    <w:p>
      <w:pPr>
        <w:spacing w:after="0" w:line="176" w:lineRule="exact"/>
        <w:rPr>
          <w:sz w:val="20"/>
          <w:szCs w:val="20"/>
          <w:color w:val="auto"/>
        </w:rPr>
      </w:pPr>
    </w:p>
    <w:p>
      <w:pPr>
        <w:ind w:left="8" w:right="4300" w:firstLine="358"/>
        <w:spacing w:after="0" w:line="242" w:lineRule="auto"/>
        <w:rPr>
          <w:sz w:val="20"/>
          <w:szCs w:val="20"/>
          <w:color w:val="auto"/>
        </w:rPr>
      </w:pPr>
      <w:r>
        <w:rPr>
          <w:rFonts w:ascii="Courier New" w:cs="Courier New" w:eastAsia="Courier New" w:hAnsi="Courier New"/>
          <w:sz w:val="15"/>
          <w:szCs w:val="15"/>
          <w:color w:val="auto"/>
        </w:rPr>
        <w:t>The following table sets forth the compensation paid by us to our Chief Executive Officer during the three most recent fiscal years ended December 31, and the two other most highly compensated executive officers who served in such capacities during the fiscal year ended December 31, 1999 but who were not serving in such capacities as of the end of such fiscal year. There were no other persons serving as executive officers at the end of such fiscal year.</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SUMMARY COMPENSATION TABLE</w:t>
            </w: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860"/>
        </w:trPr>
        <w:tc>
          <w:tcPr>
            <w:tcW w:w="2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00" w:type="dxa"/>
            <w:vAlign w:val="bottom"/>
            <w:gridSpan w:val="2"/>
          </w:tcPr>
          <w:p>
            <w:pPr>
              <w:jc w:val="right"/>
              <w:ind w:right="1045"/>
              <w:spacing w:after="0"/>
              <w:rPr>
                <w:sz w:val="20"/>
                <w:szCs w:val="20"/>
                <w:color w:val="auto"/>
              </w:rPr>
            </w:pPr>
            <w:r>
              <w:rPr>
                <w:rFonts w:ascii="Courier New" w:cs="Courier New" w:eastAsia="Courier New" w:hAnsi="Courier New"/>
                <w:sz w:val="15"/>
                <w:szCs w:val="15"/>
                <w:color w:val="auto"/>
              </w:rPr>
              <w:t>AWARDS</w:t>
            </w:r>
          </w:p>
        </w:tc>
        <w:tc>
          <w:tcPr>
            <w:tcW w:w="1400" w:type="dxa"/>
            <w:vAlign w:val="bottom"/>
          </w:tcPr>
          <w:p>
            <w:pPr>
              <w:spacing w:after="0"/>
              <w:rPr>
                <w:sz w:val="24"/>
                <w:szCs w:val="2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LONG TERM</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40" w:type="dxa"/>
            <w:vAlign w:val="bottom"/>
            <w:gridSpan w:val="3"/>
          </w:tcPr>
          <w:p>
            <w:pPr>
              <w:jc w:val="right"/>
              <w:ind w:right="1125"/>
              <w:spacing w:after="0"/>
              <w:rPr>
                <w:sz w:val="20"/>
                <w:szCs w:val="20"/>
                <w:color w:val="auto"/>
              </w:rPr>
            </w:pPr>
            <w:r>
              <w:rPr>
                <w:rFonts w:ascii="Courier New" w:cs="Courier New" w:eastAsia="Courier New" w:hAnsi="Courier New"/>
                <w:sz w:val="15"/>
                <w:szCs w:val="15"/>
                <w:color w:val="auto"/>
              </w:rPr>
              <w:t>ANNUAL COMPENSATION</w:t>
            </w:r>
          </w:p>
        </w:tc>
        <w:tc>
          <w:tcPr>
            <w:tcW w:w="250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COMPENSATION</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3"/>
              </w:rPr>
              <w:t>-----------------------------------------</w:t>
            </w:r>
          </w:p>
        </w:tc>
        <w:tc>
          <w:tcPr>
            <w:tcW w:w="17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RESTRICTED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OTHER ANNUAL</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UNDERLYING</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w w:val="97"/>
              </w:rPr>
              <w:t>NAME AND PRINCIPAL POSITION</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YEAR</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SALARY($)</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BONUS($)</w:t>
            </w:r>
          </w:p>
        </w:tc>
        <w:tc>
          <w:tcPr>
            <w:tcW w:w="1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COMPENSATION ($)</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AWARDS($)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OPTIONS (#)</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w w:val="91"/>
              </w:rPr>
              <w:t>- ---------------------------</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279,974</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4667(2)</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286,553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150,000(3)</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11,330(4)</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Officer(1)</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68,750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300,000(5)</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76,268(6)</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Phillip K. Yachmetz......</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406,731(8)</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12,000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71,355(9)</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155,780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75,000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86,695(10)</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And General Counsel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Acting Chief Financial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Officer and Treasurer(7)</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195,176(12)</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18,000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7,921(13)</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Chief</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188,957</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67,875(14)</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Technical Officer Cell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Encapsulation (11)</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66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6" w:lineRule="exact"/>
        <w:rPr>
          <w:rFonts w:ascii="Courier New" w:cs="Courier New" w:eastAsia="Courier New" w:hAnsi="Courier New"/>
          <w:sz w:val="15"/>
          <w:szCs w:val="15"/>
          <w:color w:val="auto"/>
        </w:rPr>
      </w:pPr>
    </w:p>
    <w:p>
      <w:pPr>
        <w:ind w:left="348" w:right="422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176" w:lineRule="exact"/>
        <w:rPr>
          <w:rFonts w:ascii="Courier New" w:cs="Courier New" w:eastAsia="Courier New" w:hAnsi="Courier New"/>
          <w:sz w:val="15"/>
          <w:szCs w:val="15"/>
          <w:color w:val="auto"/>
        </w:rPr>
      </w:pPr>
    </w:p>
    <w:p>
      <w:pPr>
        <w:ind w:left="348" w:right="422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175" w:lineRule="exact"/>
        <w:rPr>
          <w:rFonts w:ascii="Courier New" w:cs="Courier New" w:eastAsia="Courier New" w:hAnsi="Courier New"/>
          <w:sz w:val="15"/>
          <w:szCs w:val="15"/>
          <w:color w:val="auto"/>
        </w:rPr>
      </w:pPr>
    </w:p>
    <w:p>
      <w:pPr>
        <w:ind w:left="348" w:right="4740" w:hanging="348"/>
        <w:spacing w:after="0" w:line="274" w:lineRule="auto"/>
        <w:tabs>
          <w:tab w:leader="none" w:pos="34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401(k)Plan.</w:t>
      </w:r>
    </w:p>
    <w:p>
      <w:pPr>
        <w:spacing w:after="0" w:line="153" w:lineRule="exact"/>
        <w:rPr>
          <w:rFonts w:ascii="Courier New" w:cs="Courier New" w:eastAsia="Courier New" w:hAnsi="Courier New"/>
          <w:sz w:val="14"/>
          <w:szCs w:val="14"/>
          <w:color w:val="auto"/>
        </w:rPr>
      </w:pPr>
    </w:p>
    <w:p>
      <w:pPr>
        <w:ind w:left="348" w:right="422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option grant for 200,000 shares was reduced to 150,000 shares upon there pricing of the grant effective as of July 10, 1998 at a price of $1.28 per share.</w:t>
      </w:r>
    </w:p>
    <w:p>
      <w:pPr>
        <w:spacing w:after="0" w:line="176" w:lineRule="exact"/>
        <w:rPr>
          <w:rFonts w:ascii="Courier New" w:cs="Courier New" w:eastAsia="Courier New" w:hAnsi="Courier New"/>
          <w:sz w:val="15"/>
          <w:szCs w:val="15"/>
          <w:color w:val="auto"/>
        </w:rPr>
      </w:pPr>
    </w:p>
    <w:p>
      <w:pPr>
        <w:ind w:left="348" w:right="430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advance for relocation expenses of $75,000 and fair market value of $1,268 of our matching contributions of common stock to Dr. Rose's account in our 401(k) plan.</w:t>
      </w:r>
    </w:p>
    <w:p>
      <w:pPr>
        <w:spacing w:after="0" w:line="176" w:lineRule="exact"/>
        <w:rPr>
          <w:rFonts w:ascii="Courier New" w:cs="Courier New" w:eastAsia="Courier New" w:hAnsi="Courier New"/>
          <w:sz w:val="15"/>
          <w:szCs w:val="15"/>
          <w:color w:val="auto"/>
        </w:rPr>
      </w:pPr>
    </w:p>
    <w:p>
      <w:pPr>
        <w:ind w:left="348" w:right="466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Yachmetz was appointed Acting Chief Financial Officer and Treasurer effective as of April 2, 1999. The term of Mr. Yachmetz' Employment Agreement expired on October 31, 1999.</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1368"/>
          </w:cols>
          <w:pgMar w:left="232" w:top="461" w:right="299" w:bottom="1440" w:gutter="0" w:footer="0" w:header="0"/>
        </w:sectPr>
      </w:pPr>
    </w:p>
    <w:bookmarkStart w:id="45" w:name="page46"/>
    <w:bookmarkEnd w:id="45"/>
    <w:p>
      <w:pPr>
        <w:jc w:val="both"/>
        <w:ind w:left="348" w:right="3159" w:hanging="348"/>
        <w:spacing w:after="0" w:line="241" w:lineRule="auto"/>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$204,807 of compensation and accrued and unused vacation paid upon the expiration of Mr. Yachmetz' Employment Agreement in accordance with the terms of such agreement.</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$15,304 as the fair market value of 9,601 shares of our common stock earned in 1998 and issued in 1999, $3,990 of fair market value of our matching contributions of common stock to Mr. Yachmetz' account in our 401(k) Plan and $52,061 of temporary living and relocation expenses adjusted for taxes.</w:t>
      </w:r>
    </w:p>
    <w:p>
      <w:pPr>
        <w:spacing w:after="0" w:line="175" w:lineRule="exact"/>
        <w:rPr>
          <w:rFonts w:ascii="Courier New" w:cs="Courier New" w:eastAsia="Courier New" w:hAnsi="Courier New"/>
          <w:sz w:val="15"/>
          <w:szCs w:val="15"/>
          <w:color w:val="auto"/>
        </w:rPr>
      </w:pPr>
    </w:p>
    <w:p>
      <w:pPr>
        <w:ind w:left="348" w:right="3079" w:hanging="348"/>
        <w:spacing w:after="0" w:line="242"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$14,724 of temporary living and relocation expenses adjusted for taxes paid to Mr. Yachmetz and personal use of a company vehicle. Also represents $1,827 of fair market value of our matching contributions of common stock to Mr. Yachmetz' account in our 401(k) Plan.</w:t>
      </w:r>
    </w:p>
    <w:p>
      <w:pPr>
        <w:spacing w:after="0" w:line="174" w:lineRule="exact"/>
        <w:rPr>
          <w:rFonts w:ascii="Courier New" w:cs="Courier New" w:eastAsia="Courier New" w:hAnsi="Courier New"/>
          <w:sz w:val="15"/>
          <w:szCs w:val="15"/>
          <w:color w:val="auto"/>
        </w:rPr>
      </w:pPr>
    </w:p>
    <w:p>
      <w:pPr>
        <w:ind w:left="348" w:right="3159" w:hanging="348"/>
        <w:spacing w:after="0" w:line="241"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Goddard resigned as a director and officer of the company effective as of August 30, 1999 and served as a consultant to the company through March 28, 2000.</w:t>
      </w:r>
    </w:p>
    <w:p>
      <w:pPr>
        <w:spacing w:after="0" w:line="176" w:lineRule="exact"/>
        <w:rPr>
          <w:rFonts w:ascii="Courier New" w:cs="Courier New" w:eastAsia="Courier New" w:hAnsi="Courier New"/>
          <w:sz w:val="15"/>
          <w:szCs w:val="15"/>
          <w:color w:val="auto"/>
        </w:rPr>
      </w:pPr>
    </w:p>
    <w:p>
      <w:pPr>
        <w:ind w:left="348" w:right="3079" w:hanging="348"/>
        <w:spacing w:after="0"/>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$70,945 of compensation paid to Dr. Goddard in accordance with the severance agreement entered into with us.</w:t>
      </w:r>
    </w:p>
    <w:p>
      <w:pPr>
        <w:spacing w:after="0" w:line="176" w:lineRule="exact"/>
        <w:rPr>
          <w:rFonts w:ascii="Courier New" w:cs="Courier New" w:eastAsia="Courier New" w:hAnsi="Courier New"/>
          <w:sz w:val="15"/>
          <w:szCs w:val="15"/>
          <w:color w:val="auto"/>
        </w:rPr>
      </w:pPr>
    </w:p>
    <w:p>
      <w:pPr>
        <w:ind w:left="348" w:right="3699" w:hanging="348"/>
        <w:spacing w:after="0"/>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market value of 4,687 shares of our common stock granted to Dr. Goddard through our 1992 Equity Incentive Plan.</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options in the total original amount of 90,500 shares which was reduced to 67,875 shares as a result of the employee equity incentive repricing plan approved by the Board of Directors on July 10, 1998.</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463" w:right="1440" w:bottom="1440" w:gutter="0" w:footer="0" w:header="0"/>
        </w:sectPr>
      </w:pPr>
    </w:p>
    <w:bookmarkStart w:id="46" w:name="page47"/>
    <w:bookmarkEnd w:id="46"/>
    <w:p>
      <w:pPr>
        <w:ind w:left="2688"/>
        <w:spacing w:after="0"/>
        <w:rPr>
          <w:sz w:val="20"/>
          <w:szCs w:val="20"/>
          <w:color w:val="auto"/>
        </w:rPr>
      </w:pPr>
      <w:r>
        <w:rPr>
          <w:rFonts w:ascii="Courier New" w:cs="Courier New" w:eastAsia="Courier New" w:hAnsi="Courier New"/>
          <w:sz w:val="15"/>
          <w:szCs w:val="15"/>
          <w:color w:val="auto"/>
        </w:rPr>
        <w:t>SELLING STOCKHOLDERS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SALES BY MEMBERS OF THE COMPANY'S BOARD</w:t>
      </w:r>
    </w:p>
    <w:p>
      <w:pPr>
        <w:spacing w:after="0" w:line="176" w:lineRule="exact"/>
        <w:rPr>
          <w:sz w:val="20"/>
          <w:szCs w:val="20"/>
          <w:color w:val="auto"/>
        </w:rPr>
      </w:pPr>
    </w:p>
    <w:p>
      <w:pPr>
        <w:ind w:left="8" w:right="3959" w:firstLine="358"/>
        <w:spacing w:after="0" w:line="260" w:lineRule="auto"/>
        <w:rPr>
          <w:sz w:val="20"/>
          <w:szCs w:val="20"/>
          <w:color w:val="auto"/>
        </w:rPr>
      </w:pPr>
      <w:r>
        <w:rPr>
          <w:rFonts w:ascii="Courier New" w:cs="Courier New" w:eastAsia="Courier New" w:hAnsi="Courier New"/>
          <w:sz w:val="14"/>
          <w:szCs w:val="14"/>
          <w:color w:val="auto"/>
        </w:rPr>
        <w:t>Dr. Irving Weissman and Mark J. Levin, two members of our Board of Directors, will be selling shares of common stock in this offering.</w:t>
      </w:r>
    </w:p>
    <w:p>
      <w:pPr>
        <w:ind w:left="8" w:right="3159"/>
        <w:spacing w:after="0" w:line="260" w:lineRule="auto"/>
        <w:rPr>
          <w:sz w:val="20"/>
          <w:szCs w:val="20"/>
          <w:color w:val="auto"/>
        </w:rPr>
      </w:pPr>
      <w:r>
        <w:rPr>
          <w:rFonts w:ascii="Courier New" w:cs="Courier New" w:eastAsia="Courier New" w:hAnsi="Courier New"/>
          <w:sz w:val="14"/>
          <w:szCs w:val="14"/>
          <w:color w:val="auto"/>
        </w:rPr>
        <w:t>Dr. Weissman and Mr. Levin acquired their shares pursuant to a 6% cumulative convertible preferred stock financing in April, 2000, which is described in the section titled "Relationships and Transactions with Certain Related Parties." Both Dr. Weissman and Mr. Levin are party to a registration rights agreement in which we agreed to register their shares of Common Stock upon their request and to use our best efforts to keep the registration statement effective for five</w:t>
      </w:r>
    </w:p>
    <w:p>
      <w:pPr>
        <w:spacing w:after="0" w:line="1" w:lineRule="exact"/>
        <w:rPr>
          <w:sz w:val="20"/>
          <w:szCs w:val="20"/>
          <w:color w:val="auto"/>
        </w:rPr>
      </w:pPr>
    </w:p>
    <w:p>
      <w:pPr>
        <w:jc w:val="both"/>
        <w:ind w:left="8" w:right="3439" w:hanging="8"/>
        <w:spacing w:after="0" w:line="242" w:lineRule="auto"/>
        <w:tabs>
          <w:tab w:leader="none" w:pos="36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or until all of their registered shares of StemCells, Inc. Common Stock are sold, whichever comes first. Registration of these shares does not necessarily mean that the selling stockholders will sell all or any of the shares.</w:t>
      </w:r>
    </w:p>
    <w:p>
      <w:pPr>
        <w:spacing w:after="0" w:line="17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material relationships between Dr. Weissman, Mr. Levin and StemCells, Inc. are as follows: Mark J. Levin is a Class I Director, and from inception until January 1990 and from May 1990 until February 1991, he served as our President and acting Chief Executive Officer. Irving L. Weissman, M.D. is a Class II Director. In addition, both Dr. Weissman and Mr. Levin may donate or transfer as gifts some or all of their StemCells, Inc. shares, or may transfer their shares for no value to other beneficial owners. The selling stockholders will include these donees or transferees as selling stockholders in a prospectus supplement if the donees or transferees wish to use this prospectus to re-offer the shares.</w:t>
      </w:r>
    </w:p>
    <w:p>
      <w:pPr>
        <w:spacing w:after="0" w:line="177"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SALES BY MILLENNIUM PARTNERS, L.P.</w:t>
      </w:r>
    </w:p>
    <w:p>
      <w:pPr>
        <w:spacing w:after="0" w:line="348"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Millennium Partners, L.P. and May Davis Group, Inc. and four of its affiliates also will be selling shares in this offering. On August 3, 2000, we issued 923,521 shares of Common Stock to Millennium Partners, L.P., or the Fund. At the same time we also issued to Millennium Partners a callable warrant to purchase 101,587 shares of Common Stock and an adjustable warrant for a number of shares, to be determined on eight dates beginning six months after the closing and then every three months thereafter. On August 30, 2000 we issued an additional 180,914 shares to the Fund, together with a callable warrant to purchase 19,900 shares of Common Stock and an adjustable warrant for a number of shares, to be determined on eight dates beginning six months after the closing and then every three months thereafter. On November 1, 2000, we agreed with Millennium to cancel the adjustable warrant issued on August 30, 2000 and to decrease the number of shares for which the adjustable warrant issued on August 3, 2000 may be exercisable. In connection with the Millennium Partners transaction, we issued warrants for a total of 100,000 shares of Common Stock to May Davis Group, Inc., who acted as placement agent for the transaction, and four of its affiliates. These warrants expire on August 3, 2005.</w:t>
      </w:r>
    </w:p>
    <w:p>
      <w:pPr>
        <w:spacing w:after="0" w:line="200" w:lineRule="exact"/>
        <w:rPr>
          <w:sz w:val="20"/>
          <w:szCs w:val="20"/>
          <w:color w:val="auto"/>
        </w:rPr>
      </w:pPr>
    </w:p>
    <w:p>
      <w:pPr>
        <w:spacing w:after="0" w:line="309"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We entered into a registration rights agreement with Millennium Partners in which we agreed to register the shares of Common Stock purchased by Millennium partners and issuable upon exercise of the warrants issued to Millennium Partners. We agreed to use commercially reasonable efforts to keep the registration statement in effect for five years, until all shares covered by the registration statement are eligible for resale pursuant to Rule 144(k), or until Millennium Partners and its transferees no longer hold the shares covered by the registration statement, whichever occurs first. We also agreed to include in this registration statement the shares issuable upon exercise of the warrants issued to May Davis and its affiliates.</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7"/>
          </w:cols>
          <w:pgMar w:left="232" w:top="461" w:right="1440" w:bottom="1440" w:gutter="0" w:footer="0" w:header="0"/>
        </w:sectPr>
      </w:pPr>
    </w:p>
    <w:bookmarkStart w:id="47" w:name="page48"/>
    <w:bookmarkEnd w:id="47"/>
    <w:p>
      <w:pPr>
        <w:jc w:val="center"/>
        <w:ind w:right="3159"/>
        <w:spacing w:after="0"/>
        <w:rPr>
          <w:sz w:val="20"/>
          <w:szCs w:val="20"/>
          <w:color w:val="auto"/>
        </w:rPr>
      </w:pPr>
      <w:r>
        <w:rPr>
          <w:rFonts w:ascii="Courier New" w:cs="Courier New" w:eastAsia="Courier New" w:hAnsi="Courier New"/>
          <w:sz w:val="15"/>
          <w:szCs w:val="15"/>
          <w:color w:val="auto"/>
        </w:rPr>
        <w:t>SECURITY OWNERSHIP OF THE SELLING STOCKHOLDERS, CERTAIN BENEFICIAL OWNERS AND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w:t>
      </w:r>
    </w:p>
    <w:p>
      <w:pPr>
        <w:spacing w:after="0" w:line="176"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The following table shows information regarding the beneficial ownership of our common stock as of August 30, 2000 for:</w:t>
      </w:r>
    </w:p>
    <w:p>
      <w:pPr>
        <w:spacing w:after="0" w:line="176" w:lineRule="exact"/>
        <w:rPr>
          <w:sz w:val="20"/>
          <w:szCs w:val="20"/>
          <w:color w:val="auto"/>
        </w:rPr>
      </w:pPr>
    </w:p>
    <w:p>
      <w:pPr>
        <w:ind w:left="520" w:right="3079"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known by us to own beneficially more than 5% of the outstanding shares of common stock;</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176"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The address for each listed director and officer is c/o StemCells, Inc., 525 Del Rey Avenue, Suite C, Sunnyvale, CA 94085.</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determined beneficial ownership in the table in accordance with the rules of the Securities and Exchange Commission. In computing the number of shares beneficially owned by a person and the percentage ownership of that person, we have deemed to be outstanding shares of common stock subject to options or warrants held by that person that are currently exercisable or will become exercisable within 60 days of August 15, 2000, assuming that this offering occurs in that 60-day period, but we have not deemed these shares to be outstanding for computing the percentage ownership of any other person. The shares listed below for the selling stockholders represent all of the shares that each selling stockholder currently beneficially owns, the number of shares each of them may offer and the number of shares each of them will own after the offering assuming they sell all of the shares. To our knowledge, except as set forth in the footnotes below, each stockholder identified in the table possesses sole voting and investment power with respect to all shares of common stock shown as beneficially owned by that stockholder. Beneficial ownership percentage is based on 20,538,742 shares of our common stock outstanding on August 15, 2000 and as adjusted for unexercised options and warrants as of that date as noted below and 180,914 shares and 19,900 warrants issued to one of the Selling Shareholders on August 30, 2000.</w:t>
      </w:r>
    </w:p>
    <w:p>
      <w:pPr>
        <w:spacing w:after="0" w:line="35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number of shares of our Common Stock that will be issuable upon exercise of the warrants issued to Millennium Partners is based upon fluctuations in the market price and the number of shares of our Common Stock that will be issuable upon conversion of the Preferred Stock held by Messrs. Weissman and Levin is subject to anti-dilution provisions, so the actual number of shares of our Common Stock that will be issuable and beneficially owned upon exercise of the warrants and conversion of the Preferred Stock cannot be determined at this time. As a result, we have agreed to register, and in this registration statement of which this prospectus is a part, we are registering a number of shares of Common Stock that is greater than the number of shares of Common Stock currently beneficially owned by the selling stockholders.</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61" w:right="1440" w:bottom="1440" w:gutter="0" w:footer="0" w:header="0"/>
        </w:sectPr>
      </w:pPr>
    </w:p>
    <w:bookmarkStart w:id="48" w:name="page49"/>
    <w:bookmarkEnd w:id="48"/>
    <w:p>
      <w:pPr>
        <w:ind w:left="8" w:right="3159" w:firstLine="358"/>
        <w:spacing w:after="0" w:line="241" w:lineRule="auto"/>
        <w:rPr>
          <w:sz w:val="20"/>
          <w:szCs w:val="20"/>
          <w:color w:val="auto"/>
        </w:rPr>
      </w:pPr>
      <w:r>
        <w:rPr>
          <w:rFonts w:ascii="Courier New" w:cs="Courier New" w:eastAsia="Courier New" w:hAnsi="Courier New"/>
          <w:sz w:val="15"/>
          <w:szCs w:val="15"/>
          <w:color w:val="auto"/>
        </w:rPr>
        <w:t>The selling stockholders may offer all or some of their shares. All numbers in the following table are based on information obtained by questionnaires received by the company.</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8"/>
              </w:rPr>
              <w:t>SHARES OF COMMON</w:t>
            </w:r>
          </w:p>
        </w:tc>
      </w:tr>
      <w:tr>
        <w:trPr>
          <w:trHeight w:val="172"/>
        </w:trPr>
        <w:tc>
          <w:tcPr>
            <w:tcW w:w="3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STOCK BENEFICIALLY</w:t>
            </w: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SHARES OF COMMON STOCK</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SHARES OF COMMON</w:t>
            </w: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8"/>
              </w:rPr>
              <w:t>OWNED AFTER THIS</w:t>
            </w: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BENEFICIALLY OWNED PRIOR TO</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STOCK OFFERED</w:t>
            </w: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7"/>
              </w:rPr>
              <w:t>OFFERING</w:t>
            </w: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845"/>
              <w:spacing w:after="0"/>
              <w:rPr>
                <w:sz w:val="20"/>
                <w:szCs w:val="20"/>
                <w:color w:val="auto"/>
              </w:rPr>
            </w:pPr>
            <w:r>
              <w:rPr>
                <w:rFonts w:ascii="Courier New" w:cs="Courier New" w:eastAsia="Courier New" w:hAnsi="Courier New"/>
                <w:sz w:val="15"/>
                <w:szCs w:val="15"/>
                <w:color w:val="auto"/>
              </w:rPr>
              <w:t>THIS OFFERING</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HEREBY</w:t>
            </w:r>
          </w:p>
        </w:tc>
        <w:tc>
          <w:tcPr>
            <w:tcW w:w="2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NUMBER</w:t>
            </w:r>
          </w:p>
        </w:tc>
        <w:tc>
          <w:tcPr>
            <w:tcW w:w="108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NUMBER OF</w:t>
            </w:r>
          </w:p>
        </w:tc>
        <w:tc>
          <w:tcPr>
            <w:tcW w:w="1200" w:type="dxa"/>
            <w:vAlign w:val="bottom"/>
          </w:tcPr>
          <w:p>
            <w:pPr>
              <w:spacing w:after="0"/>
              <w:rPr>
                <w:sz w:val="14"/>
                <w:szCs w:val="14"/>
                <w:color w:val="auto"/>
              </w:rPr>
            </w:pP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NUMBER OF</w:t>
            </w: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OF</w:t>
            </w:r>
          </w:p>
        </w:tc>
        <w:tc>
          <w:tcPr>
            <w:tcW w:w="108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SHARES</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PERCENTAGE</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SHARES</w:t>
            </w: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SHARES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PERCENTAGE</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9,234(1)</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9,234</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390,726(2)</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472,743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154,287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0.7</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139,180(3)</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0.7</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139,180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0.7</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Irving Weissman, M.D...............</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600,298(4)</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2.9</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472,743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363,859</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50,000(5)</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officers as a group (5</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persons).........................</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1,189,439(6)</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5.6</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945,486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716,561</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Millennium Partners, L.P.**........</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1,225,922(7)</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5.9</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2,160,000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May Davis Group....................</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100,000(8)</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0.5</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100,000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8" w:hanging="188"/>
        <w:spacing w:after="0"/>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0.1%</w:t>
      </w:r>
    </w:p>
    <w:p>
      <w:pPr>
        <w:spacing w:after="0" w:line="176" w:lineRule="exact"/>
        <w:rPr>
          <w:sz w:val="20"/>
          <w:szCs w:val="20"/>
          <w:color w:val="auto"/>
        </w:rPr>
      </w:pPr>
    </w:p>
    <w:p>
      <w:pPr>
        <w:ind w:left="348" w:right="3439" w:hanging="348"/>
        <w:spacing w:after="0" w:line="242"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 a Cayman Islands limited partnership, is a private investment partnership whose general partners are Millennium Management, L.L.C., a Delaware limited liability company whose managing member is Israel A. Englander, and Englander (Cayman Islands) Limited, a Cayman Islands exempted company. Both Millennium Management, L.L.C., and Englander (Cayman Islands) Limited are controlled by Mr. Englander.</w:t>
      </w:r>
    </w:p>
    <w:p>
      <w:pPr>
        <w:spacing w:after="0" w:line="176" w:lineRule="exact"/>
        <w:rPr>
          <w:sz w:val="20"/>
          <w:szCs w:val="20"/>
          <w:color w:val="auto"/>
        </w:rPr>
      </w:pPr>
    </w:p>
    <w:p>
      <w:pPr>
        <w:ind w:left="348" w:right="3339"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9,234 shares issuable upon exercise of stock options exercisable within 60 days.</w:t>
      </w:r>
    </w:p>
    <w:p>
      <w:pPr>
        <w:spacing w:after="0" w:line="176"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27,555 shares issuable upon exercise of stock options exercisable within 60 days. Includes 198,871 shares issuable upon conversion of cumulative convertible preferred shares at the currently applicable conversion price, and a warrant to purchase 37,500 shares.</w:t>
      </w:r>
    </w:p>
    <w:p>
      <w:pPr>
        <w:spacing w:after="0" w:line="174" w:lineRule="exact"/>
        <w:rPr>
          <w:rFonts w:ascii="Courier New" w:cs="Courier New" w:eastAsia="Courier New" w:hAnsi="Courier New"/>
          <w:sz w:val="15"/>
          <w:szCs w:val="15"/>
          <w:color w:val="auto"/>
        </w:rPr>
      </w:pPr>
    </w:p>
    <w:p>
      <w:pPr>
        <w:ind w:left="348" w:right="3159"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139,180 shares issuable upon exercise of stock options exercisable within 60 days.</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31,250 shares issuable upon exercise of stock options exercisable within 60 days and 7,160 shares issuable upon exercise of warrants exercisable within 60 days. Includes 198,871 shares issuable upon conversion of 6% cumulative convertible preferred shares at the currently applicable conversion price. Includes a total of 50,791 shares owned by trusts for the benefit of Dr. Weissman's children as to which he disclaims beneficial ownership. Also includes a warrant to purchase 37,500 shares.</w:t>
      </w:r>
    </w:p>
    <w:p>
      <w:pPr>
        <w:spacing w:after="0" w:line="176" w:lineRule="exact"/>
        <w:rPr>
          <w:rFonts w:ascii="Courier New" w:cs="Courier New" w:eastAsia="Courier New" w:hAnsi="Courier New"/>
          <w:sz w:val="15"/>
          <w:szCs w:val="15"/>
          <w:color w:val="auto"/>
        </w:rPr>
      </w:pPr>
    </w:p>
    <w:p>
      <w:pPr>
        <w:ind w:left="348" w:right="3259" w:hanging="348"/>
        <w:spacing w:after="0" w:line="241"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50,000 shares issuable upon exercise of stock options exercisable within 60 days. Mr. Dunbar was appointed Acting President and Chief Executive Officer of our wholly owned subsidiary, StemCells</w:t>
      </w:r>
    </w:p>
    <w:p>
      <w:pPr>
        <w:spacing w:after="0" w:line="4" w:lineRule="exact"/>
        <w:rPr>
          <w:rFonts w:ascii="Courier New" w:cs="Courier New" w:eastAsia="Courier New" w:hAnsi="Courier New"/>
          <w:sz w:val="15"/>
          <w:szCs w:val="15"/>
          <w:color w:val="auto"/>
        </w:rPr>
      </w:pPr>
    </w:p>
    <w:p>
      <w:pPr>
        <w:ind w:left="348"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California, Inc., effective as of November 8, 1999, and was appointed Acting President and Chief Executive Officer of the company effective as of February 1, 2000.</w:t>
      </w:r>
    </w:p>
    <w:p>
      <w:pPr>
        <w:spacing w:after="0" w:line="176" w:lineRule="exact"/>
        <w:rPr>
          <w:rFonts w:ascii="Courier New" w:cs="Courier New" w:eastAsia="Courier New" w:hAnsi="Courier New"/>
          <w:sz w:val="15"/>
          <w:szCs w:val="15"/>
          <w:color w:val="auto"/>
        </w:rPr>
      </w:pPr>
    </w:p>
    <w:p>
      <w:pPr>
        <w:ind w:left="348" w:right="3519"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339,379 shares exercisable upon exercise of warrants and stock options exercisable within 60 days.</w:t>
      </w:r>
    </w:p>
    <w:p>
      <w:pPr>
        <w:spacing w:after="0" w:line="176"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180,914 shares issued as of August 30, 2000 and 19,900 shares issuable upon exercise of warrants issued together with those shares. Includes 101,587 shares issuable upon exercise of warrants issued August 3, 2000.</w:t>
      </w:r>
    </w:p>
    <w:p>
      <w:pPr>
        <w:spacing w:after="0" w:line="174" w:lineRule="exact"/>
        <w:rPr>
          <w:rFonts w:ascii="Courier New" w:cs="Courier New" w:eastAsia="Courier New" w:hAnsi="Courier New"/>
          <w:sz w:val="15"/>
          <w:szCs w:val="15"/>
          <w:color w:val="auto"/>
        </w:rPr>
      </w:pPr>
    </w:p>
    <w:p>
      <w:pPr>
        <w:ind w:left="348" w:right="3259"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issuable upon exercise of warrants held by four affiliates of May Davis Group.</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463" w:right="1440" w:bottom="1440" w:gutter="0" w:footer="0" w:header="0"/>
        </w:sectPr>
      </w:pPr>
    </w:p>
    <w:bookmarkStart w:id="49" w:name="page50"/>
    <w:bookmarkEnd w:id="49"/>
    <w:p>
      <w:pPr>
        <w:ind w:left="1340"/>
        <w:spacing w:after="0"/>
        <w:rPr>
          <w:sz w:val="20"/>
          <w:szCs w:val="20"/>
          <w:color w:val="auto"/>
        </w:rPr>
      </w:pPr>
      <w:r>
        <w:rPr>
          <w:rFonts w:ascii="Courier New" w:cs="Courier New" w:eastAsia="Courier New" w:hAnsi="Courier New"/>
          <w:sz w:val="15"/>
          <w:szCs w:val="15"/>
          <w:color w:val="auto"/>
        </w:rPr>
        <w:t>RELATIONSHIP AND TRANSACTIONS WITH RELATED PARTIES</w:t>
      </w:r>
    </w:p>
    <w:p>
      <w:pPr>
        <w:spacing w:after="0" w:line="348"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us rendering strategic business advice and consulting services, including assistance in the negotiation and consummation of strategic collaboration transactions specified by us. Under terms of an agreement dated December 19, 1998, and amended as of July 1, 1999 (the "Letter Agreement") Dr. Schwartz agreed to serve as a Director and Chairman of the Board of Directors of the Company for a term expiring at the 2001 Annual Meeting of Stockholders. The Letter Agreement incorporates certain payments provided for under a consulting services agreement dated July 27, 1998, and amended as of December 19, 1998 (the "Consulting Services Agreement"). As a result, Dr. Schwartz is entitled to a retainer of $192,000 per year plus $1,500 for each Board meeting or Committee meeting (if held at a date and time separate from the Board meeting) physically attended and $500 for each Board meeting or Committee meeting (if held at a date and time separate from the Board meeting) held by conference call, payable quarterly in arrears. Dr. Schwartz is obligated to spend no less than thirty business days per calendar quarter devoted to the performance of his duties under the Letter Agreement. In the event Dr. Schwartz devotes more than thirty business days in any calendar quarter to the performance of his duties, Dr. Schwartz is entitled to receive additional compensation at the rate of $1,500 per day. Under the Letter Agreement,</w:t>
      </w:r>
    </w:p>
    <w:p>
      <w:pPr>
        <w:spacing w:after="0" w:line="16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Schwartz was granted a stock option covering 40,000 shares of Common Stock that vests in equal portions on the last day of each of the 29 months of the term of the Letter Agreement. By virtue of provisions incorporated from the Consulting Services Agreement, Dr. Schwartz also holds an option to purchase 76,000 shares of the Company's Common Stock at $1.281 per share, the fair market value of the Company's Common Stock at the time the option was granted, vesting at a rate of 3,167 shares per month for the ensuing 23 months after the date of the grant, with a final vesting of 3,159 shares in the 24th month, plus another option to purchase 48,000 shares of Common Stock at the then current fair market value of the Company's Common Stock on July 27, 1999, vesting at a rate of 2,000 shares per month. In the event Dr. Schwartz ceases to be Chairman of the Board of Directors, either as a result of an affirmative vote of the Board of Directors for reasons other than cause or due to his disability or his resignation from such position, but remains a Director, his cash compensation and remaining unvested portion of the 40,000-share time-based stock option will be reduced to the then current rate for a Director of the Company, plus $5,000 per month pursuant to the Consulting Services Agreement. In the event</w:t>
      </w:r>
    </w:p>
    <w:p>
      <w:pPr>
        <w:spacing w:after="0" w:line="12" w:lineRule="exact"/>
        <w:rPr>
          <w:sz w:val="20"/>
          <w:szCs w:val="20"/>
          <w:color w:val="auto"/>
        </w:rPr>
      </w:pPr>
    </w:p>
    <w:p>
      <w:pPr>
        <w:jc w:val="both"/>
        <w:ind w:right="3079"/>
        <w:spacing w:after="0" w:line="260" w:lineRule="auto"/>
        <w:rPr>
          <w:sz w:val="20"/>
          <w:szCs w:val="20"/>
          <w:color w:val="auto"/>
        </w:rPr>
      </w:pPr>
      <w:r>
        <w:rPr>
          <w:rFonts w:ascii="Courier New" w:cs="Courier New" w:eastAsia="Courier New" w:hAnsi="Courier New"/>
          <w:sz w:val="14"/>
          <w:szCs w:val="14"/>
          <w:color w:val="auto"/>
        </w:rPr>
        <w:t>Dr. Schwartz ceases to be Chairman of the Board of Directors, either as a result of an affirmative vote of the Board of Directors for reasons other than cause or due to his disability or his resignation from such position, and then he resigns as a Director or is removed as a Director pursuant to the Company's By-laws, the Company shall have no further obligation to pay cash compensation to</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Dr. Schwartz under the Letter Agreement but he would receive $5,000 per month pursuant to the Consulting Services Agreement. Dr. Schwartz shall have one year from such date to exercise the vested portion of the 40,000-share time-based option and any unvested portion of that option shall lapse. In the event</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Schwartz is removed from his positions as Director and Chairman of the Board of Directors for cause, as defined in the Letter Agreement, the Company shall have no further obligation to pay cash compensation to Dr. Schwartz under the Letter Agreement, any unvested portion of the 40,000-share time-based option shall lapse and the exercise of any vested portion shall be governed by the terms of the Company's 1992 Equity Incentive Plan. The termination of the Letter Agreement for any reason shall have no effect on the Consulting Services Agreement, which had an initial term through July 27, 2000 and was renewed on a month-to-month basis, and Dr. Schwartz shall serve as a consultant to the Company rendering strategic business advice and counseling services, including assistance in the negotiation and consummation of strategic collaboration transactions specified by the Company as provided therein. At a meeting of the Board on February 23, 2000, in order to conserve cash and demonstrate his continuing confidence in the Company's future, the Board of Directors, upon the suggestion of Dr. Schwartz, approved a resolution revising the compensation arrangement between Dr. Schwartz and the Company, for the period commencing January 1, 2000. Under this resolution,</w:t>
      </w:r>
    </w:p>
    <w:p>
      <w:pPr>
        <w:spacing w:after="0" w:line="35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61" w:right="1440" w:bottom="1440" w:gutter="0" w:footer="0" w:header="0"/>
        </w:sectPr>
      </w:pPr>
    </w:p>
    <w:bookmarkStart w:id="50" w:name="page51"/>
    <w:bookmarkEnd w:id="50"/>
    <w:p>
      <w:pPr>
        <w:ind w:right="3079"/>
        <w:spacing w:after="0" w:line="242" w:lineRule="auto"/>
        <w:rPr>
          <w:sz w:val="20"/>
          <w:szCs w:val="20"/>
          <w:color w:val="auto"/>
        </w:rPr>
      </w:pPr>
      <w:r>
        <w:rPr>
          <w:rFonts w:ascii="Courier New" w:cs="Courier New" w:eastAsia="Courier New" w:hAnsi="Courier New"/>
          <w:sz w:val="15"/>
          <w:szCs w:val="15"/>
          <w:color w:val="auto"/>
        </w:rPr>
        <w:t>Dr. Schwartz waives any and all cash payments which may accrue to him for his retainer, monthly and meeting fees, and agrees to take, in lieu of such cash payments, compensation in the form of options to purchase shares of the Company's common stock at below-market prices ($0.25 per share). To effectuate the intention of Dr. Schwartz and other members of the Board to change the form but not the amount of compensation, Dr. Schwartz will be granted options covering a number of shares of the Company's common stock such that the difference between the aggregate exercise price of such options and the aggregate market value of the shares underlying such options (using the closing price of the Company's common stock for the date of the subject Board or Committee meeting (if such Committee meeting is not held contemporaneously with a Board meeting) or, with respect to the quarterly or monthly retainer payments of $33,000 and $5,000 respectively, the closing price for the last business day of the quarter or month) is equal to the compensation he is entitled to receive. All options so issued to Dr. Schwartz vest immediately. The Consulting Services Agreement expired under its terms on July 27, 2000 and the board of directors renewed it on a month-to-month basis on September 19, 2000.</w:t>
      </w:r>
    </w:p>
    <w:p>
      <w:pPr>
        <w:spacing w:after="0" w:line="200" w:lineRule="exact"/>
        <w:rPr>
          <w:sz w:val="20"/>
          <w:szCs w:val="20"/>
          <w:color w:val="auto"/>
        </w:rPr>
      </w:pPr>
    </w:p>
    <w:p>
      <w:pPr>
        <w:spacing w:after="0" w:line="32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200,000 shares) or in the event of certain changes of control. We expect to incur a charge of approximately $800,000 during the fourth quarter of 2000 as a result of this change in the option. The Company also agreed to nominate</w:t>
      </w:r>
    </w:p>
    <w:p>
      <w:pPr>
        <w:spacing w:after="0" w:line="1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Weissman for a position on the Board of Directors. The Consulting Agreement contains confidentiality, noncompetition, and assignment of invention provisions and is for a term of ten years, subject to earlier termination by us for cause or frustration of purpose and earlier termination by Dr. Weissman for good reason. Dr. Weissman receives no compensation as a member of the Board of Directors or for attending meetings of the Board or its committees or meetings of our Scientific Advisory Board, but is reimbursed for reasonable expenses he incurs in attending such meetings.</w:t>
      </w:r>
    </w:p>
    <w:p>
      <w:pPr>
        <w:spacing w:after="0" w:line="349"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George W. Dunbar, Jr., Acting President and Chief Executive Officer as of February 1, 2000, was a founding member of iCEO, LLC ("iCEO") in</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September 1999. Mr. Dunbar joined the company as Acting President of StemCells California, Inc., our wholly owned subsidiary, and he still holds this position currently. Under the terms of two agreements dated as of November 17, 1999 and effective as of November 8, 1999, the first between us and iCEO and the second between us and Mr. Dunbar, Mr. Dunbar agreed to serve as Acting President of StemCells California, Inc., our wholly owned subsidiary. Pursuant to the terms of his agreement with us, Mr. Dunbar is entitled to an annual salary of $175,000 and was granted a stock option to purchase 48,000 shares of our common stock that will vest at the rate of 4,000 shares per month commencing on December 6, 1999 and continuing until fully vested so long as he continues to serve as Acting President. The vesting under the option will be accelerated in the event of certain changes of control. Additionally, the agreement provides that the Board will consider once per quarter the grant of an option for an additional 3,000 shares if it is determined that the services rendered by Mr. Dunbar during the preceding quarter exceeded expectations. Mr. Dunbar is an at-will employee and as such may resign or be terminated with or without reason. On September 22, 2000 we announced that George Dunbar, our acting President and Chief Executive Officer, would be phasing out his service. Mr. Dunbar will continue in his position on a reduced time basis during this transition period. The agreement has no provisions for any severance payments or other benefits upon</w:t>
      </w:r>
    </w:p>
    <w:p>
      <w:pPr>
        <w:spacing w:after="0" w:line="4"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Mr. Dunbar's resignation or termination. Pursuant to the terms of the agreement between iCEO and us, iCEO is entitled to receive annual compensation of $75,000 for so long as Mr. Dunbar continues to serve in his role as Acting President of StemCells California, Inc. or</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5" w:right="1440" w:bottom="1440" w:gutter="0" w:footer="0" w:header="0"/>
        </w:sectPr>
      </w:pPr>
    </w:p>
    <w:bookmarkStart w:id="51" w:name="page52"/>
    <w:bookmarkEnd w:id="51"/>
    <w:p>
      <w:pPr>
        <w:ind w:right="3079"/>
        <w:spacing w:after="0" w:line="242" w:lineRule="auto"/>
        <w:rPr>
          <w:sz w:val="20"/>
          <w:szCs w:val="20"/>
          <w:color w:val="auto"/>
        </w:rPr>
      </w:pPr>
      <w:r>
        <w:rPr>
          <w:rFonts w:ascii="Courier New" w:cs="Courier New" w:eastAsia="Courier New" w:hAnsi="Courier New"/>
          <w:sz w:val="15"/>
          <w:szCs w:val="15"/>
          <w:color w:val="auto"/>
        </w:rPr>
        <w:t>in any other interim role with the Company. In addition, iCEO was granted a stock option to purchase 48,000 shares of our common stock that will vest at the rate of 4,000 shares per month commencing on December 6, 1999 and continuing until fully vested so long as Mr. Dunbar continues to serve as Acting President of StemCells California, Inc. or in any other interim role with the company. Additionally, the iCEO agreement provides that the Board will consider once per quarter the grant of an option to iCEO for an additional 3,000 shares if it is determined that the services rendered by Mr. Dunbar during the preceding quarter exceeded expectations. As a member of iCEO, Mr. Dunbar is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us. When Mr. Dunbar was appointed Acting President and Chief Executive Officer effective as of February 1, 2000, there was no adjustment to his or iCEO's compensation or stock options. In the event that during the period of his service as Acting President and Chief Executive Officer or within 120 days from the termination of such services, Mr. Dunbar was to become a permanent employee in any capacity, we are obligated under the iCEO agreement to pay iCEO a fee equal to one-third of the then targeted first year's compensation for Mr. Dunbar.</w:t>
      </w:r>
    </w:p>
    <w:p>
      <w:pPr>
        <w:spacing w:after="0" w:line="18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If offerings totaling at least $6 million are not completed during the 6 months, the investors have the right to acquire up to a total of 1,126 additional shares of convertible preferred stock the face value of which is convertible at the option of the holder into common stock at $6.33 per share. Any unconverted preferred stock will be converted into common stock on April 13, 2002 in the case of the original stock issued and two years after the first acquisition of any of the additional 1,126 shares, if any are acquired. The warrants expire on April 13, 2005.</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63" w:right="1440" w:bottom="1440" w:gutter="0" w:footer="0" w:header="0"/>
        </w:sectPr>
      </w:pPr>
    </w:p>
    <w:bookmarkStart w:id="52" w:name="page53"/>
    <w:bookmarkEnd w:id="52"/>
    <w:p>
      <w:pPr>
        <w:ind w:left="2320"/>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MATTERS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Upon completion of this offering, the total amount of our authorized capital stock will consist of 45,000,000 shares of common stock, $.01 par value per share, and 1,000,000 shares of undesignated preferred stock, $.01 par value per share, to be issued from time to time in one or more series, with such designations, powers, preferences, rights, qualifications, limitations and restrictions as our board of directors may determine. As of August 15, 2000, we had outstanding 20,538,928 shares of common stock and 1,500 shares of 6% cumulative convertible preferred stock.</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of August 15, 2000, we had 249 stockholders of record with respect to our common stock and outstanding options to purchase 2,556,486 shares of our common stock, of which 608,976 were currently exercisable. The following summary of provisions of our capital stock describes all material provisions of, but does not purport to be complete and is subject to, and qualified in its entirety by, our restated certificate of incorporation and our amended and restated by-laws, which are included as exhibits to the registration statement of which this prospectus forms a part, and by the provisions of applicable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issued and outstanding shares of common stock are, and the shares of common stock to be issued by us in connection with the offering will be, validly issued, fully paid and nonassessable. Holders of our common stock are entitled to any and all dividends as such dividends are declared by the Board of Directors. This right is not cumulative, and no right shall accrue to holders of common stock by reason of the fact that dividends on said shares were not declared in any prior period. The shares of common stock are not convertible and the holders thereof have no preemptive or subscription rights to purchase any of our securities. Upon liquidation, dissolution or winding up of our company, the holders of common stock are entitled to an amount equal to $1.00 per share, subject to the rights of the holders of the preferred stock. After payment to the holders of the common stock of the full preferential amounts due to them, the holders of common stock have the right to share equally in the distribution of the entire remaining assets of the company legally available for distribution, subject to the rights of the holders of the preferred stock. Each outstanding share of common stock is entitled to one vote on all matters submitted to a vote of stockholders, such voting rights to be counted together with all other shares of capital stock having voting powers and not as a separate class, except as otherwise required by law.</w:t>
      </w:r>
    </w:p>
    <w:p>
      <w:pPr>
        <w:spacing w:after="0" w:line="185"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board of directors may from time to time direct the issuance of shares of preferred stock in series and may, at the time of issuance, determine the rights, preferences and limitations of each series. Shares of preferred stock of any one series shall be identical with each other in all respects except as to the dates from which dividends shall accrue and/or cumulate. In the event of any liquidation, dissolution or winding up of the company, the holders of undesignated preferred stock of each series are entitled to receive an amount fixed by the company's Restated Certificate of Incorporation or by the resolution(s) of the board of directors providing for the issuance of such series.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board of directors designated 2,626 shares, $.01 par value per share, as 6% cumulative convertible preferred stock, 1,500 shares of which are issued and outstanding. The holders of these preferred shares are entitled to receive cumulative dividends at a per share rate of 6% of the liquidation preference of each share, per annum accruing daily and compounding quarterly, with priority over payment of any dividend on common stock or any other class or series of equity security of the company. In the event of any liquidation, dissolution or winding up of the company, the holders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61" w:right="1440" w:bottom="1440" w:gutter="0" w:footer="0" w:header="0"/>
        </w:sectPr>
      </w:pPr>
    </w:p>
    <w:bookmarkStart w:id="53" w:name="page54"/>
    <w:bookmarkEnd w:id="53"/>
    <w:p>
      <w:pPr>
        <w:ind w:right="3079"/>
        <w:spacing w:after="0" w:line="242" w:lineRule="auto"/>
        <w:rPr>
          <w:sz w:val="20"/>
          <w:szCs w:val="20"/>
          <w:color w:val="auto"/>
        </w:rPr>
      </w:pPr>
      <w:r>
        <w:rPr>
          <w:rFonts w:ascii="Courier New" w:cs="Courier New" w:eastAsia="Courier New" w:hAnsi="Courier New"/>
          <w:sz w:val="15"/>
          <w:szCs w:val="15"/>
          <w:color w:val="auto"/>
        </w:rPr>
        <w:t>of the 6% cumulative convertible preferred stock are entitled to receive in preference to holders of any other class or series of equity securities, an amount equal to $1,000 per share plus (i) dividends added to the liquidation preference, (ii) all accrued but unpaid dividends and (iii) all "Monthly Delay Payments" under the Registration Rights Agreement. The 6% cumulative convertible preferred stock was issued pursuant to a Securities Purchase Agreement. Each holder of the 6% cumulative convertible preferred stock has at any time the right to convert any or all 6% cumulative convertible preferred stock held by such holder into fully paid, validly issued and nonassessable shares of common stock, $.01 par value per share, at which point the rights of the holders of converted 6% cumulative convertible preferred stock shall be treated as having become the owners of such common stock. The affirmative vote of a majority in interest of the outstanding 6% cumulative convertible preferred stock is required for (i) any amendment, modification or repeal of the Certificate of Designations, Certificate of Incorporation or by-laws that may amend or change or adversely affect any of the rights or preference of the 6% cumulative convertible preferred stock; provided, however, that the holders of 6% cumulative convertible preferred stock who are affiliates of the company shall not participate in such votes, and such shares shall be deemed not to be outstanding for purposes of such votes. We have no current intention to issue any more of our unissued, authorized shares of undesignated preferred stock. However, the issuance of any shares of undesignated preferred stock in the future could adversely affect the rights of the holders of common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76" w:lineRule="exact"/>
        <w:rPr>
          <w:sz w:val="20"/>
          <w:szCs w:val="20"/>
          <w:color w:val="auto"/>
        </w:rPr>
      </w:pPr>
    </w:p>
    <w:p>
      <w:pPr>
        <w:ind w:right="3339" w:firstLine="358"/>
        <w:spacing w:after="0" w:line="265" w:lineRule="auto"/>
        <w:rPr>
          <w:sz w:val="20"/>
          <w:szCs w:val="20"/>
          <w:color w:val="auto"/>
        </w:rPr>
      </w:pPr>
      <w:r>
        <w:rPr>
          <w:rFonts w:ascii="Courier New" w:cs="Courier New" w:eastAsia="Courier New" w:hAnsi="Courier New"/>
          <w:sz w:val="14"/>
          <w:szCs w:val="14"/>
          <w:color w:val="auto"/>
        </w:rPr>
        <w:t>As of August 31, 2000, we had outstanding warrants to purchase 296,487 shares of common stock at an average exercise price of $5.3876 per share, subject to customary antidilution adjustment. The warrants were issued at various times during this year to eight different parties as described below.</w:t>
      </w:r>
    </w:p>
    <w:p>
      <w:pPr>
        <w:spacing w:after="0" w:line="160"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As of April 13, 2000, we issued to each of Irving Weissman and Mark Levin a warrant in connection with a Securities Purchase Agreement dated as of</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April 13, 2000. Each warrant is to purchase 37,500 shares of our common stock at an exercise price of $6.58125 per share. Each warrant is exercisable, in whole or in part, at any time on or after April 13, 2000 and on or prior to April 13, 2005. The exercise price is subject to adjustment for subdivisions, combinations, stock dividends, reorganizations and various other issuances. Under the terms of the warrants, during any time that the warrant shares are not subject to an effective registration statement, each investor may elect to receive a reduced number of warrant shares in lieu of tendering the exercise price in cash. Each investor is not entitled to any rights as a shareholder until he exercises the warrant. In the event of a transaction by us in which more than 50% of our voting power is disposed of, each investor shall have the right to purchase, by exercise of the warrant and payment of the exercise price, the kind and amount of shares and other securities and property which he would have owned or have been entitled to receive after the occurrence of the transaction had the warrant been exercised immediately prior thereto, subject to the adjustment of the exercise price as described in the warrant and above. We may, at any time during the term of the warrant, reduce the exercise price to any amount for any period of time deemed appropriate by our Board of Directors. Under the terms of the warrants, the number of shares of common stock that each investor may acquire upon exercise cannot exceed a number that, when added to the total number of shares of common stock the investor is deemed to beneficially own, together with all shares of common stock deemed beneficially owned by the investor's affiliates (as defined by Rule 144 of the Securities Act of 1933), would exceed 9.99% of the total issued and outstanding shares of the common stock.</w:t>
      </w:r>
    </w:p>
    <w:p>
      <w:pPr>
        <w:spacing w:after="0" w:line="36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issued a warrant to Millennium Partners L.P. on August 3, 2000, which may entitle them to receive additional shares of common stock on eight dates beginning six months from that date and every three months thereafter. On August 30, 2000 we issued a second warrant to Millennium which may entitle them to receive additional shares of common stock on eight dates beginning six months from August 30, 2000 and every three months thereafter. On November 1, 2000, we agreed with</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63" w:right="1440" w:bottom="1440" w:gutter="0" w:footer="0" w:header="0"/>
        </w:sectPr>
      </w:pPr>
    </w:p>
    <w:bookmarkStart w:id="54" w:name="page55"/>
    <w:bookmarkEnd w:id="54"/>
    <w:p>
      <w:pPr>
        <w:ind w:right="3079"/>
        <w:spacing w:after="0" w:line="242" w:lineRule="auto"/>
        <w:rPr>
          <w:sz w:val="20"/>
          <w:szCs w:val="20"/>
          <w:color w:val="auto"/>
        </w:rPr>
      </w:pPr>
      <w:r>
        <w:rPr>
          <w:rFonts w:ascii="Courier New" w:cs="Courier New" w:eastAsia="Courier New" w:hAnsi="Courier New"/>
          <w:sz w:val="15"/>
          <w:szCs w:val="15"/>
          <w:color w:val="auto"/>
        </w:rPr>
        <w:t>Millennium to cancel the adjustable warrant issued on August 30, 2000 and to decrease the number of shares for which the adjustable warrant issued on August 3, 2000 may be exercisable. The number of additional shares Millennium will be entitled to receive on each date will be based on the number of shares of common stock Millennium continues to hold on each date and the market price of our common stock over a period prior to each date. We will have the right, under certain circumstances, to limit the number of additional shares by purchasing part of the entitlement from Millennium. The remaining warrant is exercisable, in whole or in part, at any time on or prior to 30 days after the last date which may entitle Millennium to receive additional shares. This warrant is subject to adjustment for subdivisions, combinations, stock dividends, reorganizations and various other issuances of common stock. During any period of time that the shares of common stock underlying this warrant are not subject to an effective registration statement, Millennium may elect to exercise the warrant by receiving a reduced number of shares in lieu of tendering the exercise price in cash. In the event of certain mergers, asset sales and tender or exchange offers, Millennium shall have the right to purchase, by exercise of this warrant and payment of the exercise price, the kind and amount of shares and other securities and property it would have owned or have been entitled to receive after the occurrence of the transaction had the warrant been exercised immediately before the transaction,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this warrant, the number of shares of common stock that Millennium may acquire upon exercise cannot exceed a number that, when added to the total number of shares of common stock Millennium is deemed to beneficially own, together with all shares of common stock deemed beneficially owned by Millennium's affiliates (as defined by Rule 144 of the Securities Act of 1933), would exceed 9.99% of the total issued and outstanding shares of the common stock.</w:t>
      </w:r>
    </w:p>
    <w:p>
      <w:pPr>
        <w:spacing w:after="0" w:line="36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Millennium also received a warrant on August 3, 2000 to purchase up to 101,587 shares of common stock at $4.725 per share, which is callable by us at $7.875 per underlying share. On August 30, 2000 we issued an additional warrant to purchase up to 19,900 shares of common stock at $6.03 per share which is callable by us at $10.05 per underlying share. Each callable warrant is exercisable, in 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 Under the terms of the callable warrants, during any time that the warrant shares are not subject to an effective registration statement, Millennium may elect to receive a reduced number of warrant shares in lieu of tendering the exercise price in cash. Millennium is not entitled to any rights as a shareholder until it exercises the warrant. In the event of certain mergers, asset sales and tender or exchange offers, Millennium shall have the right to purchase, by exercise of the callable warrant and payment of the exercise price, the kind and amount of shares and other securities and property it would have owned or have been entitled to receive after the occurrence of the transaction had the warrant been exercised immediately prior thereto,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the callable warrants, the number of shares of common stock that Millennium may acquire upon exercise cannot exceed a number that, when added to the total number of shares of common stock Millennium is deemed to beneficially own, together with all shares of common stock deemed beneficially owned by Millennium's affiliates (as defined by Rule 144 of the Securities Act of 1933), would exceed 9.99% of the total issued and outstanding shares of the common stock.</w:t>
      </w:r>
    </w:p>
    <w:p>
      <w:pPr>
        <w:spacing w:after="0" w:line="192"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On August 3, 2000 we issued a warrant to the May Davis Group and four of its affiliates to purchase up to 100,000 shares of common stock at $5.0375 per share. The warrant is exercisable, in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5" w:right="1440" w:bottom="1440" w:gutter="0" w:footer="0" w:header="0"/>
        </w:sectPr>
      </w:pPr>
    </w:p>
    <w:bookmarkStart w:id="55" w:name="page56"/>
    <w:bookmarkEnd w:id="55"/>
    <w:p>
      <w:pPr>
        <w:ind w:right="3259"/>
        <w:spacing w:after="0" w:line="242" w:lineRule="auto"/>
        <w:rPr>
          <w:sz w:val="20"/>
          <w:szCs w:val="20"/>
          <w:color w:val="auto"/>
        </w:rPr>
      </w:pPr>
      <w:r>
        <w:rPr>
          <w:rFonts w:ascii="Courier New" w:cs="Courier New" w:eastAsia="Courier New" w:hAnsi="Courier New"/>
          <w:sz w:val="15"/>
          <w:szCs w:val="15"/>
          <w:color w:val="auto"/>
        </w:rPr>
        <w:t>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DELAWARE LAW GOVERNING BUSINESS COMBINATIONS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are subject to the "business combination" provisions of the Delaware General Corporation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spacing w:after="0" w:line="176" w:lineRule="exact"/>
        <w:rPr>
          <w:sz w:val="20"/>
          <w:szCs w:val="20"/>
          <w:color w:val="auto"/>
        </w:rPr>
      </w:pPr>
    </w:p>
    <w:p>
      <w:pPr>
        <w:ind w:left="520" w:right="3339" w:hanging="170"/>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approved by the board of directors prior to the date the "interested stockholder" obtained such status;</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8" w:lineRule="exact"/>
        <w:rPr>
          <w:rFonts w:ascii="Courier New" w:cs="Courier New" w:eastAsia="Courier New" w:hAnsi="Courier New"/>
          <w:sz w:val="15"/>
          <w:szCs w:val="15"/>
          <w:color w:val="auto"/>
        </w:rPr>
      </w:pPr>
    </w:p>
    <w:p>
      <w:pPr>
        <w:ind w:left="520" w:right="3259" w:hanging="170"/>
        <w:spacing w:after="0" w:line="242"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such date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75"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transfer agent and registrar for our common stock is EquiServe L.P.</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3" w:right="1440" w:bottom="1440" w:gutter="0" w:footer="0" w:header="0"/>
        </w:sectPr>
      </w:pPr>
    </w:p>
    <w:bookmarkStart w:id="56" w:name="page57"/>
    <w:bookmarkEnd w:id="56"/>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will not receive any of the proceeds from the sale by the selling stockholders of the common stock offered hereby.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shares of the common stock offered hereby may be sold from time to time by the selling stockholders, or by pledgees, donees, transferees or other successors in interest (i) to or through underwriters or dealers, (ii) directly to one or more other purchasers, (iii) through agents on a best-efforts basis, or (iv) through a combination of any such methods of sale. Such sales may be made on one or more exchanges or in the over-the-counter market, or otherwise at prices and at terms then prevailing or at prices related to the then current market price, or in privately negotiated transactions. The shares may be sold by one or more of the following: (a) a block trade in which the broker or dealer so engaged will attempt to sell the shares as agent but may position and resell a portion of the block as principal to facilitate the transaction; (b) purchases by a broker or dealer as principal and resale by such broker or dealer for its account pursuant to this prospectus; (c) an exchange distribution in accordance with the rules of such exchange; and (d) ordinary brokerage transactions and transactions in which the broker solicits purchasers; and (e) privately negotiated transactions without a broker or dealer. In effecting sales, brokers or dealers engaged by the selling stockholders may arrange for other brokers or dealers to participate. Brokers or dealers will receive commissions or discounts from selling stockholders in amounts to be negotiated prior to the sale. In addition, any securities covered by this prospectus which qualify for sale pursuant to Rule 144 may be sold under Rule 144 rather than pursuant to this prospectus.</w:t>
      </w:r>
    </w:p>
    <w:p>
      <w:pPr>
        <w:spacing w:after="0" w:line="18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addition, the selling stockholders may engage in short sales and other transactions in the common stock or derivatives thereof, and may pledge, sell, deliver or otherwise transfer the common stock offered under this prospectus in connection with such transactions.</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If we are notified by a selling stockholder that a material arrangement has been entered into with a broker-dealer for the sale of shares through a block trade, special offering, exchange distribution or secondary distribution, or a purchase by a broker-dealer as a principal, a supplemental prospectus will be filed listing:</w:t>
      </w:r>
    </w:p>
    <w:p>
      <w:pPr>
        <w:spacing w:after="0" w:line="175" w:lineRule="exact"/>
        <w:rPr>
          <w:sz w:val="20"/>
          <w:szCs w:val="20"/>
          <w:color w:val="auto"/>
        </w:rPr>
      </w:pPr>
    </w:p>
    <w:p>
      <w:pPr>
        <w:ind w:left="520" w:right="4239"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each selling stockholder and of the participating broker-dealer(s);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involved;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such shares were sold;</w:t>
      </w:r>
    </w:p>
    <w:p>
      <w:pPr>
        <w:spacing w:after="0" w:line="175" w:lineRule="exact"/>
        <w:rPr>
          <w:rFonts w:ascii="Courier New" w:cs="Courier New" w:eastAsia="Courier New" w:hAnsi="Courier New"/>
          <w:sz w:val="15"/>
          <w:szCs w:val="15"/>
          <w:color w:val="auto"/>
        </w:rPr>
      </w:pPr>
    </w:p>
    <w:p>
      <w:pPr>
        <w:ind w:left="520" w:right="3959"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commissions paid or discounts or concessions allowed to such broker-dealer(s), where applicable;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facts material to the transaction.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agreed to pay the cost of registering the shares covered by this prospectus and the costs of preparing this prospectus and the registration statement under which it is filed. We will provide the estimated total of these expenses by amendment.</w:t>
      </w:r>
    </w:p>
    <w:p>
      <w:pPr>
        <w:spacing w:after="0" w:line="175" w:lineRule="exact"/>
        <w:rPr>
          <w:sz w:val="20"/>
          <w:szCs w:val="20"/>
          <w:color w:val="auto"/>
        </w:rPr>
      </w:pPr>
    </w:p>
    <w:p>
      <w:pPr>
        <w:ind w:right="3159" w:firstLine="358"/>
        <w:spacing w:after="0" w:line="274" w:lineRule="auto"/>
        <w:rPr>
          <w:sz w:val="20"/>
          <w:szCs w:val="20"/>
          <w:color w:val="auto"/>
        </w:rPr>
      </w:pPr>
      <w:r>
        <w:rPr>
          <w:rFonts w:ascii="Courier New" w:cs="Courier New" w:eastAsia="Courier New" w:hAnsi="Courier New"/>
          <w:sz w:val="14"/>
          <w:szCs w:val="14"/>
          <w:color w:val="auto"/>
        </w:rPr>
        <w:t>We and the selling stockholders have agreed to indemnify each other against certain liabilities, including liabilities arising under the Securities Act.</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1" w:right="1440" w:bottom="1440" w:gutter="0" w:footer="0" w:header="0"/>
        </w:sectPr>
      </w:pPr>
    </w:p>
    <w:bookmarkStart w:id="57" w:name="page58"/>
    <w:bookmarkEnd w:id="57"/>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The validity of the shares of our common stock offered hereby will be passed upon for us by Ropes &amp; Gray, Boston, Massachusetts.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at December 31, 1999 and 1998, and for each of the three years in the period ended December 31, 1999, as set forth in their report. We have included our financial statements in the prospectus and elsewhere in the Registration Statement in reliance on Ernst &amp; Young LLP's report, given on their authority as experts in accounting and auditing.</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filed with the SEC a registration statement on Form S-1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1" w:right="1440" w:bottom="1440" w:gutter="0" w:footer="0" w:header="0"/>
        </w:sectPr>
      </w:pPr>
    </w:p>
    <w:bookmarkStart w:id="58" w:name="page59"/>
    <w:bookmarkEnd w:id="58"/>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at December 31, 1999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Redeemable Common</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Stock and Stockholders' Equity for the years ended</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at June 30, 2000 and</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Operations for the six</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months ended June 30, 2000 and June 30, 1999</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 for the six months ended</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June 30, 2000 and June 30, 1999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 Forma Financial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bl>
    <w:p>
      <w:pPr>
        <w:spacing w:after="0" w:line="200" w:lineRule="exact"/>
        <w:rPr>
          <w:sz w:val="20"/>
          <w:szCs w:val="20"/>
          <w:color w:val="auto"/>
        </w:rPr>
      </w:pPr>
    </w:p>
    <w:p>
      <w:pPr>
        <w:spacing w:after="0" w:line="320"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Additional schedules are not provided either because they are inapplicable or because the required information is included in the accompanying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461" w:right="1440" w:bottom="1440" w:gutter="0" w:footer="0" w:header="0"/>
        </w:sectPr>
      </w:pPr>
    </w:p>
    <w:bookmarkStart w:id="59" w:name="page60"/>
    <w:bookmarkEnd w:id="59"/>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StemCells, Inc. (formerly CytoTherapeutics, Inc.) as of December 31, 1999 and 1998, and the related consolidated statements of operations, changes in redeemable common stock and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StemCells, Inc. (formerly CytoTherapeutics, Inc.) at December 31, 1999 and 1998, and the consolidated results of its operations and its cash flows for each of the three years in the period ended December 31, 1999, in conformity with accounting principles generally accepted in the United States.</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14, 2000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61" w:right="1440" w:bottom="1440" w:gutter="0" w:footer="0" w:header="0"/>
        </w:sectPr>
      </w:pPr>
    </w:p>
    <w:bookmarkStart w:id="60" w:name="page61"/>
    <w:bookmarkEnd w:id="60"/>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27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7,864,788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Marketable securities.....................................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9,520,939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42,212</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206,609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sale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3,000,000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Debt service fund.........................................</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609,905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558,674</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841,674</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8,970,855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18,434,010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held for sale......................................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3,203,491</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1,747,885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8,356,009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1,858,768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6,075,663</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32,865,682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631,315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710,622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2,605,068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1,020,119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324,167</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317,083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1,000,000</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3,560,550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5,547,824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2,937,083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3,261,667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502,353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222,673</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issued and outstanding at December 31, 1999 and 1998......</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5,248,610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5,248,610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Common stock to be issued...................................</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187,500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authorized; no shares issued and outstanding.....</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authorized; 18,635,565 and 17,800,323 shares issued and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1999 and 1998,</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178,003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123,917,758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122,861,606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(103,664,084)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losses on marketable securities................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(5,198)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total comprehensive loss......................</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(103,669,282)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(1,225,000)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3,506,403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17,897,408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32,865,682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461" w:right="1440" w:bottom="1440" w:gutter="0" w:footer="0" w:header="0"/>
        </w:sectPr>
      </w:pPr>
    </w:p>
    <w:bookmarkStart w:id="61" w:name="page62"/>
    <w:bookmarkEnd w:id="61"/>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40" w:type="dxa"/>
            <w:vAlign w:val="bottom"/>
            <w:gridSpan w:val="5"/>
          </w:tcPr>
          <w:p>
            <w:pPr>
              <w:jc w:val="right"/>
              <w:ind w:right="9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4740" w:type="dxa"/>
            <w:vAlign w:val="bottom"/>
          </w:tcPr>
          <w:p>
            <w:pPr>
              <w:spacing w:after="0"/>
              <w:rPr>
                <w:sz w:val="14"/>
                <w:szCs w:val="14"/>
                <w:color w:val="auto"/>
              </w:rPr>
            </w:pPr>
          </w:p>
        </w:tc>
        <w:tc>
          <w:tcPr>
            <w:tcW w:w="392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8,803,163</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$ 10,617,443</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17,658,530</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18,603,523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8,343,684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4,602,758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6,158,410</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20,959,136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22,261,288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33,105,617</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(15,937,429)</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(13,458,125)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(22,488,174)</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1,253,781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1,931,260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(472,400)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(437,991)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Gain on partial sale of Modex.....................</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3,386,808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sale/leaseback............................</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(342,014)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equity investment.........................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(57,538)</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228,803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830,295</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4,374,594</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$(15,708,626)</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18,290,548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16,704,144</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461"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65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4"/>
        </w:trPr>
        <w:tc>
          <w:tcPr>
            <w:tcW w:w="7240" w:type="dxa"/>
            <w:vAlign w:val="bottom"/>
            <w:gridSpan w:val="5"/>
          </w:tcPr>
          <w:p>
            <w:pPr>
              <w:spacing w:after="0"/>
              <w:rPr>
                <w:sz w:val="20"/>
                <w:szCs w:val="20"/>
                <w:color w:val="auto"/>
              </w:rPr>
            </w:pPr>
            <w:r>
              <w:rPr>
                <w:rFonts w:ascii="Courier New" w:cs="Courier New" w:eastAsia="Courier New" w:hAnsi="Courier New"/>
                <w:sz w:val="15"/>
                <w:szCs w:val="15"/>
                <w:color w:val="auto"/>
              </w:rPr>
              <w:t>CONSOLIDATED STATEMENTS OF CHANGES IN REDEEMABLE COMMON STOCK AND STOCKHOLDERS'</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ind w:left="1260"/>
              <w:spacing w:after="0"/>
              <w:rPr>
                <w:sz w:val="20"/>
                <w:szCs w:val="20"/>
                <w:color w:val="auto"/>
              </w:rPr>
            </w:pPr>
            <w:r>
              <w:rPr>
                <w:rFonts w:ascii="Courier New" w:cs="Courier New" w:eastAsia="Courier New" w:hAnsi="Courier New"/>
                <w:sz w:val="15"/>
                <w:szCs w:val="15"/>
                <w:color w:val="auto"/>
              </w:rPr>
              <w:t>EQUITY</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4"/>
        </w:trPr>
        <w:tc>
          <w:tcPr>
            <w:tcW w:w="2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0" w:type="dxa"/>
            <w:vAlign w:val="bottom"/>
            <w:gridSpan w:val="3"/>
          </w:tcPr>
          <w:p>
            <w:pPr>
              <w:jc w:val="center"/>
              <w:ind w:left="286"/>
              <w:spacing w:after="0"/>
              <w:rPr>
                <w:sz w:val="20"/>
                <w:szCs w:val="20"/>
                <w:color w:val="auto"/>
              </w:rPr>
            </w:pPr>
            <w:r>
              <w:rPr>
                <w:rFonts w:ascii="Courier New" w:cs="Courier New" w:eastAsia="Courier New" w:hAnsi="Courier New"/>
                <w:sz w:val="15"/>
                <w:szCs w:val="15"/>
                <w:color w:val="auto"/>
                <w:w w:val="97"/>
              </w:rPr>
              <w:t>REDEEMABLE</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0" w:type="dxa"/>
            <w:vAlign w:val="bottom"/>
            <w:gridSpan w:val="3"/>
          </w:tcPr>
          <w:p>
            <w:pPr>
              <w:jc w:val="center"/>
              <w:ind w:left="286"/>
              <w:spacing w:after="0"/>
              <w:rPr>
                <w:sz w:val="20"/>
                <w:szCs w:val="20"/>
                <w:color w:val="auto"/>
              </w:rPr>
            </w:pPr>
            <w:r>
              <w:rPr>
                <w:rFonts w:ascii="Courier New" w:cs="Courier New" w:eastAsia="Courier New" w:hAnsi="Courier New"/>
                <w:sz w:val="15"/>
                <w:szCs w:val="15"/>
                <w:color w:val="auto"/>
                <w:w w:val="99"/>
              </w:rPr>
              <w:t>COMMON STOCK</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6"/>
              </w:rPr>
              <w:t>COMMON STOCK</w:t>
            </w:r>
          </w:p>
        </w:tc>
        <w:tc>
          <w:tcPr>
            <w:tcW w:w="18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PAID-IN</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AMOUNT</w:t>
            </w:r>
          </w:p>
        </w:tc>
        <w:tc>
          <w:tcPr>
            <w:tcW w:w="400" w:type="dxa"/>
            <w:vAlign w:val="bottom"/>
          </w:tcPr>
          <w:p>
            <w:pPr>
              <w:spacing w:after="0"/>
              <w:rPr>
                <w:sz w:val="14"/>
                <w:szCs w:val="14"/>
                <w:color w:val="auto"/>
              </w:rPr>
            </w:pP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CAPITAL</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1996.................................</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815,065</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$ 8,158,798</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15,614,333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$156,144</w:t>
            </w:r>
          </w:p>
        </w:tc>
        <w:tc>
          <w:tcPr>
            <w:tcW w:w="18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$107,649,659</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307,548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3,074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1,552,432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31,822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180,103</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1,750,000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25,588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169,196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1,219,381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12,194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7,381,206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(257,311)</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(2,575,688)</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257,311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2,573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2,573,115</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75,237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244,427</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(5,000)</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(27,294)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557,754</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$ 5,583,110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17,526,220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$175,262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$121,472,844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43,542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436</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83,622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84,812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848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143,025</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101,320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1,013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505,587</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(33,417)</w:t>
            </w:r>
          </w:p>
        </w:tc>
        <w:tc>
          <w:tcPr>
            <w:tcW w:w="2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(334,500)</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33,417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334,166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11,012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321,108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$ 5,248,610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17,800,323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$178,003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$122,861,606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196,213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318,221</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57,398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41,619</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90,798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102,502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490,833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4,908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513,534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80,276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$ 5,248,610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18,635,565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$123,917,758</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2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gridSpan w:val="4"/>
          </w:tcPr>
          <w:p>
            <w:pPr>
              <w:jc w:val="right"/>
              <w:ind w:right="565"/>
              <w:spacing w:after="0"/>
              <w:rPr>
                <w:sz w:val="20"/>
                <w:szCs w:val="20"/>
                <w:color w:val="auto"/>
              </w:rPr>
            </w:pPr>
            <w:r>
              <w:rPr>
                <w:rFonts w:ascii="Courier New" w:cs="Courier New" w:eastAsia="Courier New" w:hAnsi="Courier New"/>
                <w:sz w:val="15"/>
                <w:szCs w:val="15"/>
                <w:color w:val="auto"/>
              </w:rPr>
              <w:t>OTHER COMPREHENSIVE</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INCOME</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UNREALIZED</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GAINS</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(LOSSES)</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CUMULATIVE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ACCUMULATED</w:t>
            </w: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ON MARKETABLE</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TRANSLATION</w:t>
            </w:r>
          </w:p>
        </w:tc>
        <w:tc>
          <w:tcPr>
            <w:tcW w:w="180" w:type="dxa"/>
            <w:vAlign w:val="bottom"/>
          </w:tcPr>
          <w:p>
            <w:pPr>
              <w:spacing w:after="0"/>
              <w:rPr>
                <w:sz w:val="14"/>
                <w:szCs w:val="14"/>
                <w:color w:val="auto"/>
              </w:rPr>
            </w:pP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DEFERRED</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SECURITIES</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ADJUSTMENTS</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6"/>
              </w:rPr>
              <w:t>COMPENSATION</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1996.................................</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(72,922,674)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14,760</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$(60,416)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(90,118)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(1,750,000)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amortization and cancellations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137,298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(23,637)</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60,416</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(91,036,254)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(8,877)</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$(1,702,820)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229,901</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3,679</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80"/>
          </w:cols>
          <w:pgMar w:left="240" w:top="461" w:right="57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$(103,664,084)</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(5,198)</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42,193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247,919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5,198</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(15,708,626)</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$(119,372,710)</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$(1,225,000)</w:t>
            </w: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STOCKHOLDERS'</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1996.................................</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$ 34,747,355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1,555,506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180,422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169,452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7,393,400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2,575,688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245,179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109,954</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(23,637)</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60,416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(18,113,580)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(18,076,081)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1997.................................</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$ 28,900,155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84,058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143,873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506,600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334,500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1,364</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551,009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3,679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(12,627,830)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(12,624,151)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$ 17,897,408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320,183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103,410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518,442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328,195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5,198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(15,708,626)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(15,703,428)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3,506,403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346"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820"/>
          </w:cols>
          <w:pgMar w:left="240" w:top="140" w:right="839" w:bottom="1440" w:gutter="0" w:footer="0" w:header="0"/>
        </w:sectPr>
      </w:pPr>
    </w:p>
    <w:bookmarkStart w:id="64" w:name="page65"/>
    <w:bookmarkEnd w:id="64"/>
    <w:p>
      <w:pPr>
        <w:jc w:val="center"/>
        <w:ind w:right="315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5"/>
          </w:tcPr>
          <w:p>
            <w:pPr>
              <w:jc w:val="right"/>
              <w:ind w:right="9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394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$(15,708,626)</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2,244,146</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1,968,234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551,009</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8,343,684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109,954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Fair market adjustment for property held for sale.........</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300,000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non-cash charges....................................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410,173</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105,931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investment........................................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(3,386,808)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fixed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413,856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intangibles...............................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346,577</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283,000</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(265,665)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(232,604)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1,344,142</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(2,378,613)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(1,233,501)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2,483,856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(1,842,948)</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operating activities.......................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(11,913,282)</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(9,236,347)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(13,767,778)</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 of Modex, net of cash disposed...........</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2,958,199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Purchases of marketable securities..........................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(18,982,387)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(14,182,521)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sales of marketable securities................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22,573,625</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23,736,242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Purchases of property, plant and equipment..................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(2,153,525)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(7,710,126)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on sale of fixed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8,003,926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 of other investment................................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Acquisition of other assets.................................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(558,311)</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(400,219)</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(1,599,418)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Disposal of other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Acquisition of StemCells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(640,490)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Advance to Cognetix.........................................</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 from Cognetix.....................................</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investing activities...................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9,962,013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1,037,494</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10,315,812</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issuance of redeemable common stock...........</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issuance of common stock......................</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227,931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1,905,380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the exercise of stock options and warrants....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1,364</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245,179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debt financings...............................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1,259,300</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Repayments of debt and lease obligations....................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(1,366,655)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(2,496,849)</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(used in) financing activities.........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(1,153,455)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121,940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(346,290)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(181,627)</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Decrease in cash and cash equivalents.......................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(3,104,724)</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(8,076,913)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(3,979,883)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January 1........................</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15,941,701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19,921,584</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December 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7,864,788</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$ 15,941,701</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444,047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436,461</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TRANSACTION:</w:t>
      </w:r>
    </w:p>
    <w:p>
      <w:pPr>
        <w:spacing w:after="0" w:line="176"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In December 1999, the Company sold intellectual property related to its encapsulated cell technology. In association with the transaction, the Company recorded a receivable of $3,000,000 and reduced intangible assets.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461" w:right="1440" w:bottom="1440" w:gutter="0" w:footer="0" w:header="0"/>
        </w:sectPr>
      </w:pPr>
    </w:p>
    <w:bookmarkStart w:id="65" w:name="page66"/>
    <w:bookmarkEnd w:id="65"/>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6" w:lineRule="exact"/>
        <w:rPr>
          <w:sz w:val="20"/>
          <w:szCs w:val="20"/>
          <w:color w:val="auto"/>
        </w:rPr>
      </w:pPr>
    </w:p>
    <w:p>
      <w:pPr>
        <w:ind w:left="8" w:right="3599" w:firstLine="358"/>
        <w:spacing w:after="0" w:line="241" w:lineRule="auto"/>
        <w:rPr>
          <w:sz w:val="20"/>
          <w:szCs w:val="20"/>
          <w:color w:val="auto"/>
        </w:rPr>
      </w:pPr>
      <w:r>
        <w:rPr>
          <w:rFonts w:ascii="Courier New" w:cs="Courier New" w:eastAsia="Courier New" w:hAnsi="Courier New"/>
          <w:sz w:val="15"/>
          <w:szCs w:val="15"/>
          <w:color w:val="auto"/>
        </w:rPr>
        <w:t>StemCells, Inc. (formerly CytoTherapeutics, Inc.) (the "Company") is a biopharmaceutical company engaged in the development of novel stem cell therapies designed to treat human diseases and disorders.</w:t>
      </w:r>
    </w:p>
    <w:p>
      <w:pPr>
        <w:spacing w:after="0" w:line="176" w:lineRule="exact"/>
        <w:rPr>
          <w:sz w:val="20"/>
          <w:szCs w:val="20"/>
          <w:color w:val="auto"/>
        </w:rPr>
      </w:pPr>
    </w:p>
    <w:p>
      <w:pPr>
        <w:ind w:left="8" w:right="6119" w:hanging="8"/>
        <w:spacing w:after="0" w:line="483" w:lineRule="auto"/>
        <w:tabs>
          <w:tab w:leader="none" w:pos="3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4" w:lineRule="exact"/>
        <w:rPr>
          <w:sz w:val="20"/>
          <w:szCs w:val="20"/>
          <w:color w:val="auto"/>
        </w:rPr>
      </w:pPr>
    </w:p>
    <w:p>
      <w:pPr>
        <w:ind w:left="8" w:right="3159" w:firstLine="358"/>
        <w:spacing w:after="0" w:line="241"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EQUIVALENTS AND MARKETABLE SECURITIES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Cash equivalents include funds held in investments with original maturities of three months or less when purchased. The Company's policy regarding selection of investments, pending their use, is to ensure safety, liquidity, and capital reservation while obtaining a reasonable rate of return. Marketable securities consist of investments in agencies of the U.S. government, investment grade corporate notes and money market funds. The fair values for marketable securities are based on quoted market prices.</w:t>
      </w:r>
    </w:p>
    <w:p>
      <w:pPr>
        <w:spacing w:after="0" w:line="177"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Company determines the appropriate classification of cash equivalents and marketable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HELD FOR SALE</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7"/>
          </w:cols>
          <w:pgMar w:left="232" w:top="461" w:right="1440" w:bottom="1440" w:gutter="0" w:footer="0" w:header="0"/>
        </w:sectPr>
      </w:pPr>
    </w:p>
    <w:bookmarkStart w:id="66" w:name="page67"/>
    <w:bookmarkEnd w:id="66"/>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5039" w:hanging="8"/>
        <w:spacing w:after="0"/>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PROPERTY, PLANT AND EQUIPMENT</w:t>
      </w:r>
    </w:p>
    <w:p>
      <w:pPr>
        <w:spacing w:after="0" w:line="176" w:lineRule="exact"/>
        <w:rPr>
          <w:sz w:val="20"/>
          <w:szCs w:val="20"/>
          <w:color w:val="auto"/>
        </w:rPr>
      </w:pPr>
    </w:p>
    <w:p>
      <w:pPr>
        <w:ind w:left="8" w:right="3259" w:firstLine="358"/>
        <w:spacing w:after="0" w:line="241" w:lineRule="auto"/>
        <w:rPr>
          <w:sz w:val="20"/>
          <w:szCs w:val="20"/>
          <w:color w:val="auto"/>
        </w:rPr>
      </w:pPr>
      <w:r>
        <w:rPr>
          <w:rFonts w:ascii="Courier New" w:cs="Courier New" w:eastAsia="Courier New" w:hAnsi="Courier New"/>
          <w:sz w:val="15"/>
          <w:szCs w:val="15"/>
          <w:color w:val="auto"/>
        </w:rPr>
        <w:t>Property, plant and equipment, including that held under capitalized lease obligations, is stated at cost and depreciated using the straight-line method over the estimated life of the respective asset,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PATENT COSTS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written off to expense at the time such patents are deemed to have no continuing value. At December 31, 1999 and 1998, total costs capitalized were $718,000 and $4,285,000 and the related accumulated amortization were $9,000 and $347,000, respectively. Patent expense totaled $539,000, $3,000, and $365,000 in 1999, 1998 and 1997, respectively.</w:t>
      </w:r>
    </w:p>
    <w:p>
      <w:pPr>
        <w:spacing w:after="0" w:line="178" w:lineRule="exact"/>
        <w:rPr>
          <w:sz w:val="20"/>
          <w:szCs w:val="20"/>
          <w:color w:val="auto"/>
        </w:rPr>
      </w:pPr>
    </w:p>
    <w:p>
      <w:pPr>
        <w:ind w:left="8" w:right="3159" w:firstLine="358"/>
        <w:spacing w:after="0" w:line="261" w:lineRule="auto"/>
        <w:rPr>
          <w:sz w:val="20"/>
          <w:szCs w:val="20"/>
          <w:color w:val="auto"/>
        </w:rPr>
      </w:pPr>
      <w:r>
        <w:rPr>
          <w:rFonts w:ascii="Courier New" w:cs="Courier New" w:eastAsia="Courier New" w:hAnsi="Courier New"/>
          <w:sz w:val="14"/>
          <w:szCs w:val="14"/>
          <w:color w:val="auto"/>
        </w:rPr>
        <w:t>In December 1999, the Company sold its Encapsulated Cell Technology ("ECT") to Neurotech, S.A. for an initial payment of $3,000,000,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The loss on this transaction and expenses related to the write-down of ECT are included in wind-down expenses on the Company's Consolidated Statement of Operations.</w:t>
      </w:r>
    </w:p>
    <w:p>
      <w:pPr>
        <w:spacing w:after="0" w:line="16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BASED COMPENSATION</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 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Fair value is determined using methodologies allowable by FAS No. 123. The cost is amortized over the vesting period of each option or the recipient's contractual arrangement, if shorter.</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7"/>
          </w:cols>
          <w:pgMar w:left="232" w:top="461" w:right="1440" w:bottom="1440" w:gutter="0" w:footer="0" w:header="0"/>
        </w:sectPr>
      </w:pPr>
    </w:p>
    <w:bookmarkStart w:id="67" w:name="page68"/>
    <w:bookmarkEnd w:id="67"/>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5039" w:hanging="8"/>
        <w:spacing w:after="0"/>
        <w:tabs>
          <w:tab w:leader="none" w:pos="3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INCOME TAXES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rates under laws that are expected to be in effect when the differences reverse. Deferred tax assets may be reduced by a valuation allowance to reflect the uncertainty associated with their ultimate realization.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FROM COLLABORATIVE AGREEMENTS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achievement of certain development milestones as defined within the terms of the collaborative agreement. Payments received in advance of research performed are designated as deferred revenue. Recorded revenues are not refundable in the event research efforts are considered unsuccessful.</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 COSTS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LOSS PER SHARE</w:t>
      </w:r>
    </w:p>
    <w:p>
      <w:pPr>
        <w:spacing w:after="0" w:line="176" w:lineRule="exact"/>
        <w:rPr>
          <w:sz w:val="20"/>
          <w:szCs w:val="20"/>
          <w:color w:val="auto"/>
        </w:rPr>
      </w:pPr>
    </w:p>
    <w:p>
      <w:pPr>
        <w:ind w:left="8" w:right="3259" w:firstLine="358"/>
        <w:spacing w:after="0" w:line="241" w:lineRule="auto"/>
        <w:rPr>
          <w:sz w:val="20"/>
          <w:szCs w:val="20"/>
          <w:color w:val="auto"/>
        </w:rPr>
      </w:pPr>
      <w:r>
        <w:rPr>
          <w:rFonts w:ascii="Courier New" w:cs="Courier New" w:eastAsia="Courier New" w:hAnsi="Courier New"/>
          <w:sz w:val="15"/>
          <w:szCs w:val="15"/>
          <w:color w:val="auto"/>
        </w:rPr>
        <w:t>Net loss per share is computed using the weighted average number of shares of common stock outstanding. Common equivalent shares from stock options and warrants are excluded, as their effect is antidilutive.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RECENTLY ISSUED ACCOUNTING PRONOUNCEMENTS</w:t>
      </w:r>
    </w:p>
    <w:p>
      <w:pPr>
        <w:spacing w:after="0" w:line="176" w:lineRule="exact"/>
        <w:rPr>
          <w:sz w:val="20"/>
          <w:szCs w:val="20"/>
          <w:color w:val="auto"/>
        </w:rPr>
      </w:pPr>
    </w:p>
    <w:p>
      <w:pPr>
        <w:ind w:left="8" w:right="3159" w:firstLine="358"/>
        <w:spacing w:after="0" w:line="263" w:lineRule="auto"/>
        <w:rPr>
          <w:sz w:val="20"/>
          <w:szCs w:val="20"/>
          <w:color w:val="auto"/>
        </w:rPr>
      </w:pPr>
      <w:r>
        <w:rPr>
          <w:rFonts w:ascii="Courier New" w:cs="Courier New" w:eastAsia="Courier New" w:hAnsi="Courier New"/>
          <w:sz w:val="14"/>
          <w:szCs w:val="14"/>
          <w:color w:val="auto"/>
        </w:rPr>
        <w:t>The Securities Exchange Commission's recently issued Staff Accounting Bulletin No. 101 provides guidance on revenue recognition that may impact the Company's future reporting relative to recognizing revenues received from collaborative and similar agreements. The Company does not expect this guidance to result in significant changes to its existing revenue recognition policy, subject to the specific terms of each individual collaborative agreement.</w:t>
      </w:r>
    </w:p>
    <w:p>
      <w:pPr>
        <w:spacing w:after="0" w:line="160" w:lineRule="exact"/>
        <w:rPr>
          <w:sz w:val="20"/>
          <w:szCs w:val="20"/>
          <w:color w:val="auto"/>
        </w:rPr>
      </w:pPr>
    </w:p>
    <w:p>
      <w:pPr>
        <w:ind w:left="348" w:hanging="348"/>
        <w:spacing w:after="0"/>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6% CUMULATIVE CONVERTIBLE PREFERRED STOCK</w:t>
      </w:r>
    </w:p>
    <w:p>
      <w:pPr>
        <w:spacing w:after="0" w:line="3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$1,500,000, on terms more favorable to the Company than it was then able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obtain from outside investors. The shares are convertible at the option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holders into common stock at $3.77 per share (based on the face value of the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preferred shares). The conversion price may be below the trading market price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stock at the time of conversion. The Company has valued the beneficial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conversion feature using the intrinsic value method reflecting the April 13,</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2000 commitment date and the most beneficial per share discount available to the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preferred shareholders. Such value was $265,000 and will be treated as a deemed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dividend as of the commitment date. The holders of the preferred stock have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liquidation rights equal to their original investment plus accrued</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7"/>
          </w:cols>
          <w:pgMar w:left="232" w:top="461" w:right="1440" w:bottom="1440" w:gutter="0" w:footer="0" w:header="0"/>
        </w:sectPr>
      </w:pPr>
    </w:p>
    <w:bookmarkStart w:id="68" w:name="page69"/>
    <w:bookmarkEnd w:id="68"/>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6% CUMULATIVE CONVERTIBLE PREFERRED STOCK (CONTINUED)</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but unpaid dividends. The investors would be entitled to make additional investments in the Company on the same terms as those on which the Company completes offerings of its securities with third parties within 6 months, if any such offerings are completed. If offerings totaling at least $6 million are not completed during the 6 months, the investors have the right to acquire up to 1,126 additional shares of convertible preferred stock at $6.33 per share. Any unconverted preferred stock is converted (based on the face value of the shares), at the applicable conversion price, on April 13, 2002 in the case of the original stock and two years after the first acquisition of any of the additional 1,126 shares, if any are acquired. The warrant expires on April 13, 2005.</w:t>
      </w:r>
    </w:p>
    <w:p>
      <w:pPr>
        <w:spacing w:after="0" w:line="350" w:lineRule="exact"/>
        <w:rPr>
          <w:sz w:val="20"/>
          <w:szCs w:val="20"/>
          <w:color w:val="auto"/>
        </w:rPr>
      </w:pPr>
    </w:p>
    <w:p>
      <w:pPr>
        <w:ind w:left="348" w:hanging="348"/>
        <w:spacing w:after="0"/>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Until mid-1999, the Company engaged in research and development in encapsulated cell therapy technology,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77" w:lineRule="exact"/>
        <w:rPr>
          <w:sz w:val="20"/>
          <w:szCs w:val="20"/>
          <w:color w:val="auto"/>
        </w:rPr>
      </w:pPr>
    </w:p>
    <w:p>
      <w:pPr>
        <w:ind w:left="8" w:right="3439" w:firstLine="358"/>
        <w:spacing w:after="0" w:line="242"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175"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The Company reduced its workforce by approximately 68 full-time employees who had been focused on encapsulated cell technology programs, wound down its research and manufacturing operations in Lincoln, Rhode Island, and relocated its remaining research and development activities, and its corporate headquarters, to the facilities of its wholly owned subsidiary, StemCells California, Inc., in Sunnyvale, California, in October 1999. As a result, the Company sold excess furniture and equipment in December 1999 and is seeking to sublease the science and administrative facility and to sell the pilot manufacturing facility.</w:t>
      </w:r>
    </w:p>
    <w:p>
      <w:pPr>
        <w:spacing w:after="0" w:line="350"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Wind-down expenses totaled approximately $6,048,000 for the year ended December 31, 1999; no such expenses were incurred in 1998 and 1997. These expenses relate to the wind-down of the Company's encapsulated cell technology research and development program and the Company's other Rhode Island operations, and the transfer of the Company's corporate headquarters to Sunnyvale, California.</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461" w:right="1440" w:bottom="1440" w:gutter="0" w:footer="0" w:header="0"/>
        </w:sectPr>
      </w:pPr>
    </w:p>
    <w:bookmarkStart w:id="69" w:name="page70"/>
    <w:bookmarkEnd w:id="69"/>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3259" w:hanging="8"/>
        <w:spacing w:after="0"/>
        <w:tabs>
          <w:tab w:leader="none" w:pos="36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176" w:lineRule="exact"/>
        <w:rPr>
          <w:sz w:val="20"/>
          <w:szCs w:val="20"/>
          <w:color w:val="auto"/>
        </w:rPr>
      </w:pPr>
    </w:p>
    <w:p>
      <w:pPr>
        <w:ind w:left="8" w:right="3699" w:firstLine="358"/>
        <w:spacing w:after="0"/>
        <w:rPr>
          <w:sz w:val="20"/>
          <w:szCs w:val="20"/>
          <w:color w:val="auto"/>
        </w:rPr>
      </w:pPr>
      <w:r>
        <w:rPr>
          <w:rFonts w:ascii="Courier New" w:cs="Courier New" w:eastAsia="Courier New" w:hAnsi="Courier New"/>
          <w:sz w:val="15"/>
          <w:szCs w:val="15"/>
          <w:color w:val="auto"/>
        </w:rPr>
        <w:t>A description of these expenses, including the amounts and periods of recognition,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THIRD QUARTER</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FOURTH QUARTER</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WIND-DOWN</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EXPENSE</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Employee severance costs...............................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$1,554,000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$1,554,000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Impairment losses(1):</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Fixed assets.........................................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800,000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ECT patents..........................................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260,000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1,060,000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Rhode Island facilities carrying costs(2):</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Corporate headquarters...............................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702,000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702,000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Pilot manufacturing plant............................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562,000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562,000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1,264,000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1,264,000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Employee outplacement..................................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RIPSAT settlement(3)...................................</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1,172,000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1,172,000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Loss on sale of assets(4):</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Fixed assets.........................................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318,000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318,000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ECT patents..........................................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180,000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498,000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498,000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Write-down of pilot plant(5)...........................</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$4,078,000</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$1,970,000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$6,048,000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348" w:right="3079" w:hanging="348"/>
        <w:spacing w:after="0" w:line="242"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8" w:right="3519" w:hanging="348"/>
        <w:spacing w:after="0" w:line="242"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Facilities carrying costs include operating lease payments, utilities, property taxes, insurance, maintenance, interest and other non-employee related expenses necessary to maintaining these facilities through the expected date of disposition (June 30, 2000).</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200" w:lineRule="exact"/>
        <w:rPr>
          <w:rFonts w:ascii="Courier New" w:cs="Courier New" w:eastAsia="Courier New" w:hAnsi="Courier New"/>
          <w:sz w:val="15"/>
          <w:szCs w:val="15"/>
          <w:color w:val="auto"/>
        </w:rPr>
      </w:pPr>
    </w:p>
    <w:p>
      <w:pPr>
        <w:spacing w:after="0" w:line="322"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held an auction to sell all ECT fixed assets. Proceeds from that sale resulted in a loss, which was related to machinery and equipment ($292,000), and furniture and fixtures ($26,000).</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7"/>
          </w:cols>
          <w:pgMar w:left="232" w:top="461" w:right="1440" w:bottom="1440" w:gutter="0" w:footer="0" w:header="0"/>
        </w:sectPr>
      </w:pPr>
    </w:p>
    <w:bookmarkStart w:id="70" w:name="page71"/>
    <w:bookmarkEnd w:id="70"/>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3259" w:hanging="8"/>
        <w:spacing w:after="0"/>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176" w:lineRule="exact"/>
        <w:rPr>
          <w:sz w:val="20"/>
          <w:szCs w:val="20"/>
          <w:color w:val="auto"/>
        </w:rPr>
      </w:pPr>
    </w:p>
    <w:p>
      <w:pPr>
        <w:ind w:left="348" w:right="3079" w:hanging="348"/>
        <w:spacing w:after="0" w:line="242" w:lineRule="auto"/>
        <w:tabs>
          <w:tab w:leader="none" w:pos="3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write-down of the pilot plant was based on an independent property appraisal, which was not available during the third quarter, when the Company reached a decision to exit ECT activities and relocate the corporate headquarters.</w:t>
      </w:r>
    </w:p>
    <w:p>
      <w:pPr>
        <w:spacing w:after="0" w:line="347" w:lineRule="exact"/>
        <w:rPr>
          <w:sz w:val="20"/>
          <w:szCs w:val="20"/>
          <w:color w:val="auto"/>
        </w:rPr>
      </w:pPr>
    </w:p>
    <w:p>
      <w:pPr>
        <w:ind w:left="8" w:right="3159" w:firstLine="358"/>
        <w:spacing w:after="0" w:line="241" w:lineRule="auto"/>
        <w:rPr>
          <w:sz w:val="20"/>
          <w:szCs w:val="20"/>
          <w:color w:val="auto"/>
        </w:rPr>
      </w:pPr>
      <w:r>
        <w:rPr>
          <w:rFonts w:ascii="Courier New" w:cs="Courier New" w:eastAsia="Courier New" w:hAnsi="Courier New"/>
          <w:sz w:val="15"/>
          <w:szCs w:val="15"/>
          <w:color w:val="auto"/>
        </w:rPr>
        <w:t>At December 31, 1999, the Company's $1.6 million wind-down reserve included approximately $1.2 million for the RIPSAT settlement and approximately $0.4 million for Rhode Island facility costs.</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Property held for sale at December 31, 1999, consisted of $3.2 million relating to the Company's pilot plant facility located in Lincoln, Rhode Island. The Company suspended depreciation of these assets totalling approximately $140,000 for the quarter ended December 31, 1999. The balance reflected the $300,000 write-down included as part of the additional wind-down expenses recognized during the fourth quarter, in accordance with Financial 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349" w:lineRule="exact"/>
        <w:rPr>
          <w:sz w:val="20"/>
          <w:szCs w:val="20"/>
          <w:color w:val="auto"/>
        </w:rPr>
      </w:pPr>
    </w:p>
    <w:p>
      <w:pPr>
        <w:ind w:left="348" w:hanging="348"/>
        <w:spacing w:after="0"/>
        <w:tabs>
          <w:tab w:leader="none" w:pos="3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3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In September 1997, a merger of a wholly owned subsidiary of the company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StemCells California, Inc. was completed in the form of a purchase. Through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merger, the Company acquired StemCells California, Inc. for a purchase price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totaling approximately $9,475,000, consisting of 1,320,691 shares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common stock, valued at $6,600,000 and options and warrants for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purchase of 259,296 common shares at nominal consideration, valued 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$1,300,000, the assumption of certain liabilities of $934,000 and transaction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costs of $641,000. Options and warrants were valued utilizing the intrinsic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method, the difference between the current market value of the company's stock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the exercise price of the option or warrant. The purchase price was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allocated, based upon an asset valuation study using income approach methods, to</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license agreements valued at $1,131,000 to be amortized over three years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acquired research and development of $8,344,000, which was expensed. The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acquired research and development had not reached scientific feasibility and had</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 alternative future uses. As part of the acquisition of StemCells, Richard M.</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Rose, M.D., became President, Chief Executive Officer and director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and Dr. Irving Weissman became a director of the Company.</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Under the original grants, approximately 100,000 of these options were exercisable immediately on the date of grant, 1,031,000 of these options would vest and become exercisable only upon the achievement of specified milestones related to the Company's</w:t>
      </w:r>
    </w:p>
    <w:p>
      <w:pPr>
        <w:spacing w:after="0" w:line="34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7"/>
          </w:cols>
          <w:pgMar w:left="232" w:top="461" w:right="1440" w:bottom="1440" w:gutter="0" w:footer="0" w:header="0"/>
        </w:sectPr>
      </w:pPr>
    </w:p>
    <w:bookmarkStart w:id="71" w:name="page72"/>
    <w:bookmarkEnd w:id="71"/>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 (CONTINUED)</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stem cell development program and the remaining 469,000 options would vest over eight years. In connection with the 469,000 options issued to a non-employee, Dr. Anderson, the Company recorded deferred compensation of $1,750,000, the fair value of such options at the date of grant, which will be amortized over an eight-year period. The fair value was determined using the Black-Scholes method with the following inputs: volatility .594, expected life 8 years, dividend yield 0.0%, risk free rate 5.98%. If the milestones specified relating to the 1,031,000 option grant are achieved, at that time the company will record compensation expense for the fair market value of such options determined using the Black-Scholes method. The company has also designated a pool of 400,000 options to be granted to persons in a position to make a significant contribution to the success of the stem cell program.</w:t>
      </w:r>
    </w:p>
    <w:p>
      <w:pPr>
        <w:spacing w:after="0" w:line="352"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Stem cell research is conducted pursuant to the provisions of an agreement between the company and Drs. Weissman and Gage providing for a two-year research plan. If the goals of the research plan are accomplished, the Company has agreed to fund continuing stem cell research. Increases in stem cells research funding of not more than 25% a year will be funded by the Company as long as the goals of the research plan are being met. However, the Company will retain the option of (i) ceasing or reducing brain stem cell research even if all research plan goals are met, but will be required to accelerate the vesting of all still-achievable performance based stock options, and (ii) ceasing or reducing non-brain stem cell research even if all plan goals are being met by affording the scientific research founders the opportunity to continue development of the non-brain stem cell research by licensing the technology related to such research to the founders in exchange for a payment to the Company equal to all prior Company funding for such research, plus royalty payments.</w:t>
      </w:r>
    </w:p>
    <w:p>
      <w:pPr>
        <w:spacing w:after="0" w:line="164" w:lineRule="exact"/>
        <w:rPr>
          <w:sz w:val="20"/>
          <w:szCs w:val="20"/>
          <w:color w:val="auto"/>
        </w:rPr>
      </w:pPr>
    </w:p>
    <w:p>
      <w:pPr>
        <w:ind w:left="348" w:hanging="348"/>
        <w:spacing w:after="0"/>
        <w:tabs>
          <w:tab w:leader="none" w:pos="3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MODEX</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Therapeutics, Ltd., (Modex)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to the Company. The Company recorded a gain on the transactions of $3,387,000.</w:t>
      </w:r>
    </w:p>
    <w:p>
      <w:pPr>
        <w:spacing w:after="0" w:line="351"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at December 31, 1999.</w:t>
      </w:r>
    </w:p>
    <w:p>
      <w:pPr>
        <w:spacing w:after="0" w:line="175" w:lineRule="exact"/>
        <w:rPr>
          <w:sz w:val="20"/>
          <w:szCs w:val="20"/>
          <w:color w:val="auto"/>
        </w:rPr>
      </w:pPr>
    </w:p>
    <w:p>
      <w:pPr>
        <w:jc w:val="both"/>
        <w:ind w:left="8" w:right="3079" w:firstLine="358"/>
        <w:spacing w:after="0" w:line="242" w:lineRule="auto"/>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7"/>
          </w:cols>
          <w:pgMar w:left="232" w:top="461" w:right="1440" w:bottom="1440" w:gutter="0" w:footer="0" w:header="0"/>
        </w:sectPr>
      </w:pPr>
    </w:p>
    <w:bookmarkStart w:id="72" w:name="page73"/>
    <w:bookmarkEnd w:id="72"/>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SECURITIES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During 1999, the Company sold all of its remaining marketable equitable securities. At December 31, 1999, all of the Company's available funds were held in cash and cash equivalents. The following is a summary of available-for-sale securities held at December 31, 1998:</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DECEMBER 31, 1998</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47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GROSS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GROSS</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UNREALIZED</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UNREALIZED</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ESTIMATED</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COST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GAINS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LOSSES</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FAIR VALUE</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U.S. government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$ 1,500,994</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$1,720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(504)</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$ 1,502,210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U.S. corporate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9,225,095</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3,244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(9,658)</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9,218,681</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Total debt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$10,726,089</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$4,964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$(10,162)</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10,720,891</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Debt securities included in cash and cash</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equivalents..................................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(1,199,952)</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Debt securities included in marketable</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$ 9,520,939</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4"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8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31,</w:t>
            </w:r>
          </w:p>
        </w:tc>
      </w:tr>
      <w:tr>
        <w:trPr>
          <w:trHeight w:val="172"/>
        </w:trPr>
        <w:tc>
          <w:tcPr>
            <w:tcW w:w="474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665,890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5,665,077</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1,691,096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9,887,251</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219,260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869,831</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2,576,286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16,422,159</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828,401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8,066,150</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1,747,885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8,356,009</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Depreciation and amortization expense was $1,436,000, $1,720,000,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$1,778,000 for the years ending December 31, 1999, 1998 and 1997, respectively.</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As part of the Company's restructuring of its operations, sale of its encapsulated cell technology ("ECT"), and relocation of its corporate headquarters to Sunnyvale, California, the Company identified machinery and equipment and furniture and fixtures associated with the ECT or otherwise no longer needed. In December of 1999, the Company disposed of these excess fixed assets, realizing proceeds of approximately $746,000. At the time of the sale, these assets had a net book value of approximately $1,063,000 after a third quarter 1999 write-down of $800,000, which was based on management's estimate of expected sale proceeds. The third quarter write-down and actual fourth quarter loss were included in wind-down expenses.</w:t>
      </w:r>
    </w:p>
    <w:p>
      <w:pPr>
        <w:spacing w:after="0" w:line="349"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Certain property, plant and equipment have been acquired under capitalized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lease obligations. These assets totaled $5,827,000 and $6,587,000, 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1999 and 1998, respectively, with related accumulated amortization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$2,747,000 and $2,860,000 at December 31, 1999 and 1998,</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7"/>
          </w:cols>
          <w:pgMar w:left="232" w:top="461" w:right="1440" w:bottom="1440" w:gutter="0" w:footer="0" w:header="0"/>
        </w:sectPr>
      </w:pPr>
    </w:p>
    <w:bookmarkStart w:id="73" w:name="page74"/>
    <w:bookmarkEnd w:id="73"/>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(CONTINUED)</w:t>
      </w:r>
    </w:p>
    <w:p>
      <w:pPr>
        <w:spacing w:after="0" w:line="4"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respectively. As a result of the Company's decision to exit ECT and relocate to Sunnyvale, CA, this property has been classified as held for sale at December 31, 1999.</w:t>
      </w:r>
    </w:p>
    <w:p>
      <w:pPr>
        <w:spacing w:after="0" w:line="174" w:lineRule="exact"/>
        <w:rPr>
          <w:sz w:val="20"/>
          <w:szCs w:val="20"/>
          <w:color w:val="auto"/>
        </w:rPr>
      </w:pPr>
    </w:p>
    <w:p>
      <w:pPr>
        <w:ind w:left="348" w:hanging="348"/>
        <w:spacing w:after="0"/>
        <w:tabs>
          <w:tab w:leader="none" w:pos="3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4"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82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Patents,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708,823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$3,938,755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License agreements,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282,750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659,750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Security deposit--building lease.....................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Restricted cash......................................</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603,467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Deferred financing costs,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117,195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123,701</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1,858,768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$6,075,663</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decrease in patents from 1999 to 1998 was primarily due to management's decision to exit encapsulated cell technology and dispose of the related intellectual property. Management reached this decision during the third quarter of 1999, and established a reserve that included $260,000 directly related to the write-down of encapsulated cell technology patents. During the fourth quarter, management established an additional reserve that included a $180,000 loss associated with the sale of encapsulated cell technology patents worth $3,180,000.</w:t>
      </w:r>
    </w:p>
    <w:p>
      <w:pPr>
        <w:spacing w:after="0" w:line="177" w:lineRule="exact"/>
        <w:rPr>
          <w:sz w:val="20"/>
          <w:szCs w:val="20"/>
          <w:color w:val="auto"/>
        </w:rPr>
      </w:pPr>
    </w:p>
    <w:p>
      <w:pPr>
        <w:ind w:left="8" w:right="3439" w:firstLine="358"/>
        <w:spacing w:after="0"/>
        <w:rPr>
          <w:sz w:val="20"/>
          <w:szCs w:val="20"/>
          <w:color w:val="auto"/>
        </w:rPr>
      </w:pPr>
      <w:r>
        <w:rPr>
          <w:rFonts w:ascii="Courier New" w:cs="Courier New" w:eastAsia="Courier New" w:hAnsi="Courier New"/>
          <w:sz w:val="15"/>
          <w:szCs w:val="15"/>
          <w:color w:val="auto"/>
        </w:rPr>
        <w:t>At December 31, 1999 and 1998, accumulated amortization was $857,000 and $818,000, respectively, for patents and license agreements.</w:t>
      </w:r>
    </w:p>
    <w:p>
      <w:pPr>
        <w:spacing w:after="0" w:line="174" w:lineRule="exact"/>
        <w:rPr>
          <w:sz w:val="20"/>
          <w:szCs w:val="20"/>
          <w:color w:val="auto"/>
        </w:rPr>
      </w:pPr>
    </w:p>
    <w:p>
      <w:pPr>
        <w:ind w:left="448" w:hanging="448"/>
        <w:spacing w:after="0"/>
        <w:tabs>
          <w:tab w:leader="none" w:pos="4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14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82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Wind-down expenses...................................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$1,634,522</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External services....................................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97,439</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412,253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Employee compensation................................</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306,342</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262,679</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Collaborative research...............................</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222,140</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196,505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344,625</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148,682</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$2,605,068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$1,020,119</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reserve for wind-down expenses included approximately $1,172,000 relating to the RIPSAT settlement (Notes 4 and 11) and approximately $463,000 for the estimated six months of lease payments and operating costs for the Rhode Island facilities through an expected disposal date of June 30, 2000.</w:t>
      </w:r>
    </w:p>
    <w:p>
      <w:pPr>
        <w:spacing w:after="0" w:line="34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461" w:right="1440" w:bottom="1440" w:gutter="0" w:footer="0" w:header="0"/>
        </w:sectPr>
      </w:pPr>
    </w:p>
    <w:bookmarkStart w:id="74" w:name="page75"/>
    <w:bookmarkEnd w:id="74"/>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6"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 Funding Agreement dated as of June 22, 1989. On execution and delivery of this Agreement, IRBA agreed to return to the Company the full amount of the Company's debt service reserve ("Reserve Funds"), approximately $610,000 of principal and interest, relating to the bonds the Company has with IRBA and RIIFC. Such amount has been classified as debt service funds in current assets of the consolidated balance sheet. In order to avoid the loss of interest on the Reserve Funds due to early termination of certain investments, the parties agreed that the Company would render a net payment to RIPSAT in the amount of approximately $562,000.</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1997, the Company completed construction of a new headquarters and laboratory facility. In November 1997, the Company entered into sale and leaseback agreements with a real estate investment trust. Under the terms of these agreements, the Company sold its new facility for $8,000,000, incurring a $342,000 loss on the sale. The Company simultaneously entered into a fifteen-year lease for the facility. The lease agreement calls for minimum rent of $750,000 for the first five years, $937,500 for years six to ten, $1,171,900 for years eleven to fourteen and $1,465,000 in year fifteen, with a $750,000 security deposit held for the term of the lease. The Company is recognizing rent expense on a straight line basis. At December 31, 1999, the Company had incurred $426,790 in deferred rent expense.</w:t>
      </w:r>
    </w:p>
    <w:p>
      <w:pPr>
        <w:spacing w:after="0" w:line="17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7"/>
          </w:cols>
          <w:pgMar w:left="232" w:top="461" w:right="1440" w:bottom="1440" w:gutter="0" w:footer="0" w:header="0"/>
        </w:sectPr>
      </w:pPr>
    </w:p>
    <w:bookmarkStart w:id="75" w:name="page76"/>
    <w:bookmarkEnd w:id="75"/>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spacing w:after="0" w:line="176" w:lineRule="exact"/>
        <w:rPr>
          <w:sz w:val="20"/>
          <w:szCs w:val="20"/>
          <w:color w:val="auto"/>
        </w:rPr>
      </w:pPr>
    </w:p>
    <w:p>
      <w:pPr>
        <w:ind w:left="8" w:right="3339" w:firstLine="358"/>
        <w:spacing w:after="0"/>
        <w:rPr>
          <w:sz w:val="20"/>
          <w:szCs w:val="20"/>
          <w:color w:val="auto"/>
        </w:rPr>
      </w:pPr>
      <w:r>
        <w:rPr>
          <w:rFonts w:ascii="Courier New" w:cs="Courier New" w:eastAsia="Courier New" w:hAnsi="Courier New"/>
          <w:sz w:val="15"/>
          <w:szCs w:val="15"/>
          <w:color w:val="auto"/>
        </w:rPr>
        <w:t>Future minimum capitalized lease obligations with non-cancelable terms in excess of one year at December 31, 1999,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606,268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589,217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519,719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436,909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425,713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2,577,826</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5,302,407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amounts representing interest..........................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2,041,157</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3,261,250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324,167</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 current maturities......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$2,937,083</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599" w:firstLine="358"/>
        <w:spacing w:after="0"/>
        <w:rPr>
          <w:sz w:val="20"/>
          <w:szCs w:val="20"/>
          <w:color w:val="auto"/>
        </w:rPr>
      </w:pPr>
      <w:r>
        <w:rPr>
          <w:rFonts w:ascii="Courier New" w:cs="Courier New" w:eastAsia="Courier New" w:hAnsi="Courier New"/>
          <w:sz w:val="15"/>
          <w:szCs w:val="15"/>
          <w:color w:val="auto"/>
        </w:rPr>
        <w:t>Rent expense for the years ended December 31, 1999, 1998 and 1997, was $947,000, $1,052,000 and $499,000, respectively.</w:t>
      </w:r>
    </w:p>
    <w:p>
      <w:pPr>
        <w:spacing w:after="0" w:line="174" w:lineRule="exact"/>
        <w:rPr>
          <w:sz w:val="20"/>
          <w:szCs w:val="20"/>
          <w:color w:val="auto"/>
        </w:rPr>
      </w:pPr>
    </w:p>
    <w:p>
      <w:pPr>
        <w:ind w:left="448" w:hanging="448"/>
        <w:spacing w:after="0"/>
        <w:tabs>
          <w:tab w:leader="none" w:pos="4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Long-term debt is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DECEMBER 31,</w:t>
      </w:r>
    </w:p>
    <w:p>
      <w:pPr>
        <w:spacing w:after="0" w:line="4" w:lineRule="exact"/>
        <w:rPr>
          <w:sz w:val="20"/>
          <w:szCs w:val="20"/>
          <w:color w:val="auto"/>
        </w:rPr>
      </w:pPr>
    </w:p>
    <w:p>
      <w:pPr>
        <w:ind w:left="554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808"/>
        <w:spacing w:after="0"/>
        <w:tabs>
          <w:tab w:leader="none" w:pos="694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5548"/>
        <w:spacing w:after="0"/>
        <w:tabs>
          <w:tab w:leader="none" w:pos="6688"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 note payable, interest at the prime rate plus 1/2%</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(8.75% at December 31, 1998), principal payments commence</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 August 1998, due ratably through May 2000; secured by</w:t>
      </w:r>
    </w:p>
    <w:p>
      <w:pPr>
        <w:sectPr>
          <w:pgSz w:w="11900" w:h="16838" w:orient="portrait"/>
          <w:cols w:equalWidth="0" w:num="1">
            <w:col w:w="10227"/>
          </w:cols>
          <w:pgMar w:left="232" w:top="461" w:right="1440" w:bottom="1440" w:gutter="0" w:footer="0" w:header="0"/>
        </w:sectPr>
      </w:pPr>
    </w:p>
    <w:p>
      <w:pPr>
        <w:spacing w:after="0" w:line="4"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certain equipment (prepaid during 1999)...................</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Current maturities of long-term debt........................</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Long-term debt, less current maturities.....................</w:t>
      </w:r>
    </w:p>
    <w:p>
      <w:pPr>
        <w:spacing w:after="0" w:line="20" w:lineRule="exact"/>
        <w:rPr>
          <w:sz w:val="20"/>
          <w:szCs w:val="20"/>
          <w:color w:val="auto"/>
        </w:rPr>
      </w:pPr>
      <w:r>
        <w:rPr>
          <w:sz w:val="20"/>
          <w:szCs w:val="20"/>
          <w:color w:val="auto"/>
        </w:rPr>
        <w:br w:type="column"/>
      </w:r>
    </w:p>
    <w:p>
      <w:pPr>
        <w:jc w:val="both"/>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both"/>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619"/>
        <w:spacing w:after="0"/>
        <w:rPr>
          <w:sz w:val="20"/>
          <w:szCs w:val="20"/>
          <w:color w:val="auto"/>
        </w:rPr>
      </w:pPr>
      <w:r>
        <w:rPr>
          <w:rFonts w:ascii="Courier New" w:cs="Courier New" w:eastAsia="Courier New" w:hAnsi="Courier New"/>
          <w:sz w:val="15"/>
          <w:szCs w:val="15"/>
          <w:color w:val="auto"/>
        </w:rPr>
        <w:t>$1,500,000</w:t>
      </w:r>
    </w:p>
    <w:p>
      <w:pPr>
        <w:spacing w:after="0" w:line="2"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5"/>
          <w:szCs w:val="15"/>
          <w:color w:val="auto"/>
        </w:rPr>
        <w:t>1,000,000</w:t>
      </w:r>
    </w:p>
    <w:p>
      <w:pPr>
        <w:spacing w:after="0" w:line="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both"/>
        <w:spacing w:after="0"/>
        <w:tabs>
          <w:tab w:leader="none" w:pos="240" w:val="left"/>
        </w:tabs>
        <w:rPr>
          <w:sz w:val="20"/>
          <w:szCs w:val="20"/>
          <w:color w:val="auto"/>
        </w:rPr>
      </w:pPr>
      <w:r>
        <w:rPr>
          <w:rFonts w:ascii="Courier New" w:cs="Courier New" w:eastAsia="Courier New" w:hAnsi="Courier New"/>
          <w:sz w:val="15"/>
          <w:szCs w:val="15"/>
          <w:color w:val="auto"/>
        </w:rPr>
        <w:t>$</w:t>
        <w:tab/>
        <w:t>500,000</w:t>
      </w:r>
    </w:p>
    <w:p>
      <w:pPr>
        <w:spacing w:after="0" w:line="2"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368" w:space="180"/>
            <w:col w:w="900" w:space="260"/>
            <w:col w:w="3519"/>
          </w:cols>
          <w:pgMar w:left="232" w:top="461" w:right="1440" w:bottom="1440" w:gutter="0" w:footer="0" w:header="0"/>
          <w:type w:val="continuous"/>
        </w:sectPr>
      </w:pPr>
    </w:p>
    <w:p>
      <w:pPr>
        <w:spacing w:after="0" w:line="318" w:lineRule="exact"/>
        <w:rPr>
          <w:sz w:val="20"/>
          <w:szCs w:val="20"/>
          <w:color w:val="auto"/>
        </w:rPr>
      </w:pPr>
    </w:p>
    <w:p>
      <w:pPr>
        <w:ind w:left="448" w:hanging="448"/>
        <w:spacing w:after="0"/>
        <w:tabs>
          <w:tab w:leader="none" w:pos="4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COMMON STOCK</w:t>
      </w:r>
    </w:p>
    <w:p>
      <w:pPr>
        <w:spacing w:after="0" w:line="348"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program by more than</w:t>
      </w:r>
    </w:p>
    <w:p>
      <w:pPr>
        <w:spacing w:after="0" w:line="7"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$1 million, based upon the share price paid by Genentech. Accordingly, the common stock is classified as redeemable common stock until such time as the related funds are expended. At December 31, 1998, $3,051,000</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7"/>
          </w:cols>
          <w:pgMar w:left="232" w:top="461" w:right="1440" w:bottom="1440" w:gutter="0" w:footer="0" w:header="0"/>
          <w:type w:val="continuous"/>
        </w:sectPr>
      </w:pPr>
    </w:p>
    <w:bookmarkStart w:id="76" w:name="page77"/>
    <w:bookmarkEnd w:id="76"/>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COMMON STOCK (CONTINUED)</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had been spent on the collaboration with Genentech and, accordingly, the Company has reclassified 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reclassified the amount recorded at December 31, 1999 as Redeemable Common Stock ($5,248,000) to Stockholders' Equity in March 2000. The Company and Genentech also agreed that all of the agreements between them were terminated and that neither had any claim to the intellectual property of the other.</w:t>
      </w:r>
    </w:p>
    <w:p>
      <w:pPr>
        <w:spacing w:after="0" w:line="179" w:lineRule="exact"/>
        <w:rPr>
          <w:sz w:val="20"/>
          <w:szCs w:val="20"/>
          <w:color w:val="auto"/>
        </w:rPr>
      </w:pPr>
    </w:p>
    <w:p>
      <w:pPr>
        <w:ind w:left="448" w:hanging="448"/>
        <w:spacing w:after="0"/>
        <w:tabs>
          <w:tab w:leader="none" w:pos="4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TO BE ISSUED</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74" w:lineRule="exact"/>
        <w:rPr>
          <w:sz w:val="20"/>
          <w:szCs w:val="20"/>
          <w:color w:val="auto"/>
        </w:rPr>
      </w:pPr>
    </w:p>
    <w:p>
      <w:pPr>
        <w:ind w:left="448" w:hanging="448"/>
        <w:spacing w:after="0"/>
        <w:tabs>
          <w:tab w:leader="none" w:pos="4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1999, the Company had reserved 2,603,736 shares of common stock for the exercise of stock options.</w:t>
      </w:r>
    </w:p>
    <w:p>
      <w:pPr>
        <w:spacing w:after="0" w:line="17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7"/>
          </w:cols>
          <w:pgMar w:left="232" w:top="461" w:right="1440" w:bottom="1440" w:gutter="0" w:footer="0" w:header="0"/>
        </w:sectPr>
      </w:pPr>
    </w:p>
    <w:bookmarkStart w:id="77" w:name="page78"/>
    <w:bookmarkEnd w:id="77"/>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4" w:lineRule="exact"/>
        <w:rPr>
          <w:sz w:val="20"/>
          <w:szCs w:val="20"/>
          <w:color w:val="auto"/>
        </w:rPr>
      </w:pPr>
    </w:p>
    <w:p>
      <w:pPr>
        <w:ind w:left="8" w:right="3580" w:firstLine="358"/>
        <w:spacing w:after="0" w:line="241"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right"/>
              <w:ind w:right="1045"/>
              <w:spacing w:after="0"/>
              <w:rPr>
                <w:sz w:val="20"/>
                <w:szCs w:val="20"/>
                <w:color w:val="auto"/>
              </w:rPr>
            </w:pPr>
            <w:r>
              <w:rPr>
                <w:rFonts w:ascii="Courier New" w:cs="Courier New" w:eastAsia="Courier New" w:hAnsi="Courier New"/>
                <w:sz w:val="15"/>
                <w:szCs w:val="15"/>
                <w:color w:val="auto"/>
                <w:w w:val="94"/>
              </w:rPr>
              <w:t>1999</w:t>
            </w:r>
          </w:p>
        </w:tc>
        <w:tc>
          <w:tcPr>
            <w:tcW w:w="1120" w:type="dxa"/>
            <w:vAlign w:val="bottom"/>
          </w:tcPr>
          <w:p>
            <w:pPr>
              <w:spacing w:after="0"/>
              <w:rPr>
                <w:sz w:val="14"/>
                <w:szCs w:val="14"/>
                <w:color w:val="auto"/>
              </w:rPr>
            </w:pPr>
          </w:p>
        </w:tc>
        <w:tc>
          <w:tcPr>
            <w:tcW w:w="156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88"/>
              </w:rPr>
              <w:t>1998</w:t>
            </w:r>
          </w:p>
        </w:tc>
        <w:tc>
          <w:tcPr>
            <w:tcW w:w="1080" w:type="dxa"/>
            <w:vAlign w:val="bottom"/>
          </w:tcPr>
          <w:p>
            <w:pPr>
              <w:spacing w:after="0"/>
              <w:rPr>
                <w:sz w:val="14"/>
                <w:szCs w:val="14"/>
                <w:color w:val="auto"/>
              </w:rPr>
            </w:pPr>
          </w:p>
        </w:tc>
        <w:tc>
          <w:tcPr>
            <w:tcW w:w="13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2760" w:type="dxa"/>
            <w:vAlign w:val="bottom"/>
          </w:tcPr>
          <w:p>
            <w:pPr>
              <w:spacing w:after="0"/>
              <w:rPr>
                <w:sz w:val="14"/>
                <w:szCs w:val="14"/>
                <w:color w:val="auto"/>
              </w:rPr>
            </w:pPr>
          </w:p>
        </w:tc>
        <w:tc>
          <w:tcPr>
            <w:tcW w:w="2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WEIGHTED</w:t>
            </w:r>
          </w:p>
        </w:tc>
        <w:tc>
          <w:tcPr>
            <w:tcW w:w="112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c>
          <w:tcPr>
            <w:tcW w:w="108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112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c>
          <w:tcPr>
            <w:tcW w:w="108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PRICE</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PRICE</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1,654,126</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2,446,573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$7.48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2,423,025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536,078</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1,174,118</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679,074</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(604,362)</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(82,737)</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(646,507)</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7.08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(572,789)</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9.21</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939,335</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1,654,126</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2,446,573</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$7.48</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594,216</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1,108,936</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$4.33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1,338,163</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$7.79</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left="8" w:right="3320" w:firstLine="358"/>
        <w:spacing w:after="0" w:line="242" w:lineRule="auto"/>
        <w:rPr>
          <w:sz w:val="20"/>
          <w:szCs w:val="20"/>
          <w:color w:val="auto"/>
        </w:rPr>
      </w:pPr>
      <w:r>
        <w:rPr>
          <w:rFonts w:ascii="Courier New" w:cs="Courier New" w:eastAsia="Courier New" w:hAnsi="Courier New"/>
          <w:sz w:val="15"/>
          <w:szCs w:val="15"/>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75,384 of these options are exercisable at December 31, 1997, 96,750 of these options vest and become exercisable only upon achievement of specified milestones, and the remaining 78,210 options vest over three years from the date of grant. The value of such options, utilizing the intrinsic method, were accounted for as part of the StemCells California acquisition price. Additionally, the Company adopted the 1997 CytoTherapeutics, Inc. StemCells California Research Stock Option Plan (the StemCells California Research Plan) whereby an additional 2,000,000 shares of Common Stock have been reserved. During 1997, the Company awarded options under the StemCells Research Plan to purchase 1.6 million shares of the Company's common stock to the Chief Executive Officer and scientific founders of StemCells at an exercise price of $5.25 per share. Under the original grants, approximately 100,000 of these options were exercisable immediately on the date of grant, 1,031,000 of these options would vest and become exercisable only upon achievement of specified milestones and the remaining 469,000 options would vest over eight years.</w:t>
      </w:r>
    </w:p>
    <w:p>
      <w:pPr>
        <w:spacing w:after="0" w:line="35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FAS 123 DISCLOSURES</w:t>
      </w:r>
    </w:p>
    <w:p>
      <w:pPr>
        <w:spacing w:after="0" w:line="176" w:lineRule="exact"/>
        <w:rPr>
          <w:sz w:val="20"/>
          <w:szCs w:val="20"/>
          <w:color w:val="auto"/>
        </w:rPr>
      </w:pPr>
    </w:p>
    <w:p>
      <w:pPr>
        <w:ind w:left="8" w:right="3400" w:firstLine="358"/>
        <w:spacing w:after="0" w:line="242" w:lineRule="auto"/>
        <w:rPr>
          <w:sz w:val="20"/>
          <w:szCs w:val="20"/>
          <w:color w:val="auto"/>
        </w:rPr>
      </w:pPr>
      <w:r>
        <w:rPr>
          <w:rFonts w:ascii="Courier New" w:cs="Courier New" w:eastAsia="Courier New" w:hAnsi="Courier New"/>
          <w:sz w:val="15"/>
          <w:szCs w:val="15"/>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468"/>
          </w:cols>
          <w:pgMar w:left="232" w:top="461" w:right="1199" w:bottom="1440" w:gutter="0" w:footer="0" w:header="0"/>
        </w:sectPr>
      </w:pPr>
    </w:p>
    <w:bookmarkStart w:id="78" w:name="page79"/>
    <w:bookmarkEnd w:id="78"/>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403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4" w:lineRule="exact"/>
        <w:rPr>
          <w:sz w:val="20"/>
          <w:szCs w:val="20"/>
          <w:color w:val="auto"/>
        </w:rPr>
      </w:pPr>
    </w:p>
    <w:p>
      <w:pPr>
        <w:ind w:left="8" w:right="4400" w:firstLine="358"/>
        <w:spacing w:after="0" w:line="274"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1999:</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1000" w:type="dxa"/>
            <w:vAlign w:val="bottom"/>
          </w:tcPr>
          <w:p>
            <w:pPr>
              <w:spacing w:after="0"/>
              <w:rPr>
                <w:sz w:val="14"/>
                <w:szCs w:val="14"/>
                <w:color w:val="auto"/>
              </w:rPr>
            </w:pPr>
          </w:p>
        </w:tc>
        <w:tc>
          <w:tcPr>
            <w:tcW w:w="21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OPTIONS EXERCISABLE</w:t>
            </w:r>
          </w:p>
        </w:tc>
      </w:tr>
      <w:tr>
        <w:trPr>
          <w:trHeight w:val="172"/>
        </w:trPr>
        <w:tc>
          <w:tcPr>
            <w:tcW w:w="392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w w:val="75"/>
              </w:rPr>
              <w:t>------------------------------------</w:t>
            </w:r>
          </w:p>
        </w:tc>
        <w:tc>
          <w:tcPr>
            <w:tcW w:w="1000" w:type="dxa"/>
            <w:vAlign w:val="bottom"/>
          </w:tcPr>
          <w:p>
            <w:pPr>
              <w:spacing w:after="0"/>
              <w:rPr>
                <w:sz w:val="14"/>
                <w:szCs w:val="14"/>
                <w:color w:val="auto"/>
              </w:rPr>
            </w:pPr>
          </w:p>
        </w:tc>
        <w:tc>
          <w:tcPr>
            <w:tcW w:w="2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WEIGHTED</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AVERAGE</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3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REMAINING</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3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RANGE OF</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CONTRACTUAL</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3920" w:type="dxa"/>
            <w:vAlign w:val="bottom"/>
          </w:tcPr>
          <w:p>
            <w:pPr>
              <w:ind w:left="1160"/>
              <w:spacing w:after="0"/>
              <w:rPr>
                <w:sz w:val="20"/>
                <w:szCs w:val="20"/>
                <w:color w:val="auto"/>
              </w:rPr>
            </w:pPr>
            <w:r>
              <w:rPr>
                <w:rFonts w:ascii="Courier New" w:cs="Courier New" w:eastAsia="Courier New" w:hAnsi="Courier New"/>
                <w:sz w:val="15"/>
                <w:szCs w:val="15"/>
                <w:color w:val="auto"/>
              </w:rPr>
              <w:t>EXERCISE PRICES</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LIFE (YRS.)</w:t>
            </w:r>
          </w:p>
        </w:tc>
        <w:tc>
          <w:tcPr>
            <w:tcW w:w="10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EXERCISABLE</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Less than $5.00...........................</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755,398</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8.50</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$ 1.12</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411,945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$ 1.02</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$5.01-$10.00..............................</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90,687</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4.56</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6.55</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89,021</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6.55</w:t>
            </w:r>
          </w:p>
        </w:tc>
      </w:tr>
      <w:tr>
        <w:trPr>
          <w:trHeight w:val="172"/>
        </w:trPr>
        <w:tc>
          <w:tcPr>
            <w:tcW w:w="3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Greater than $10.00.......................</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93,250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2.54</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11.18</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93,250</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11.18</w:t>
            </w:r>
          </w:p>
        </w:tc>
      </w:tr>
      <w:tr>
        <w:trPr>
          <w:trHeight w:val="172"/>
        </w:trPr>
        <w:tc>
          <w:tcPr>
            <w:tcW w:w="39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939,335</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594,216</w:t>
            </w:r>
          </w:p>
        </w:tc>
        <w:tc>
          <w:tcPr>
            <w:tcW w:w="94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bl>
    <w:p>
      <w:pPr>
        <w:spacing w:after="0" w:line="348" w:lineRule="exact"/>
        <w:rPr>
          <w:sz w:val="20"/>
          <w:szCs w:val="20"/>
          <w:color w:val="auto"/>
        </w:rPr>
      </w:pPr>
    </w:p>
    <w:p>
      <w:pPr>
        <w:ind w:left="8" w:right="4040" w:firstLine="358"/>
        <w:spacing w:after="0" w:line="242" w:lineRule="auto"/>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1999, 1998, and 1997, as if the compensation cost for the option plans and the stock purchase plan had been determined based on the fair value at the grant date for grants in 1999, 1998, and 1997, consistent with the provisions of FAS 123:</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6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1960" w:type="dxa"/>
            <w:vAlign w:val="bottom"/>
          </w:tcPr>
          <w:p>
            <w:pPr>
              <w:spacing w:after="0"/>
              <w:rPr>
                <w:sz w:val="14"/>
                <w:szCs w:val="14"/>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$(15,764,569)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$(14,919,389)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$(18,113,580)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$(19,924,437)</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bl>
    <w:p>
      <w:pPr>
        <w:spacing w:after="0" w:line="348" w:lineRule="exact"/>
        <w:rPr>
          <w:sz w:val="20"/>
          <w:szCs w:val="20"/>
          <w:color w:val="auto"/>
        </w:rPr>
      </w:pPr>
    </w:p>
    <w:p>
      <w:pPr>
        <w:ind w:left="8" w:right="4120" w:firstLine="358"/>
        <w:spacing w:after="0" w:line="242" w:lineRule="auto"/>
        <w:rPr>
          <w:sz w:val="20"/>
          <w:szCs w:val="20"/>
          <w:color w:val="auto"/>
        </w:rPr>
      </w:pPr>
      <w:r>
        <w:rPr>
          <w:rFonts w:ascii="Courier New" w:cs="Courier New" w:eastAsia="Courier New" w:hAnsi="Courier New"/>
          <w:sz w:val="15"/>
          <w:szCs w:val="15"/>
          <w:color w:val="auto"/>
        </w:rPr>
        <w:t>The weighted average fair value per share of options granted during 1999, 1998 and 1997 was $.88, $.82 and $3.40, respectively. The fair value of options and shares issued pursuant to the stock purchase plan at the date of grant were estimated using the Black-Scholes model with the following weighted average assumptions: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spacing w:after="0"/>
              <w:rPr>
                <w:sz w:val="14"/>
                <w:szCs w:val="14"/>
                <w:color w:val="auto"/>
              </w:rPr>
            </w:pPr>
          </w:p>
        </w:tc>
        <w:tc>
          <w:tcPr>
            <w:tcW w:w="282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STOCK PURCHASE PLAN</w:t>
            </w:r>
          </w:p>
        </w:tc>
      </w:tr>
      <w:tr>
        <w:trPr>
          <w:trHeight w:val="172"/>
        </w:trPr>
        <w:tc>
          <w:tcPr>
            <w:tcW w:w="4920" w:type="dxa"/>
            <w:vAlign w:val="bottom"/>
          </w:tcPr>
          <w:p>
            <w:pPr>
              <w:spacing w:after="0"/>
              <w:rPr>
                <w:sz w:val="14"/>
                <w:szCs w:val="14"/>
                <w:color w:val="auto"/>
              </w:rPr>
            </w:pP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3"/>
              </w:rPr>
              <w:t>------------------------------------</w:t>
            </w:r>
          </w:p>
        </w:tc>
        <w:tc>
          <w:tcPr>
            <w:tcW w:w="112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92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134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134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59.0%</w:t>
            </w:r>
          </w:p>
        </w:tc>
      </w:tr>
    </w:tbl>
    <w:p>
      <w:pPr>
        <w:spacing w:after="0" w:line="348" w:lineRule="exact"/>
        <w:rPr>
          <w:sz w:val="20"/>
          <w:szCs w:val="20"/>
          <w:color w:val="auto"/>
        </w:rPr>
      </w:pPr>
    </w:p>
    <w:p>
      <w:pPr>
        <w:ind w:left="8" w:right="4480" w:firstLine="358"/>
        <w:spacing w:after="0"/>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w:t>
      </w:r>
    </w:p>
    <w:p>
      <w:pPr>
        <w:spacing w:after="0" w:line="176" w:lineRule="exact"/>
        <w:rPr>
          <w:sz w:val="20"/>
          <w:szCs w:val="20"/>
          <w:color w:val="auto"/>
        </w:rPr>
      </w:pPr>
    </w:p>
    <w:p>
      <w:pPr>
        <w:ind w:left="8" w:right="4040" w:firstLine="358"/>
        <w:spacing w:after="0" w:line="242" w:lineRule="auto"/>
        <w:rPr>
          <w:sz w:val="20"/>
          <w:szCs w:val="20"/>
          <w:color w:val="auto"/>
        </w:rPr>
      </w:pPr>
      <w:r>
        <w:rPr>
          <w:rFonts w:ascii="Courier New" w:cs="Courier New" w:eastAsia="Courier New" w:hAnsi="Courier New"/>
          <w:sz w:val="15"/>
          <w:szCs w:val="15"/>
          <w:color w:val="auto"/>
        </w:rPr>
        <w:t>The effects on 1999, 1998 and 1997 pro forma net loss and net loss per share of expensing the estimated fair value of stock options and shares issued pursuant to the stock purchase plan are not necessarily representative of the effects on reporting the results of operations for future years as the period presented includes only four, three or two years, respectively, of option grants under the Company's plans. As required by FAS 123, the Company has used the Black-Scholes model for option valuation, which method may not accurately value the options described.</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1188"/>
          </w:cols>
          <w:pgMar w:left="232" w:top="461" w:right="479" w:bottom="1440" w:gutter="0" w:footer="0" w:header="0"/>
        </w:sectPr>
      </w:pPr>
    </w:p>
    <w:bookmarkStart w:id="79" w:name="page80"/>
    <w:bookmarkEnd w:id="79"/>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6919" w:hanging="8"/>
        <w:spacing w:after="0"/>
        <w:tabs>
          <w:tab w:leader="none" w:pos="45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 STOCK WARRANTS</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conjunction with the StemCells California merger, the Company exchanged StemCells California warrants for warrants to purchase 8,952 shares of Company common stock at $4.71 per share; such warrants were valued using the intrinsic value method and were accounted for as part of the purchase price. In conjunction with various equipment leasing agreements, the Company had outstanding warrants to purchase 31,545 shares of common stock at prices ranging from $4.00 to $9.00 per share. The warrants expired in October 2000.</w:t>
      </w:r>
    </w:p>
    <w:p>
      <w:pPr>
        <w:spacing w:after="0" w:line="200" w:lineRule="exact"/>
        <w:rPr>
          <w:sz w:val="20"/>
          <w:szCs w:val="20"/>
          <w:color w:val="auto"/>
        </w:rPr>
      </w:pPr>
    </w:p>
    <w:p>
      <w:pPr>
        <w:spacing w:after="0" w:line="321"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In connection with a public offering of common stock in April 1995, the Company issued warrants to purchase 434,500 shares of common stock at $8 per share. The warrants are nontransferable and expired in April 2000, subject to certain required exercise provisions. In addition to the foregoing rights, the holder of such warrants has the right, in the event the Company issues additional shares of common stock or other securities convertible into common stock, to purchase at the then market price of such common stock, sufficient additional shares of common stock to maintain the warrant holder's percentage ownership of the Company's common stock at 15%. This right, subject to certain conditions and limitations, expired in April 2000.</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RESERVED</w:t>
      </w:r>
    </w:p>
    <w:p>
      <w:pPr>
        <w:spacing w:after="0" w:line="176" w:lineRule="exact"/>
        <w:rPr>
          <w:sz w:val="20"/>
          <w:szCs w:val="20"/>
          <w:color w:val="auto"/>
        </w:rPr>
      </w:pPr>
    </w:p>
    <w:p>
      <w:pPr>
        <w:ind w:left="8" w:right="3259" w:firstLine="358"/>
        <w:spacing w:after="0"/>
        <w:rPr>
          <w:sz w:val="20"/>
          <w:szCs w:val="20"/>
          <w:color w:val="auto"/>
        </w:rPr>
      </w:pPr>
      <w:r>
        <w:rPr>
          <w:rFonts w:ascii="Courier New" w:cs="Courier New" w:eastAsia="Courier New" w:hAnsi="Courier New"/>
          <w:sz w:val="15"/>
          <w:szCs w:val="15"/>
          <w:color w:val="auto"/>
        </w:rPr>
        <w:t>The Company has reserved 6,461,846 shares of common stock for the exercise of options, warrants and other contingent issuances of common stock.</w:t>
      </w:r>
    </w:p>
    <w:p>
      <w:pPr>
        <w:spacing w:after="0" w:line="174" w:lineRule="exact"/>
        <w:rPr>
          <w:sz w:val="20"/>
          <w:szCs w:val="20"/>
          <w:color w:val="auto"/>
        </w:rPr>
      </w:pPr>
    </w:p>
    <w:p>
      <w:pPr>
        <w:ind w:left="448" w:hanging="448"/>
        <w:spacing w:after="0"/>
        <w:tabs>
          <w:tab w:leader="none" w:pos="44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$77,000 in 1997, $307,000 in 1998, and $309,000 in 1999.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354" w:lineRule="exact"/>
        <w:rPr>
          <w:sz w:val="20"/>
          <w:szCs w:val="20"/>
          <w:color w:val="auto"/>
        </w:rPr>
      </w:pPr>
    </w:p>
    <w:p>
      <w:pPr>
        <w:ind w:left="8" w:right="3339" w:firstLine="358"/>
        <w:spacing w:after="0" w:line="242" w:lineRule="auto"/>
        <w:rPr>
          <w:sz w:val="20"/>
          <w:szCs w:val="20"/>
          <w:color w:val="auto"/>
        </w:rPr>
      </w:pPr>
      <w:r>
        <w:rPr>
          <w:rFonts w:ascii="Courier New" w:cs="Courier New" w:eastAsia="Courier New" w:hAnsi="Courier New"/>
          <w:sz w:val="15"/>
          <w:szCs w:val="15"/>
          <w:color w:val="auto"/>
        </w:rPr>
        <w:t>In April 1997, the Company entered into an agreement with Neurospheres, Ltd., which superseded all previous licensing agreements and settled a dispute with Neurospheres. Under the terms of the settlement, the Company has an exclusive royalty bearing license for growth-factor responsive stem cells for transplantation. Neurospheres had an option to acquire</w:t>
      </w:r>
    </w:p>
    <w:p>
      <w:pPr>
        <w:spacing w:after="0" w:line="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co-exclusive rights but did not exercise by the April 1998 deadline. The Company retains exclusive rights for transplantation. The parties have no further research obligations to each other, and the Company is under no obligation to provide additional funding.</w:t>
      </w:r>
    </w:p>
    <w:p>
      <w:pPr>
        <w:spacing w:after="0" w:line="200" w:lineRule="exact"/>
        <w:rPr>
          <w:sz w:val="20"/>
          <w:szCs w:val="20"/>
          <w:color w:val="auto"/>
        </w:rPr>
      </w:pPr>
    </w:p>
    <w:p>
      <w:pPr>
        <w:spacing w:after="0" w:line="319" w:lineRule="exact"/>
        <w:rPr>
          <w:sz w:val="20"/>
          <w:szCs w:val="20"/>
          <w:color w:val="auto"/>
        </w:rPr>
      </w:pPr>
    </w:p>
    <w:p>
      <w:pPr>
        <w:ind w:left="8" w:right="3879" w:firstLine="358"/>
        <w:spacing w:after="0" w:line="241" w:lineRule="auto"/>
        <w:rPr>
          <w:sz w:val="20"/>
          <w:szCs w:val="20"/>
          <w:color w:val="auto"/>
        </w:rPr>
      </w:pPr>
      <w:r>
        <w:rPr>
          <w:rFonts w:ascii="Courier New" w:cs="Courier New" w:eastAsia="Courier New" w:hAnsi="Courier New"/>
          <w:sz w:val="15"/>
          <w:szCs w:val="15"/>
          <w:color w:val="auto"/>
        </w:rPr>
        <w:t>In February 1997, the Company and Cognetix, Inc. entered into a Collaboration and Development Agreement related to the Company's former encapsulated cell technology. As part of the agreement</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7"/>
          </w:cols>
          <w:pgMar w:left="232" w:top="461" w:right="1440" w:bottom="1440" w:gutter="0" w:footer="0" w:header="0"/>
        </w:sectPr>
      </w:pPr>
    </w:p>
    <w:bookmarkStart w:id="80" w:name="page81"/>
    <w:bookmarkEnd w:id="80"/>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with Cognetix, the Company purchased $250,000 of Cognetix preferred stock and, subject to certain milestones, was obligated to purchase as much as $1,500,000 of additional Cognetix stock over the next year. In July 1997, the Company loaned $250,000 to Cognetix which was repaid with interest in October 1997. In October 1998, the Company sold the $250,000 of preferred stock back to Cognetix for $298,914. The Company is under no obligation to provide funding under this agreement.</w:t>
      </w:r>
    </w:p>
    <w:p>
      <w:pPr>
        <w:spacing w:after="0" w:line="200" w:lineRule="exact"/>
        <w:rPr>
          <w:sz w:val="20"/>
          <w:szCs w:val="20"/>
          <w:color w:val="auto"/>
        </w:rPr>
      </w:pPr>
    </w:p>
    <w:p>
      <w:pPr>
        <w:spacing w:after="0" w:line="321" w:lineRule="exact"/>
        <w:rPr>
          <w:sz w:val="20"/>
          <w:szCs w:val="20"/>
          <w:color w:val="auto"/>
        </w:rPr>
      </w:pPr>
    </w:p>
    <w:p>
      <w:pPr>
        <w:ind w:left="8" w:right="3159" w:firstLine="358"/>
        <w:spacing w:after="0" w:line="260" w:lineRule="auto"/>
        <w:rPr>
          <w:sz w:val="20"/>
          <w:szCs w:val="20"/>
          <w:color w:val="auto"/>
        </w:rPr>
      </w:pPr>
      <w:r>
        <w:rPr>
          <w:rFonts w:ascii="Courier New" w:cs="Courier New" w:eastAsia="Courier New" w:hAnsi="Courier New"/>
          <w:sz w:val="14"/>
          <w:szCs w:val="14"/>
          <w:color w:val="auto"/>
        </w:rPr>
        <w:t>In 1996, the Company signed certain collaborative development and licensing agreements with Genentech, Inc. Under the terms of one of those agreements, Genentech purchased 829,171 shares of redeemable common stock for $8.3 million to fund development of products to treat Parkinson's disease. Genentech had the right, at its discretion, to terminate the Parkinson's program at specified milestones in the program. The Agreement also provided that if the Parkinson's program were terminated and the funds the Company received from the sale of stock to Genentech pursuant to the Parkinson's agreement exceeded the expenses incurred by the Company in connection with such program by more than</w:t>
      </w:r>
    </w:p>
    <w:p>
      <w:pPr>
        <w:spacing w:after="0" w:line="2"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 million, Genentech had the right to require the Company to repurchase from Genentech shares of the Company's common stock having a value equal to the over funding, based upon the share price paid by Genentech. As such, the common stock purchased by Genentech has been classified as redeemable common stock until the funds are expended on the program. On May 21, 1998, Genentech exercised its right to terminate the collaboration and negotiations ensued with respect to the amount of redeemable common stock to be redeemed in accordance with the agreement and the method of such redemption. In March 2000 the Company announced the settlement of this matter with Genentech and at that time the redeemable common stock was reclassified to common stock. The Company is under no obligation to provide additional funding to Genentech, Inc.</w:t>
      </w:r>
    </w:p>
    <w:p>
      <w:pPr>
        <w:spacing w:after="0" w:line="200" w:lineRule="exact"/>
        <w:rPr>
          <w:sz w:val="20"/>
          <w:szCs w:val="20"/>
          <w:color w:val="auto"/>
        </w:rPr>
      </w:pPr>
    </w:p>
    <w:p>
      <w:pPr>
        <w:spacing w:after="0" w:line="324"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w:t>
      </w:r>
    </w:p>
    <w:p>
      <w:pPr>
        <w:spacing w:after="0" w:line="36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7"/>
          </w:cols>
          <w:pgMar w:left="232" w:top="461" w:right="1440" w:bottom="1440" w:gutter="0" w:footer="0" w:header="0"/>
        </w:sectPr>
      </w:pPr>
    </w:p>
    <w:bookmarkStart w:id="81" w:name="page82"/>
    <w:bookmarkEnd w:id="81"/>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176" w:lineRule="exact"/>
        <w:rPr>
          <w:sz w:val="20"/>
          <w:szCs w:val="20"/>
          <w:color w:val="auto"/>
        </w:rPr>
      </w:pPr>
    </w:p>
    <w:p>
      <w:pPr>
        <w:jc w:val="both"/>
        <w:ind w:left="8" w:right="3159"/>
        <w:spacing w:after="0" w:line="241" w:lineRule="auto"/>
        <w:rPr>
          <w:sz w:val="20"/>
          <w:szCs w:val="20"/>
          <w:color w:val="auto"/>
        </w:rPr>
      </w:pPr>
      <w:r>
        <w:rPr>
          <w:rFonts w:ascii="Courier New" w:cs="Courier New" w:eastAsia="Courier New" w:hAnsi="Courier New"/>
          <w:sz w:val="15"/>
          <w:szCs w:val="15"/>
          <w:color w:val="auto"/>
        </w:rPr>
        <w:t>trials of the bovine cell-containing implant therapy and executed its right to terminate the agreement. The Company has no additional funding obligations with AstraZeneca.</w:t>
      </w:r>
    </w:p>
    <w:p>
      <w:pPr>
        <w:spacing w:after="0" w:line="200" w:lineRule="exact"/>
        <w:rPr>
          <w:sz w:val="20"/>
          <w:szCs w:val="20"/>
          <w:color w:val="auto"/>
        </w:rPr>
      </w:pPr>
    </w:p>
    <w:p>
      <w:pPr>
        <w:spacing w:after="0" w:line="320"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1"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$868,000, $1,259,000, and $1,326,000 for the years ended December 31, 1999, 1998 and 1997, respectively. The Company has no other significant collaborative research funding obligations.</w:t>
      </w:r>
    </w:p>
    <w:p>
      <w:pPr>
        <w:spacing w:after="0" w:line="348" w:lineRule="exact"/>
        <w:rPr>
          <w:sz w:val="20"/>
          <w:szCs w:val="20"/>
          <w:color w:val="auto"/>
        </w:rPr>
      </w:pPr>
    </w:p>
    <w:p>
      <w:pPr>
        <w:ind w:left="448" w:hanging="448"/>
        <w:spacing w:after="0"/>
        <w:tabs>
          <w:tab w:leader="none" w:pos="4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159" w:firstLine="358"/>
        <w:spacing w:after="0" w:line="262" w:lineRule="auto"/>
        <w:rPr>
          <w:sz w:val="20"/>
          <w:szCs w:val="20"/>
          <w:color w:val="auto"/>
        </w:rPr>
      </w:pPr>
      <w:r>
        <w:rPr>
          <w:rFonts w:ascii="Courier New" w:cs="Courier New" w:eastAsia="Courier New" w:hAnsi="Courier New"/>
          <w:sz w:val="14"/>
          <w:szCs w:val="14"/>
          <w:color w:val="auto"/>
        </w:rPr>
        <w:t>Due to net losses incurred by the Company in each year since inception, no provision for income taxes has been recorded. At December 31, 1999, the Company had tax net operating loss carry forwards of $96,195,000 and research and development tax credit carry forwards of $4,035,000 which expire at various times through 2019. Due to the "change in ownership" provisions of the Tax Reform Act of 1986, the Company's utilization of its net operating loss carry forwards and tax credits may be subject to annual limitation in future periods.</w:t>
      </w:r>
    </w:p>
    <w:p>
      <w:pPr>
        <w:spacing w:after="0" w:line="164"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26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4,331,000</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$ 28,124,000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38,478,000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10,786,000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4,035,000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928,000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47,772,000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42,791,000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(1,537,000)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47,526,000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41,254,000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(47,526,000)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(41,254,000)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259" w:firstLine="358"/>
        <w:spacing w:after="0" w:line="265" w:lineRule="auto"/>
        <w:rPr>
          <w:sz w:val="20"/>
          <w:szCs w:val="20"/>
          <w:color w:val="auto"/>
        </w:rPr>
      </w:pPr>
      <w:r>
        <w:rPr>
          <w:rFonts w:ascii="Courier New" w:cs="Courier New" w:eastAsia="Courier New" w:hAnsi="Courier New"/>
          <w:sz w:val="14"/>
          <w:szCs w:val="14"/>
          <w:color w:val="auto"/>
        </w:rPr>
        <w:t>Since there is uncertainty relating to the ultimate use of the loss carry forwards and tax credits, a valuation allowance has been recognized at December 31, 1999 and 1998, to fully offset the Company's deferred tax assets. The valuation allowance increased $6,272,000 in 1999, due primarily to the</w:t>
      </w:r>
    </w:p>
    <w:p>
      <w:pPr>
        <w:spacing w:after="0" w:line="15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7"/>
          </w:cols>
          <w:pgMar w:left="232" w:top="461" w:right="1440" w:bottom="1440" w:gutter="0" w:footer="0" w:header="0"/>
        </w:sectPr>
      </w:pPr>
    </w:p>
    <w:bookmarkStart w:id="82" w:name="page83"/>
    <w:bookmarkEnd w:id="82"/>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spacing w:after="0" w:line="4" w:lineRule="exact"/>
        <w:rPr>
          <w:sz w:val="20"/>
          <w:szCs w:val="20"/>
          <w:color w:val="auto"/>
        </w:rPr>
      </w:pPr>
    </w:p>
    <w:p>
      <w:pPr>
        <w:ind w:left="8" w:right="3779"/>
        <w:spacing w:after="0"/>
        <w:rPr>
          <w:sz w:val="20"/>
          <w:szCs w:val="20"/>
          <w:color w:val="auto"/>
        </w:rPr>
      </w:pPr>
      <w:r>
        <w:rPr>
          <w:rFonts w:ascii="Courier New" w:cs="Courier New" w:eastAsia="Courier New" w:hAnsi="Courier New"/>
          <w:sz w:val="15"/>
          <w:szCs w:val="15"/>
          <w:color w:val="auto"/>
        </w:rPr>
        <w:t>increases in net operating loss carry forwards and tax credits offset by reduction in capitalized research and development costs.</w:t>
      </w:r>
    </w:p>
    <w:p>
      <w:pPr>
        <w:spacing w:after="0" w:line="174" w:lineRule="exact"/>
        <w:rPr>
          <w:sz w:val="20"/>
          <w:szCs w:val="20"/>
          <w:color w:val="auto"/>
        </w:rPr>
      </w:pPr>
    </w:p>
    <w:p>
      <w:pPr>
        <w:ind w:left="448" w:hanging="448"/>
        <w:spacing w:after="0"/>
        <w:tabs>
          <w:tab w:leader="none" w:pos="44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$103,000, $146,000, and $169,000 for the years ended December 31, 1999, 1998 and 1997, respectively.</w:t>
      </w:r>
    </w:p>
    <w:p>
      <w:pPr>
        <w:spacing w:after="0" w:line="175" w:lineRule="exact"/>
        <w:rPr>
          <w:sz w:val="20"/>
          <w:szCs w:val="20"/>
          <w:color w:val="auto"/>
        </w:rPr>
      </w:pPr>
    </w:p>
    <w:p>
      <w:pPr>
        <w:ind w:left="448" w:hanging="448"/>
        <w:spacing w:after="0"/>
        <w:tabs>
          <w:tab w:leader="none" w:pos="4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Company is routinely involved in arbitration, litigation and other matters as part of the ordinary course of its business. While the resolution of any matter may have an impact on the Company's financial results for a particular reporting period, management believes the ultimate disposition of these matters will not have a materially adverse effect on the Company's consolidated financial position or results of operations.</w:t>
      </w:r>
    </w:p>
    <w:p>
      <w:pPr>
        <w:spacing w:after="0" w:line="174" w:lineRule="exact"/>
        <w:rPr>
          <w:sz w:val="20"/>
          <w:szCs w:val="20"/>
          <w:color w:val="auto"/>
        </w:rPr>
      </w:pPr>
    </w:p>
    <w:p>
      <w:pPr>
        <w:ind w:left="448" w:hanging="448"/>
        <w:spacing w:after="0"/>
        <w:tabs>
          <w:tab w:leader="none" w:pos="4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$1,500,000, on terms more favorable than it was then able to obtain from outside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investors. (SEE NOTE 3--"SALE OF 6% CUMULATIVE CONVERTIBLE PREFERRED STOCK.")</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7"/>
          </w:cols>
          <w:pgMar w:left="232" w:top="461" w:right="1440" w:bottom="1440" w:gutter="0" w:footer="0" w:header="0"/>
        </w:sectPr>
      </w:pPr>
    </w:p>
    <w:bookmarkStart w:id="83" w:name="page84"/>
    <w:bookmarkEnd w:id="83"/>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 2000</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(UNAUDITED)</w:t>
            </w:r>
          </w:p>
        </w:tc>
        <w:tc>
          <w:tcPr>
            <w:tcW w:w="36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(NOTE 1)</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5,535,264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4,760,064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sale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200,000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718,145</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1,210,791</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6,453,409</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8,970,855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Restricted investments......................................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19,220,165</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held for sale......................................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3,203,491</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3,203,491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1,524,650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1,747,885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Intangible assets,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936,745</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1,108,768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750,000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750,000</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32,088,460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15,780,999</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144,269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631,315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615,092</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2,605,068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326,250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324,167</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1,085,611</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3,560,550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2,775,000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2,937,083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596,222</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502,353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Redeemable stock............................................</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5,248,610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Convertible preferred stock...............................</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1,500,000</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196,127</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186,355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 in capital................................</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129,525,509</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123,917,758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(121,698,674)</w:t>
            </w:r>
          </w:p>
        </w:tc>
        <w:tc>
          <w:tcPr>
            <w:tcW w:w="36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(119,372,710)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19,220,165</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(1,137,500)</w:t>
            </w:r>
          </w:p>
        </w:tc>
        <w:tc>
          <w:tcPr>
            <w:tcW w:w="36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(1,225,000)</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27,605,627</w:t>
            </w:r>
          </w:p>
        </w:tc>
        <w:tc>
          <w:tcPr>
            <w:tcW w:w="36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3,506,403</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32,088,460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15,780,999</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461" w:right="1440" w:bottom="1440" w:gutter="0" w:footer="0" w:header="0"/>
        </w:sectPr>
      </w:pPr>
    </w:p>
    <w:bookmarkStart w:id="84" w:name="page85"/>
    <w:bookmarkEnd w:id="84"/>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42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SIX MONTHS ENDED JUNE 30</w:t>
            </w:r>
          </w:p>
        </w:tc>
      </w:tr>
      <w:tr>
        <w:trPr>
          <w:trHeight w:val="172"/>
        </w:trPr>
        <w:tc>
          <w:tcPr>
            <w:tcW w:w="5440" w:type="dxa"/>
            <w:vAlign w:val="bottom"/>
          </w:tcPr>
          <w:p>
            <w:pPr>
              <w:spacing w:after="0"/>
              <w:rPr>
                <w:sz w:val="14"/>
                <w:szCs w:val="14"/>
                <w:color w:val="auto"/>
              </w:rPr>
            </w:pPr>
          </w:p>
        </w:tc>
        <w:tc>
          <w:tcPr>
            <w:tcW w:w="24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 from collaborative arrangements.....................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$ 5,021,707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1,659,932</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6,847,383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2,078,286</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2,168,315</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3,738,218</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9,015,698</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(3,738,218)</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(3,993,991)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 income.........................................</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138,232</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406,331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(142,566)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(185,054)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1,416,588</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1,412,254</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221,277</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loss....................................................</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$(2,325,964)</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$(3,772,714)</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Loss per share:</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$(2,325,964)</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$(3,772,714)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Deemed dividend (note 6)..................................</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(265,000)</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 applicable to common shareholders................</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$(2,590,964)</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$(3,772,714)</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 per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19,419,236</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18,483,437</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461" w:right="1440" w:bottom="1440" w:gutter="0" w:footer="0" w:header="0"/>
        </w:sectPr>
      </w:pPr>
    </w:p>
    <w:bookmarkStart w:id="85" w:name="page86"/>
    <w:bookmarkEnd w:id="85"/>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(UNAUDITED)</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2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SIX MONTHS ENDED JUNE 30,</w:t>
            </w:r>
          </w:p>
        </w:tc>
      </w:tr>
      <w:tr>
        <w:trPr>
          <w:trHeight w:val="172"/>
        </w:trPr>
        <w:tc>
          <w:tcPr>
            <w:tcW w:w="5440" w:type="dxa"/>
            <w:vAlign w:val="bottom"/>
          </w:tcPr>
          <w:p>
            <w:pPr>
              <w:spacing w:after="0"/>
              <w:rPr>
                <w:sz w:val="14"/>
                <w:szCs w:val="14"/>
                <w:color w:val="auto"/>
              </w:rPr>
            </w:pPr>
          </w:p>
        </w:tc>
        <w:tc>
          <w:tcPr>
            <w:tcW w:w="2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operating activities:</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$(2,325,964)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$(3,772,714)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(1,416,588)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Adjustments to reconcile net loss to net cash used for</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operating activities:</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407,634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1,163,295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stock compensation.............................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87,500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189,650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(1,890,508)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(2,075,873)</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in operating activities.....................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(5,137,926)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(4,495,642)</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investing activities:</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marketable securities.......................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6,891,026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marketable securities........................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(4,397,676)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1,416,588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encapsulated cell technology........</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2,800,000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Purchase/Sale of property, plant and equipment............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(131,113)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 of other assets...............................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(274,510)</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4,204,213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2,087,727</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financing activities:</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the exercise of stock options...............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368,913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176,545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preferred stock.................</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1,500,000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Principal payments under capitalized lease obligations</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mortgage payable..................................</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(881,250)</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(used by) financing activities.......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1,708,913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(704,705)</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increase/(decrease) in cash and cash equivalents........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775,200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(3,112,620)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4,760,064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7,864,788</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$ 5,535,264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$ 4,752,168</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461" w:right="1440" w:bottom="1440" w:gutter="0" w:footer="0" w:header="0"/>
        </w:sectPr>
      </w:pPr>
    </w:p>
    <w:bookmarkStart w:id="86" w:name="page87"/>
    <w:bookmarkEnd w:id="86"/>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JUNE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On May 23, 2000, the Company's name was changed to StemCells,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six months ended June 30, 2000 are not necessarily indicative of the results that may be expected for the entire fiscal year ending December 31, 2000.</w:t>
      </w:r>
    </w:p>
    <w:p>
      <w:pPr>
        <w:spacing w:after="0" w:line="178"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The balance sheet at December 31, 1999 has been derived from the audited financial statements at that date but does not include all of the information and footnotes required for complete financial statements in accordance with generally accepted accounting principles.</w:t>
      </w:r>
    </w:p>
    <w:p>
      <w:pPr>
        <w:spacing w:after="0" w:line="175" w:lineRule="exact"/>
        <w:rPr>
          <w:sz w:val="20"/>
          <w:szCs w:val="20"/>
          <w:color w:val="auto"/>
        </w:rPr>
      </w:pPr>
    </w:p>
    <w:p>
      <w:pPr>
        <w:ind w:right="3439" w:firstLine="358"/>
        <w:spacing w:after="0" w:line="241" w:lineRule="auto"/>
        <w:rPr>
          <w:sz w:val="20"/>
          <w:szCs w:val="20"/>
          <w:color w:val="auto"/>
        </w:rPr>
      </w:pPr>
      <w:r>
        <w:rPr>
          <w:rFonts w:ascii="Courier New" w:cs="Courier New" w:eastAsia="Courier New" w:hAnsi="Courier New"/>
          <w:sz w:val="15"/>
          <w:szCs w:val="15"/>
          <w:color w:val="auto"/>
        </w:rPr>
        <w:t>For the complete financial statements, refer to the audited financial statements and footnotes thereto as of December 31, 1999 included earlier in this prospectus.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EARNINGS PER SHARE</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Net loss-per-share is computed using the weighted-average number of shares of common stock outstanding. The value associated with the beneficial conversion feature of certain preferred stock has been treated as a deemed dividend in the computation of earnings per share (See Note 3 to the Financial Statements as of December 31, 1999.) Common equivalent shares from stock options and warrants are excluded, as their effect is antidilutive.</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INCOME</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For the six months ended June 30, 2000 and 1999, total comprehensive income/(loss) was $16,894,201 and ($3,772,714) respectively. The reported net loss for the six months ended June 30, 2000 and 1999 was $2,325,964 and $3,772,714. During the second quarter of 2000, the Company recorded its ownership of 126,193 shares of Modex Therapeutics Ltd. as available for sale at an estimated fair value of $19,220,165 (see note 4).</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INVESTMENTS</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At June 30, 2000, the Company owned 126,193 shares of Modex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Therapeutics Ltd. ("Modex"). This Swiss biotechnology company made an initial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offering of shares on the Swiss Neue Exchange on June 23,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Accordingly, with an established market value, the investment was marked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and recorded as available-for-sale at estimated fair market value based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June 30, 2000 closing price of $152.31 which was converted from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of 247.50 Swiss francs per share at that date. The market price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Modex stock on October 31, 2000 was 329.50 Swiss francs, which converts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$183.28 and results in an estimated fair market value for our holdings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$23,128,598. The</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461" w:right="1440" w:bottom="1440" w:gutter="0" w:footer="0" w:header="0"/>
        </w:sectPr>
      </w:pPr>
    </w:p>
    <w:bookmarkStart w:id="87" w:name="page88"/>
    <w:bookmarkEnd w:id="87"/>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JUNE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INVESTMENTS (CONTINUED)</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unrealized gain was reported in other comprehensive income. Estimated fair value at June 30, 2000 is as follows:</w:t>
      </w:r>
    </w:p>
    <w:p>
      <w:pPr>
        <w:sectPr>
          <w:pgSz w:w="11900" w:h="16838" w:orient="portrait"/>
          <w:cols w:equalWidth="0" w:num="1">
            <w:col w:w="10219"/>
          </w:cols>
          <w:pgMar w:left="240" w:top="461"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UNREALIZED GAIN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2040" w:space="100"/>
            <w:col w:w="2060" w:space="80"/>
            <w:col w:w="5939"/>
          </w:cols>
          <w:pgMar w:left="240" w:top="461" w:right="1440" w:bottom="1440" w:gutter="0" w:footer="0" w:header="0"/>
          <w:type w:val="continuous"/>
        </w:sectPr>
      </w:pPr>
    </w:p>
    <w:p>
      <w:pPr>
        <w:ind w:left="700"/>
        <w:spacing w:after="0"/>
        <w:tabs>
          <w:tab w:leader="none" w:pos="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$19,220,165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$19,220,165</w:t>
      </w:r>
    </w:p>
    <w:p>
      <w:pPr>
        <w:spacing w:after="0" w:line="209" w:lineRule="exact"/>
        <w:rPr>
          <w:sz w:val="20"/>
          <w:szCs w:val="20"/>
          <w:color w:val="auto"/>
        </w:rPr>
      </w:pPr>
    </w:p>
    <w:p>
      <w:pPr>
        <w:sectPr>
          <w:pgSz w:w="11900" w:h="16838" w:orient="portrait"/>
          <w:cols w:equalWidth="0" w:num="3">
            <w:col w:w="1860" w:space="720"/>
            <w:col w:w="980" w:space="720"/>
            <w:col w:w="5939"/>
          </w:cols>
          <w:pgMar w:left="240" w:top="461" w:right="1440" w:bottom="1440" w:gutter="0" w:footer="0" w:header="0"/>
          <w:type w:val="continuous"/>
        </w:sectPr>
      </w:pP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WIND-DOWN OF ENCAPSULATED CELL TECHNOLOGY</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the last two quarters of 1999, the Company wound down operations relating to its former encapsulated cell technology to focus its resources on the research and development of its proprietary stem cell technology platform. At the end of 1999 the balance in the reserve created for wind-down expenses was $1,634,522. For the first half of 2000 the roll-forward of this balance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RESERVE AS AT</w:t>
            </w:r>
          </w:p>
        </w:tc>
        <w:tc>
          <w:tcPr>
            <w:tcW w:w="1420" w:type="dxa"/>
            <w:vAlign w:val="bottom"/>
          </w:tcPr>
          <w:p>
            <w:pPr>
              <w:spacing w:after="0"/>
              <w:rPr>
                <w:sz w:val="14"/>
                <w:szCs w:val="14"/>
                <w:color w:val="auto"/>
              </w:rPr>
            </w:pP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RESERVE AS AT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6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12/31/99</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CASH PAYMENTS</w:t>
            </w:r>
          </w:p>
        </w:tc>
        <w:tc>
          <w:tcPr>
            <w:tcW w:w="3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6/30/00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Facilities, Maintenance and other Expenses.............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462,522</w:t>
            </w:r>
          </w:p>
        </w:tc>
        <w:tc>
          <w:tcPr>
            <w:tcW w:w="14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462,522</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RIPSAT Settlement......................................</w:t>
            </w:r>
          </w:p>
        </w:tc>
        <w:tc>
          <w:tcPr>
            <w:tcW w:w="2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1,172,000</w:t>
            </w:r>
          </w:p>
        </w:tc>
        <w:tc>
          <w:tcPr>
            <w:tcW w:w="14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1,172,000</w:t>
            </w:r>
          </w:p>
        </w:tc>
        <w:tc>
          <w:tcPr>
            <w:tcW w:w="3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1,634,522</w:t>
            </w:r>
          </w:p>
        </w:tc>
        <w:tc>
          <w:tcPr>
            <w:tcW w:w="14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$1,634,522</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SUBSEQUENT EVENTS</w:t>
      </w:r>
    </w:p>
    <w:p>
      <w:pPr>
        <w:spacing w:after="0" w:line="348" w:lineRule="exact"/>
        <w:rPr>
          <w:sz w:val="20"/>
          <w:szCs w:val="20"/>
          <w:color w:val="auto"/>
        </w:rPr>
      </w:pPr>
    </w:p>
    <w:p>
      <w:pPr>
        <w:ind w:right="3079" w:firstLine="358"/>
        <w:spacing w:after="0" w:line="260" w:lineRule="auto"/>
        <w:rPr>
          <w:sz w:val="20"/>
          <w:szCs w:val="20"/>
          <w:color w:val="auto"/>
        </w:rPr>
      </w:pPr>
      <w:r>
        <w:rPr>
          <w:rFonts w:ascii="Courier New" w:cs="Courier New" w:eastAsia="Courier New" w:hAnsi="Courier New"/>
          <w:sz w:val="14"/>
          <w:szCs w:val="14"/>
          <w:color w:val="auto"/>
        </w:rPr>
        <w:t>On August 3, 2000, the Company completed a $4 million common stock financing transaction with Millennium Partners, LP (the "Fund"). StemCells received</w:t>
      </w:r>
    </w:p>
    <w:p>
      <w:pPr>
        <w:ind w:right="3079"/>
        <w:spacing w:after="0" w:line="242" w:lineRule="auto"/>
        <w:rPr>
          <w:sz w:val="20"/>
          <w:szCs w:val="20"/>
          <w:color w:val="auto"/>
        </w:rPr>
      </w:pPr>
      <w:r>
        <w:rPr>
          <w:rFonts w:ascii="Courier New" w:cs="Courier New" w:eastAsia="Courier New" w:hAnsi="Courier New"/>
          <w:sz w:val="15"/>
          <w:szCs w:val="15"/>
          <w:color w:val="auto"/>
        </w:rPr>
        <w:t>$3 million of the purchase price at the closing and will receive the remaining $1 million upon effectiveness of a registration statement covering the shares owned by the Fund. The Fund purchased the Company's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$.01. The Company will have the right, under certain circumstances, to cap the number of additional shares by purchasing part of the entitlement from the Fund at a purchase price based on the market price of such shares. The Fund also received a five year warrant to purchase up to 101,587 shares of common stock at $4.725 per share. This warrant is callable at any time by StemCells at $7.875 per underlying share. The Company intends to account for the sale of the stock and warrants by adding that portion of the proceeds equal to the par value of the new shares to common stock and the balance, including the value of the warrants, to additional paid in capital. In addition, any repurchase of the shares by the Company would also be accounted for through additional paid in capital.</w:t>
      </w:r>
    </w:p>
    <w:p>
      <w:pPr>
        <w:spacing w:after="0" w:line="200" w:lineRule="exact"/>
        <w:rPr>
          <w:sz w:val="20"/>
          <w:szCs w:val="20"/>
          <w:color w:val="auto"/>
        </w:rPr>
      </w:pPr>
    </w:p>
    <w:p>
      <w:pPr>
        <w:spacing w:after="0" w:line="331"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 The price per share of common stock to be issued upon exercise of the option</w:t>
      </w:r>
    </w:p>
    <w:p>
      <w:pPr>
        <w:spacing w:after="0" w:line="33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461" w:right="1440" w:bottom="1440" w:gutter="0" w:footer="0" w:header="0"/>
          <w:type w:val="continuous"/>
        </w:sectPr>
      </w:pPr>
    </w:p>
    <w:bookmarkStart w:id="88" w:name="page89"/>
    <w:bookmarkEnd w:id="88"/>
    <w:p>
      <w:pPr>
        <w:jc w:val="center"/>
        <w:ind w:right="307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JUNE 30, 2000 AND 1999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SUBSEQUENT EVENTS (CONTINUED)</w:t>
      </w:r>
    </w:p>
    <w:p>
      <w:pPr>
        <w:spacing w:after="0" w:line="17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The Fund will pay the remaining $250,000 upon effectiveness of a registration statement covering the shares owned by the Fund. The Fund purchased the Company's common stock at $5.53 per share, which amount was based upon the average market price of the common stock for the five day period prior to August 23, 2000. An adjustable warrant similar to the one issued on</w:t>
      </w:r>
    </w:p>
    <w:p>
      <w:pPr>
        <w:spacing w:after="0" w:line="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 underlying share.</w:t>
      </w:r>
    </w:p>
    <w:p>
      <w:pPr>
        <w:spacing w:after="0" w:line="200" w:lineRule="exact"/>
        <w:rPr>
          <w:sz w:val="20"/>
          <w:szCs w:val="20"/>
          <w:color w:val="auto"/>
        </w:rPr>
      </w:pPr>
    </w:p>
    <w:p>
      <w:pPr>
        <w:spacing w:after="0" w:line="31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200" w:lineRule="exact"/>
        <w:rPr>
          <w:sz w:val="20"/>
          <w:szCs w:val="20"/>
          <w:color w:val="auto"/>
        </w:rPr>
      </w:pPr>
    </w:p>
    <w:p>
      <w:pPr>
        <w:spacing w:after="0" w:line="31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Company agreed on October 27, 2000 with Drs. Weissman and Gage to amend their options that were originally granted in connection with the Company's 1997 acquisition of StemCells California, Inc. so that, instead of vesting based on milestones, their options would vest over 8 years from the date of original grant. As a result, the options held by each of these two recipients currently are exercisable for 200,000 shares each. We expect to incur a charge of approximately $1,600,000 during the fourth quarter of 2000 as a result of these amendments.</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461" w:right="1440" w:bottom="1440" w:gutter="0" w:footer="0" w:header="0"/>
        </w:sectPr>
      </w:pPr>
    </w:p>
    <w:bookmarkStart w:id="89" w:name="page90"/>
    <w:bookmarkEnd w:id="89"/>
    <w:p>
      <w:pPr>
        <w:ind w:left="2140"/>
        <w:spacing w:after="0"/>
        <w:rPr>
          <w:sz w:val="20"/>
          <w:szCs w:val="20"/>
          <w:color w:val="auto"/>
        </w:rPr>
      </w:pPr>
      <w:r>
        <w:rPr>
          <w:rFonts w:ascii="Courier New" w:cs="Courier New" w:eastAsia="Courier New" w:hAnsi="Courier New"/>
          <w:sz w:val="15"/>
          <w:szCs w:val="15"/>
          <w:color w:val="auto"/>
        </w:rPr>
        <w:t>PRO FORMA FINANCIAL INFORMATION</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the third quarter of 1999, management reached a decision to exit the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gridSpan w:val="3"/>
          </w:tcPr>
          <w:p>
            <w:pPr>
              <w:spacing w:after="0"/>
              <w:rPr>
                <w:sz w:val="20"/>
                <w:szCs w:val="20"/>
                <w:color w:val="auto"/>
              </w:rPr>
            </w:pPr>
            <w:r>
              <w:rPr>
                <w:rFonts w:ascii="Courier New" w:cs="Courier New" w:eastAsia="Courier New" w:hAnsi="Courier New"/>
                <w:sz w:val="15"/>
                <w:szCs w:val="15"/>
                <w:color w:val="auto"/>
              </w:rPr>
              <w:t>Company's Encapsulated Cell Therapy (ECT) activities, dispose of</w:t>
            </w: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the related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800" w:type="dxa"/>
            <w:vAlign w:val="bottom"/>
            <w:gridSpan w:val="3"/>
          </w:tcPr>
          <w:p>
            <w:pPr>
              <w:spacing w:after="0"/>
              <w:rPr>
                <w:sz w:val="20"/>
                <w:szCs w:val="20"/>
                <w:color w:val="auto"/>
              </w:rPr>
            </w:pPr>
            <w:r>
              <w:rPr>
                <w:rFonts w:ascii="Courier New" w:cs="Courier New" w:eastAsia="Courier New" w:hAnsi="Courier New"/>
                <w:sz w:val="15"/>
                <w:szCs w:val="15"/>
                <w:color w:val="auto"/>
              </w:rPr>
              <w:t>intellectual property, facilities and equipment and relocate the</w:t>
            </w: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Lincoln, RI</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640" w:type="dxa"/>
            <w:vAlign w:val="bottom"/>
            <w:gridSpan w:val="5"/>
          </w:tcPr>
          <w:p>
            <w:pPr>
              <w:spacing w:after="0"/>
              <w:rPr>
                <w:sz w:val="20"/>
                <w:szCs w:val="20"/>
                <w:color w:val="auto"/>
              </w:rPr>
            </w:pPr>
            <w:r>
              <w:rPr>
                <w:rFonts w:ascii="Courier New" w:cs="Courier New" w:eastAsia="Courier New" w:hAnsi="Courier New"/>
                <w:sz w:val="15"/>
                <w:szCs w:val="15"/>
                <w:color w:val="auto"/>
              </w:rPr>
              <w:t>corporate headquarters to Sunnyvale, CA. At the same time, the Company accrued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640" w:type="dxa"/>
            <w:vAlign w:val="bottom"/>
            <w:gridSpan w:val="5"/>
          </w:tcPr>
          <w:p>
            <w:pPr>
              <w:spacing w:after="0"/>
              <w:rPr>
                <w:sz w:val="20"/>
                <w:szCs w:val="20"/>
                <w:color w:val="auto"/>
              </w:rPr>
            </w:pPr>
            <w:r>
              <w:rPr>
                <w:rFonts w:ascii="Courier New" w:cs="Courier New" w:eastAsia="Courier New" w:hAnsi="Courier New"/>
                <w:sz w:val="15"/>
                <w:szCs w:val="15"/>
                <w:color w:val="auto"/>
              </w:rPr>
              <w:t>various estimated expenses associated with the exit and wind-down of the ECT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640" w:type="dxa"/>
            <w:vAlign w:val="bottom"/>
            <w:gridSpan w:val="5"/>
          </w:tcPr>
          <w:p>
            <w:pPr>
              <w:spacing w:after="0"/>
              <w:rPr>
                <w:sz w:val="20"/>
                <w:szCs w:val="20"/>
                <w:color w:val="auto"/>
              </w:rPr>
            </w:pPr>
            <w:r>
              <w:rPr>
                <w:rFonts w:ascii="Courier New" w:cs="Courier New" w:eastAsia="Courier New" w:hAnsi="Courier New"/>
                <w:sz w:val="15"/>
                <w:szCs w:val="15"/>
                <w:color w:val="auto"/>
              </w:rPr>
              <w:t>activities, disposal of the related property and relocation of the corporate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800" w:type="dxa"/>
            <w:vAlign w:val="bottom"/>
            <w:gridSpan w:val="3"/>
          </w:tcPr>
          <w:p>
            <w:pPr>
              <w:spacing w:after="0"/>
              <w:rPr>
                <w:sz w:val="20"/>
                <w:szCs w:val="20"/>
                <w:color w:val="auto"/>
              </w:rPr>
            </w:pPr>
            <w:r>
              <w:rPr>
                <w:rFonts w:ascii="Courier New" w:cs="Courier New" w:eastAsia="Courier New" w:hAnsi="Courier New"/>
                <w:sz w:val="15"/>
                <w:szCs w:val="15"/>
                <w:color w:val="auto"/>
              </w:rPr>
              <w:t>headquarters. Additional accruals were provided in December 1999</w:t>
            </w: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for expenses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640" w:type="dxa"/>
            <w:vAlign w:val="bottom"/>
            <w:gridSpan w:val="5"/>
          </w:tcPr>
          <w:p>
            <w:pPr>
              <w:spacing w:after="0"/>
              <w:rPr>
                <w:sz w:val="20"/>
                <w:szCs w:val="20"/>
                <w:color w:val="auto"/>
              </w:rPr>
            </w:pPr>
            <w:r>
              <w:rPr>
                <w:rFonts w:ascii="Courier New" w:cs="Courier New" w:eastAsia="Courier New" w:hAnsi="Courier New"/>
                <w:sz w:val="15"/>
                <w:szCs w:val="15"/>
                <w:color w:val="auto"/>
              </w:rPr>
              <w:t>relating to settlement of a 1989 funding arrangement with the Rhode Island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640" w:type="dxa"/>
            <w:vAlign w:val="bottom"/>
            <w:gridSpan w:val="5"/>
          </w:tcPr>
          <w:p>
            <w:pPr>
              <w:spacing w:after="0"/>
              <w:rPr>
                <w:sz w:val="20"/>
                <w:szCs w:val="20"/>
                <w:color w:val="auto"/>
              </w:rPr>
            </w:pPr>
            <w:r>
              <w:rPr>
                <w:rFonts w:ascii="Courier New" w:cs="Courier New" w:eastAsia="Courier New" w:hAnsi="Courier New"/>
                <w:sz w:val="15"/>
                <w:szCs w:val="15"/>
                <w:color w:val="auto"/>
              </w:rPr>
              <w:t>Partnership for Science and Technology resulting from the Company's move out of</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640" w:type="dxa"/>
            <w:vAlign w:val="bottom"/>
            <w:gridSpan w:val="5"/>
          </w:tcPr>
          <w:p>
            <w:pPr>
              <w:spacing w:after="0"/>
              <w:rPr>
                <w:sz w:val="20"/>
                <w:szCs w:val="20"/>
                <w:color w:val="auto"/>
              </w:rPr>
            </w:pPr>
            <w:r>
              <w:rPr>
                <w:rFonts w:ascii="Courier New" w:cs="Courier New" w:eastAsia="Courier New" w:hAnsi="Courier New"/>
                <w:sz w:val="15"/>
                <w:szCs w:val="15"/>
                <w:color w:val="auto"/>
              </w:rPr>
              <w:t>Rhode Island, further adjustment to asset carrying values and estimated carrying</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6260" w:type="dxa"/>
            <w:vAlign w:val="bottom"/>
            <w:gridSpan w:val="4"/>
          </w:tcPr>
          <w:p>
            <w:pPr>
              <w:spacing w:after="0"/>
              <w:rPr>
                <w:sz w:val="20"/>
                <w:szCs w:val="20"/>
                <w:color w:val="auto"/>
              </w:rPr>
            </w:pPr>
            <w:r>
              <w:rPr>
                <w:rFonts w:ascii="Courier New" w:cs="Courier New" w:eastAsia="Courier New" w:hAnsi="Courier New"/>
                <w:sz w:val="15"/>
                <w:szCs w:val="15"/>
                <w:color w:val="auto"/>
                <w:w w:val="99"/>
              </w:rPr>
              <w:t>costs associated with the Rhode Island facilities through the expected</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800" w:type="dxa"/>
            <w:vAlign w:val="bottom"/>
            <w:gridSpan w:val="3"/>
          </w:tcPr>
          <w:p>
            <w:pPr>
              <w:spacing w:after="0"/>
              <w:rPr>
                <w:sz w:val="20"/>
                <w:szCs w:val="20"/>
                <w:color w:val="auto"/>
              </w:rPr>
            </w:pPr>
            <w:r>
              <w:rPr>
                <w:rFonts w:ascii="Courier New" w:cs="Courier New" w:eastAsia="Courier New" w:hAnsi="Courier New"/>
                <w:sz w:val="15"/>
                <w:szCs w:val="15"/>
                <w:color w:val="auto"/>
              </w:rPr>
              <w:t>disposition date. In addition, during December 1999, the Company</w:t>
            </w: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liquidated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640" w:type="dxa"/>
            <w:vAlign w:val="bottom"/>
            <w:gridSpan w:val="5"/>
          </w:tcPr>
          <w:p>
            <w:pPr>
              <w:spacing w:after="0"/>
              <w:rPr>
                <w:sz w:val="20"/>
                <w:szCs w:val="20"/>
                <w:color w:val="auto"/>
              </w:rPr>
            </w:pPr>
            <w:r>
              <w:rPr>
                <w:rFonts w:ascii="Courier New" w:cs="Courier New" w:eastAsia="Courier New" w:hAnsi="Courier New"/>
                <w:sz w:val="15"/>
                <w:szCs w:val="15"/>
                <w:color w:val="auto"/>
              </w:rPr>
              <w:t>certain ECT equipment and sold its ECT intellectual property to Neurotech, S.A.</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640" w:type="dxa"/>
            <w:vAlign w:val="bottom"/>
            <w:gridSpan w:val="5"/>
          </w:tcPr>
          <w:p>
            <w:pPr>
              <w:spacing w:after="0"/>
              <w:rPr>
                <w:sz w:val="20"/>
                <w:szCs w:val="20"/>
                <w:color w:val="auto"/>
              </w:rPr>
            </w:pPr>
            <w:r>
              <w:rPr>
                <w:rFonts w:ascii="Courier New" w:cs="Courier New" w:eastAsia="Courier New" w:hAnsi="Courier New"/>
                <w:sz w:val="15"/>
                <w:szCs w:val="15"/>
                <w:color w:val="auto"/>
              </w:rPr>
              <w:t>for $3,000,000. The tabular unaudited pro forma consolidated statement of</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640" w:type="dxa"/>
            <w:vAlign w:val="bottom"/>
            <w:gridSpan w:val="5"/>
          </w:tcPr>
          <w:p>
            <w:pPr>
              <w:spacing w:after="0"/>
              <w:rPr>
                <w:sz w:val="20"/>
                <w:szCs w:val="20"/>
                <w:color w:val="auto"/>
              </w:rPr>
            </w:pPr>
            <w:r>
              <w:rPr>
                <w:rFonts w:ascii="Courier New" w:cs="Courier New" w:eastAsia="Courier New" w:hAnsi="Courier New"/>
                <w:sz w:val="15"/>
                <w:szCs w:val="15"/>
                <w:color w:val="auto"/>
              </w:rPr>
              <w:t>operations presents the effects of the sale, wind-down and relocation, as if</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640" w:type="dxa"/>
            <w:vAlign w:val="bottom"/>
            <w:gridSpan w:val="5"/>
          </w:tcPr>
          <w:p>
            <w:pPr>
              <w:spacing w:after="0"/>
              <w:rPr>
                <w:sz w:val="20"/>
                <w:szCs w:val="20"/>
                <w:color w:val="auto"/>
              </w:rPr>
            </w:pPr>
            <w:r>
              <w:rPr>
                <w:rFonts w:ascii="Courier New" w:cs="Courier New" w:eastAsia="Courier New" w:hAnsi="Courier New"/>
                <w:sz w:val="15"/>
                <w:szCs w:val="15"/>
                <w:color w:val="auto"/>
              </w:rPr>
              <w:t>they had occurred at January 1, 1999. The pro forma effects and adjustments were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6260" w:type="dxa"/>
            <w:vAlign w:val="bottom"/>
            <w:gridSpan w:val="4"/>
          </w:tcPr>
          <w:p>
            <w:pPr>
              <w:spacing w:after="0"/>
              <w:rPr>
                <w:sz w:val="20"/>
                <w:szCs w:val="20"/>
                <w:color w:val="auto"/>
              </w:rPr>
            </w:pPr>
            <w:r>
              <w:rPr>
                <w:rFonts w:ascii="Courier New" w:cs="Courier New" w:eastAsia="Courier New" w:hAnsi="Courier New"/>
                <w:sz w:val="15"/>
                <w:szCs w:val="15"/>
                <w:color w:val="auto"/>
                <w:w w:val="99"/>
              </w:rPr>
              <w:t>determined based on available information and certain allocations that</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640" w:type="dxa"/>
            <w:vAlign w:val="bottom"/>
            <w:gridSpan w:val="5"/>
          </w:tcPr>
          <w:p>
            <w:pPr>
              <w:spacing w:after="0"/>
              <w:rPr>
                <w:sz w:val="20"/>
                <w:szCs w:val="20"/>
                <w:color w:val="auto"/>
              </w:rPr>
            </w:pPr>
            <w:r>
              <w:rPr>
                <w:rFonts w:ascii="Courier New" w:cs="Courier New" w:eastAsia="Courier New" w:hAnsi="Courier New"/>
                <w:sz w:val="15"/>
                <w:szCs w:val="15"/>
                <w:color w:val="auto"/>
              </w:rPr>
              <w:t>management believes are reasonable. The pro forma financial information does not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640" w:type="dxa"/>
            <w:vAlign w:val="bottom"/>
            <w:gridSpan w:val="5"/>
          </w:tcPr>
          <w:p>
            <w:pPr>
              <w:spacing w:after="0"/>
              <w:rPr>
                <w:sz w:val="20"/>
                <w:szCs w:val="20"/>
                <w:color w:val="auto"/>
              </w:rPr>
            </w:pPr>
            <w:r>
              <w:rPr>
                <w:rFonts w:ascii="Courier New" w:cs="Courier New" w:eastAsia="Courier New" w:hAnsi="Courier New"/>
                <w:sz w:val="15"/>
                <w:szCs w:val="15"/>
                <w:color w:val="auto"/>
              </w:rPr>
              <w:t>purport to represent what the Company's operating results would have been had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640" w:type="dxa"/>
            <w:vAlign w:val="bottom"/>
            <w:gridSpan w:val="5"/>
          </w:tcPr>
          <w:p>
            <w:pPr>
              <w:spacing w:after="0"/>
              <w:rPr>
                <w:sz w:val="20"/>
                <w:szCs w:val="20"/>
                <w:color w:val="auto"/>
              </w:rPr>
            </w:pPr>
            <w:r>
              <w:rPr>
                <w:rFonts w:ascii="Courier New" w:cs="Courier New" w:eastAsia="Courier New" w:hAnsi="Courier New"/>
                <w:sz w:val="15"/>
                <w:szCs w:val="15"/>
                <w:color w:val="auto"/>
              </w:rPr>
              <w:t>the sale occurred at January 1, 1999 and may not be indicative of the Company's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6260" w:type="dxa"/>
            <w:vAlign w:val="bottom"/>
            <w:gridSpan w:val="4"/>
          </w:tcPr>
          <w:p>
            <w:pPr>
              <w:spacing w:after="0"/>
              <w:rPr>
                <w:sz w:val="20"/>
                <w:szCs w:val="20"/>
                <w:color w:val="auto"/>
              </w:rPr>
            </w:pPr>
            <w:r>
              <w:rPr>
                <w:rFonts w:ascii="Courier New" w:cs="Courier New" w:eastAsia="Courier New" w:hAnsi="Courier New"/>
                <w:sz w:val="15"/>
                <w:szCs w:val="15"/>
                <w:color w:val="auto"/>
                <w:w w:val="99"/>
              </w:rPr>
              <w:t>financial position or operating results for any future date or period.</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62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PRO FORMA CONSOLIDATED STATEMENT OF OPERATIONS (UNAUDITED)</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860"/>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HISTORICAL</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45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CONSOLIDATED</w:t>
            </w: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12/31/1999</w:t>
            </w: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ADJUSTMENTS(A)</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12/31/1999</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5,021,707</w:t>
            </w:r>
          </w:p>
        </w:tc>
        <w:tc>
          <w:tcPr>
            <w:tcW w:w="1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(5,021,707)(1)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9,984,027</w:t>
            </w:r>
          </w:p>
        </w:tc>
        <w:tc>
          <w:tcPr>
            <w:tcW w:w="460" w:type="dxa"/>
            <w:vAlign w:val="bottom"/>
          </w:tcPr>
          <w:p>
            <w:pPr>
              <w:spacing w:after="0"/>
              <w:rPr>
                <w:sz w:val="14"/>
                <w:szCs w:val="14"/>
                <w:color w:val="auto"/>
              </w:rPr>
            </w:pPr>
          </w:p>
        </w:tc>
        <w:tc>
          <w:tcPr>
            <w:tcW w:w="13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(5,332,331)(2)</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4,651,696</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4,927,303</w:t>
            </w:r>
          </w:p>
        </w:tc>
        <w:tc>
          <w:tcPr>
            <w:tcW w:w="460" w:type="dxa"/>
            <w:vAlign w:val="bottom"/>
          </w:tcPr>
          <w:p>
            <w:pPr>
              <w:spacing w:after="0"/>
              <w:rPr>
                <w:sz w:val="14"/>
                <w:szCs w:val="14"/>
                <w:color w:val="auto"/>
              </w:rPr>
            </w:pPr>
          </w:p>
        </w:tc>
        <w:tc>
          <w:tcPr>
            <w:tcW w:w="13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(2,309,315)(3)</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2,617,988</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Encapsulated Cell Therapy wind down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ind w:left="340"/>
              <w:spacing w:after="0"/>
              <w:rPr>
                <w:sz w:val="20"/>
                <w:szCs w:val="20"/>
                <w:color w:val="auto"/>
              </w:rPr>
            </w:pPr>
            <w:r>
              <w:rPr>
                <w:rFonts w:ascii="Courier New" w:cs="Courier New" w:eastAsia="Courier New" w:hAnsi="Courier New"/>
                <w:sz w:val="15"/>
                <w:szCs w:val="15"/>
                <w:color w:val="auto"/>
              </w:rPr>
              <w:t>corporate relocation..........................</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6,047,806</w:t>
            </w:r>
          </w:p>
        </w:tc>
        <w:tc>
          <w:tcPr>
            <w:tcW w:w="460" w:type="dxa"/>
            <w:vAlign w:val="bottom"/>
          </w:tcPr>
          <w:p>
            <w:pPr>
              <w:spacing w:after="0"/>
              <w:rPr>
                <w:sz w:val="14"/>
                <w:szCs w:val="14"/>
                <w:color w:val="auto"/>
              </w:rPr>
            </w:pPr>
          </w:p>
        </w:tc>
        <w:tc>
          <w:tcPr>
            <w:tcW w:w="13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(6,047,806)(4)</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20,959,136</w:t>
            </w: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(13,689,452)</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7,269,684</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(15,937,429)</w:t>
            </w:r>
          </w:p>
        </w:tc>
        <w:tc>
          <w:tcPr>
            <w:tcW w:w="460" w:type="dxa"/>
            <w:vAlign w:val="bottom"/>
          </w:tcPr>
          <w:p>
            <w:pPr>
              <w:spacing w:after="0"/>
              <w:rPr>
                <w:sz w:val="14"/>
                <w:szCs w:val="14"/>
                <w:color w:val="auto"/>
              </w:rPr>
            </w:pP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8,667,745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(7,269,684)</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564,006</w:t>
            </w:r>
          </w:p>
        </w:tc>
        <w:tc>
          <w:tcPr>
            <w:tcW w:w="460" w:type="dxa"/>
            <w:vAlign w:val="bottom"/>
          </w:tcPr>
          <w:p>
            <w:pPr>
              <w:spacing w:after="0"/>
              <w:rPr>
                <w:sz w:val="14"/>
                <w:szCs w:val="14"/>
                <w:color w:val="auto"/>
              </w:rPr>
            </w:pP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564,006</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(335,203)</w:t>
            </w:r>
          </w:p>
        </w:tc>
        <w:tc>
          <w:tcPr>
            <w:tcW w:w="460" w:type="dxa"/>
            <w:vAlign w:val="bottom"/>
          </w:tcPr>
          <w:p>
            <w:pPr>
              <w:spacing w:after="0"/>
              <w:rPr>
                <w:sz w:val="14"/>
                <w:szCs w:val="14"/>
                <w:color w:val="auto"/>
              </w:rPr>
            </w:pP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(335,203)</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228,803</w:t>
            </w:r>
          </w:p>
        </w:tc>
        <w:tc>
          <w:tcPr>
            <w:tcW w:w="460" w:type="dxa"/>
            <w:vAlign w:val="bottom"/>
          </w:tcPr>
          <w:p>
            <w:pPr>
              <w:spacing w:after="0"/>
              <w:rPr>
                <w:sz w:val="14"/>
                <w:szCs w:val="14"/>
                <w:color w:val="auto"/>
              </w:rPr>
            </w:pP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228,803</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$(15,708,626)</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8,667,745</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$(7,040,881)</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(0.84)</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(0.46)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(0.38)</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18,705,838</w:t>
            </w:r>
          </w:p>
        </w:tc>
        <w:tc>
          <w:tcPr>
            <w:tcW w:w="460" w:type="dxa"/>
            <w:vAlign w:val="bottom"/>
          </w:tcPr>
          <w:p>
            <w:pPr>
              <w:spacing w:after="0"/>
              <w:rPr>
                <w:sz w:val="14"/>
                <w:szCs w:val="14"/>
                <w:color w:val="auto"/>
              </w:rPr>
            </w:pP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5"/>
              </w:rPr>
              <w:t>18,705,838</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18,705,838</w:t>
            </w:r>
          </w:p>
        </w:tc>
      </w:tr>
      <w:tr>
        <w:trPr>
          <w:trHeight w:val="172"/>
        </w:trPr>
        <w:tc>
          <w:tcPr>
            <w:tcW w:w="4560" w:type="dxa"/>
            <w:vAlign w:val="bottom"/>
          </w:tcPr>
          <w:p>
            <w:pPr>
              <w:spacing w:after="0"/>
              <w:rPr>
                <w:sz w:val="14"/>
                <w:szCs w:val="14"/>
                <w:color w:val="auto"/>
              </w:rPr>
            </w:pP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688"/>
        </w:trPr>
        <w:tc>
          <w:tcPr>
            <w:tcW w:w="4560" w:type="dxa"/>
            <w:vAlign w:val="bottom"/>
          </w:tcPr>
          <w:p>
            <w:pPr>
              <w:ind w:left="3400"/>
              <w:spacing w:after="0"/>
              <w:rPr>
                <w:sz w:val="20"/>
                <w:szCs w:val="20"/>
                <w:color w:val="auto"/>
              </w:rPr>
            </w:pPr>
            <w:r>
              <w:rPr>
                <w:rFonts w:ascii="Courier New" w:cs="Courier New" w:eastAsia="Courier New" w:hAnsi="Courier New"/>
                <w:sz w:val="15"/>
                <w:szCs w:val="15"/>
                <w:color w:val="auto"/>
              </w:rPr>
              <w:t>F-31</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90" w:name="page91"/>
    <w:bookmarkEnd w:id="90"/>
    <w:p>
      <w:pPr>
        <w:ind w:left="8"/>
        <w:spacing w:after="0"/>
        <w:rPr>
          <w:sz w:val="20"/>
          <w:szCs w:val="20"/>
          <w:color w:val="auto"/>
        </w:rPr>
      </w:pPr>
      <w:r>
        <w:rPr>
          <w:rFonts w:ascii="Courier New" w:cs="Courier New" w:eastAsia="Courier New" w:hAnsi="Courier New"/>
          <w:sz w:val="15"/>
          <w:szCs w:val="15"/>
          <w:color w:val="auto"/>
        </w:rPr>
        <w:t>NOTES TO PRO FORMA CONSOLIDATED STATEMENT OF OPERATIONS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A--PRO FORMA ADJUSTMENTS</w:t>
      </w:r>
    </w:p>
    <w:p>
      <w:pPr>
        <w:spacing w:after="0" w:line="174" w:lineRule="exact"/>
        <w:rPr>
          <w:sz w:val="20"/>
          <w:szCs w:val="20"/>
          <w:color w:val="auto"/>
        </w:rPr>
      </w:pPr>
    </w:p>
    <w:p>
      <w:pPr>
        <w:ind w:left="348" w:hanging="348"/>
        <w:spacing w:after="0"/>
        <w:tabs>
          <w:tab w:leader="none" w:pos="3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Encapsulated Cell Therapy collaborative revenue arrangements.</w:t>
      </w:r>
    </w:p>
    <w:p>
      <w:pPr>
        <w:spacing w:after="0" w:line="347"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research and development expenses, including employee compensation ($1,566,479), external professional services ($875,818) facilities and other supplies ($2,890,035) and various other expenses directly relating to encapsulated cell therapy activities. These expenses were determined based on an individual account analysis and internal employee tracking records.</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348" w:right="3079" w:hanging="348"/>
        <w:spacing w:after="0" w:line="263" w:lineRule="auto"/>
        <w:tabs>
          <w:tab w:leader="none" w:pos="34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general and administrative expenses, including employee compensation ($761,000), legal, professional and consulting fees ($963,000), facilities costs ($306,000), amortization ($158,000) and various other expenses ($121,000), directly relating to encapsulated cell therapy. The expenses were determined based on an individual account analysis.</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48" w:right="3079" w:hanging="348"/>
        <w:spacing w:after="0" w:line="260" w:lineRule="auto"/>
        <w:tabs>
          <w:tab w:leader="none" w:pos="34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Encapsulated Cell Therapy wind-down and corporate relocation expenses, including Rhode Island facility carrying costs, employee severance arrangements and the related settlement of a 1989 funding arrangement with the Rhode Island Partnership for Science and Technology. These expenses related to the Company's decision to eliminate 68 employees, relocate all remaining research and development and the Company's headquarters to Sunnyvale, California as a result of a decision to exit Encapsulated Cell Technology, and were included in wind-down expenses. The wind-down expenses include employee severance costs of approximately $1,554,000, losses and reserves for the write-down of related patents and fixed assets of approximately $1,858,000, an accrual of approximately $1,172,000 of costs relating to settlement of a 1989 funding agreement with the Rhode Island Partnership for Science and Technology ("RIPSAT") associated with the Company's pilot manufacturing facility, approximately $1,264,000 relating to carrying costs, including lease payments, interest, utilities, taxes and other related expenses associated with resolving the disposition of the Rhode Island facilities and $200,000 of employee outplacement fees. The RIPSAT claim related directly to funding the Company had received from RIPSAT. When the Company reached the decision to exit its Encapsulated Cell Technology and relocate all remaining research and the Company's corporate headquarter's from Rhode Island to Sunnyvale, California. RIPSAT claimed the Company had violated terms of the funding arrangement. The Company did not agree with this claim, however, management determined it was in the Company's best interest to settle the issue. As a result, the costs associated with the settlement were included in the wind-down amount.</w:t>
      </w:r>
    </w:p>
    <w:p>
      <w:pPr>
        <w:spacing w:after="0" w:line="200" w:lineRule="exact"/>
        <w:rPr>
          <w:sz w:val="20"/>
          <w:szCs w:val="20"/>
          <w:color w:val="auto"/>
        </w:rPr>
      </w:pPr>
    </w:p>
    <w:p>
      <w:pPr>
        <w:spacing w:after="0" w:line="31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27"/>
          </w:cols>
          <w:pgMar w:left="232" w:top="633" w:right="1440" w:bottom="1440" w:gutter="0" w:footer="0" w:header="0"/>
        </w:sectPr>
      </w:pPr>
    </w:p>
    <w:bookmarkStart w:id="91" w:name="page92"/>
    <w:bookmarkEnd w:id="91"/>
    <w:p>
      <w:pPr>
        <w:jc w:val="center"/>
        <w:ind w:right="3151"/>
        <w:spacing w:after="0"/>
        <w:rPr>
          <w:sz w:val="20"/>
          <w:szCs w:val="20"/>
          <w:color w:val="auto"/>
        </w:rPr>
      </w:pPr>
      <w:r>
        <w:rPr>
          <w:rFonts w:ascii="Courier New" w:cs="Courier New" w:eastAsia="Courier New" w:hAnsi="Courier New"/>
          <w:sz w:val="15"/>
          <w:szCs w:val="15"/>
          <w:color w:val="auto"/>
        </w:rPr>
        <w:t>PART II</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The following table sets forth the costs and expenses payable by the Registrant in connection with the sale of the securities being registered. All amounts shown are estimates except the SEC registration fee and the NASDAQ listing fee.</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 registration fee........................................</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$6,956.16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NASDAQ listing fee..........................................</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Printing and engraving expenses.............................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Blue sky fees and expenses..................................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Transfer agent and registrar fees...........................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provided by amendment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8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w:t>
      </w:r>
    </w:p>
    <w:p>
      <w:pPr>
        <w:spacing w:after="0" w:line="18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7"/>
          </w:cols>
          <w:pgMar w:left="232" w:top="461" w:right="1440" w:bottom="1440" w:gutter="0" w:footer="0" w:header="0"/>
        </w:sectPr>
      </w:pPr>
    </w:p>
    <w:bookmarkStart w:id="92" w:name="page93"/>
    <w:bookmarkEnd w:id="92"/>
    <w:p>
      <w:pPr>
        <w:ind w:left="8" w:right="3159"/>
        <w:spacing w:after="0" w:line="241" w:lineRule="auto"/>
        <w:rPr>
          <w:sz w:val="20"/>
          <w:szCs w:val="20"/>
          <w:color w:val="auto"/>
        </w:rPr>
      </w:pPr>
      <w:r>
        <w:rPr>
          <w:rFonts w:ascii="Courier New" w:cs="Courier New" w:eastAsia="Courier New" w:hAnsi="Courier New"/>
          <w:sz w:val="15"/>
          <w:szCs w:val="15"/>
          <w:color w:val="auto"/>
        </w:rPr>
        <w:t>which those seeking indemnification may be entitled under any by-law, agreement or vote of directors or stockholders or otherwise, and shall inure to the benefit of the heirs and legal representatives of such persons.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175" w:lineRule="exact"/>
        <w:rPr>
          <w:sz w:val="20"/>
          <w:szCs w:val="20"/>
          <w:color w:val="auto"/>
        </w:rPr>
      </w:pPr>
    </w:p>
    <w:p>
      <w:pPr>
        <w:ind w:left="8" w:right="3599" w:firstLine="358"/>
        <w:spacing w:after="0"/>
        <w:rPr>
          <w:sz w:val="20"/>
          <w:szCs w:val="20"/>
          <w:color w:val="auto"/>
        </w:rPr>
      </w:pPr>
      <w:r>
        <w:rPr>
          <w:rFonts w:ascii="Courier New" w:cs="Courier New" w:eastAsia="Courier New" w:hAnsi="Courier New"/>
          <w:sz w:val="15"/>
          <w:szCs w:val="15"/>
          <w:color w:val="auto"/>
        </w:rPr>
        <w:t>We have obtained insurance covering our directors and officers against certain liabilities.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0"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6" w:lineRule="exact"/>
        <w:rPr>
          <w:sz w:val="20"/>
          <w:szCs w:val="20"/>
          <w:color w:val="auto"/>
        </w:rPr>
      </w:pPr>
    </w:p>
    <w:p>
      <w:pPr>
        <w:ind w:left="8" w:right="3339" w:firstLine="358"/>
        <w:spacing w:after="0" w:line="260" w:lineRule="auto"/>
        <w:rPr>
          <w:sz w:val="20"/>
          <w:szCs w:val="20"/>
          <w:color w:val="auto"/>
        </w:rPr>
      </w:pPr>
      <w:r>
        <w:rPr>
          <w:rFonts w:ascii="Courier New" w:cs="Courier New" w:eastAsia="Courier New" w:hAnsi="Courier New"/>
          <w:sz w:val="14"/>
          <w:szCs w:val="14"/>
          <w:color w:val="auto"/>
        </w:rPr>
        <w:t>The shares of capital stock and other securities issued in the following transactions were offered and sold in reliance upon the following exemptions:</w:t>
      </w:r>
    </w:p>
    <w:p>
      <w:pPr>
        <w:ind w:left="8" w:right="3259" w:hanging="8"/>
        <w:spacing w:after="0" w:line="242" w:lineRule="auto"/>
        <w:tabs>
          <w:tab w:leader="none" w:pos="36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transactions described in (a) below, Section 4(2) of a the Securities Act or Regulation D promulgated thereunder relative to sales by an issuer not involving a public offering; and (ii) in the case of the transactions (b) below, Section 3(b) of the Securities Act and Rule 701 promulgated thereunder relative to sales pursuant to certain compensatory benefits plans.</w:t>
      </w:r>
    </w:p>
    <w:p>
      <w:pPr>
        <w:spacing w:after="0" w:line="348" w:lineRule="exact"/>
        <w:rPr>
          <w:rFonts w:ascii="Courier New" w:cs="Courier New" w:eastAsia="Courier New" w:hAnsi="Courier New"/>
          <w:sz w:val="15"/>
          <w:szCs w:val="15"/>
          <w:color w:val="auto"/>
        </w:rPr>
      </w:pPr>
    </w:p>
    <w:p>
      <w:pPr>
        <w:ind w:left="8" w:right="3079" w:firstLine="350"/>
        <w:spacing w:after="0" w:line="242" w:lineRule="auto"/>
        <w:tabs>
          <w:tab w:leader="none" w:pos="724"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13, 2000, the Registrant sold 1,500 shares of 6% cumulative convertible preferred stock plus warrants for a total of 75,000 shares of the Registrant's common stock to two members of its Board of Directors for $1,500,000, on terms more favorable than it was then able to obtain from outside investors. The sale was made in reliance on Rule 506 of Regulation D promulgated under the Securities Act of 1933, as amended. The shares of preferred stock are convertible at the option of the holders into common stock at $3.77 per share (based on the face value of the shares). The holders of the preferred stock have liquidation rights equal to their original investments plus accrued but unpaid dividends. The investors would be entitled to make additional investments in the Company on the same terms as those on which the Registrant completes offerings of its securities with third parties within 6 months, if any such offerings are completed. They have waived that right with respect to the common stock transactions described in Note 6, Subsequent Events. If offerings totaling at least $6 million are not completed during the 6 months, the investors have the right to acquire up to a total of 1,126 additional shares of convertible preferred stock, the face value of which is convertible to common stock at $6.33 per share. Any unconverted preferred stock is converted, at the applicable conversion price, on April 13, 2002 in the case of the original stock and two years after the first acquisition of any of the additional 1,126 shares, if any are acquired. The warrants, which are exercisable at $6.58 per share, expire on April 13, 2005.</w:t>
      </w:r>
    </w:p>
    <w:p>
      <w:pPr>
        <w:spacing w:after="0" w:line="35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463" w:right="1440" w:bottom="1440" w:gutter="0" w:footer="0" w:header="0"/>
        </w:sectPr>
      </w:pPr>
    </w:p>
    <w:bookmarkStart w:id="93" w:name="page94"/>
    <w:bookmarkEnd w:id="93"/>
    <w:p>
      <w:pPr>
        <w:ind w:right="3079" w:firstLine="358"/>
        <w:spacing w:after="0" w:line="261" w:lineRule="auto"/>
        <w:rPr>
          <w:sz w:val="20"/>
          <w:szCs w:val="20"/>
          <w:color w:val="auto"/>
        </w:rPr>
      </w:pPr>
      <w:r>
        <w:rPr>
          <w:rFonts w:ascii="Courier New" w:cs="Courier New" w:eastAsia="Courier New" w:hAnsi="Courier New"/>
          <w:sz w:val="14"/>
          <w:szCs w:val="14"/>
          <w:color w:val="auto"/>
        </w:rPr>
        <w:t>On August 3, 2000, the Registrant completed a $4 million common stock financing transaction with Millennium Partners, LP, or the Fund. The sale was made in reliance on Rule 506 of Regulation D promulgated under the Securities Act of 1933, as amended. The Registrant received $3 million of the purchase price at the closing and will receive the remaining $1 million upon effectiveness of a registration statement covering the shares owned by the Fund. The Fund purchased the Registrant's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the Registrant's common stock over a period prior to each date. The Registrant will have the right, under certain circumstances, to cap the number of additional shares by purchasing part of the entitlement from the Fund. The Fund also received a warrant to purchase up to 101,587 shares of common stock at $4.725 per share. This warrant is callable by the Registrant at $7.875 per underlying share.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Fund also has the option for twelve months to purchase up to $3 million of additional common stock. On August 23, 2000, the Fund exercised $1,000,000 of that option to purchase Registrant's common stock at $5.53 per share. The Registrant received $750,000 of the purchase price in connection with the closing on August 30, 2000 and will receive the remaining $250,000 upon effectiveness of a registration statement covering the shares owned by the Fund. At the closing on August 30, 2000, the Fund also received an adjustable warrant similar to the one issued on August 3, 2000. This adjustable warrant was canceled by agreement of the Registrant and the Fund on November 1, 2000. The Fund also received a five year warrant to purchase up to 19,900 shares of the Registrant's common stock at $6.03 per share. This warrant is callable by the Registrant at any time at $10.05 per underlying share.</w:t>
      </w:r>
    </w:p>
    <w:p>
      <w:pPr>
        <w:spacing w:after="0" w:line="352" w:lineRule="exact"/>
        <w:rPr>
          <w:sz w:val="20"/>
          <w:szCs w:val="20"/>
          <w:color w:val="auto"/>
        </w:rPr>
      </w:pPr>
    </w:p>
    <w:p>
      <w:pPr>
        <w:ind w:right="3159" w:firstLine="350"/>
        <w:spacing w:after="0"/>
        <w:tabs>
          <w:tab w:leader="none" w:pos="80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25, 2000 we issued 2,800 shares of unregistered Rule 144 common stock to the California Institute of Technology.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6" w:lineRule="exact"/>
        <w:rPr>
          <w:sz w:val="20"/>
          <w:szCs w:val="20"/>
          <w:color w:val="auto"/>
        </w:rPr>
      </w:pPr>
    </w:p>
    <w:p>
      <w:pPr>
        <w:ind w:left="620" w:right="3159" w:hanging="270"/>
        <w:spacing w:after="0"/>
        <w:tabs>
          <w:tab w:leader="none" w:pos="71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following exhibits are filed as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4.3X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4.4X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4.5X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4.6X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4.7X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bl>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35"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977" w:right="1440" w:bottom="1440" w:gutter="0" w:footer="0" w:header="0"/>
        </w:sectPr>
      </w:pPr>
    </w:p>
    <w:bookmarkStart w:id="95" w:name="page96"/>
    <w:bookmarkEnd w:id="95"/>
    <w:p>
      <w:pPr>
        <w:ind w:left="62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2048" w:space="280"/>
            <w:col w:w="7899"/>
          </w:cols>
          <w:pgMar w:left="232" w:top="1149" w:right="1440" w:bottom="1440" w:gutter="0" w:footer="0" w:header="0"/>
        </w:sectPr>
      </w:pPr>
    </w:p>
    <w:p>
      <w:pPr>
        <w:ind w:left="448"/>
        <w:spacing w:after="0"/>
        <w:rPr>
          <w:sz w:val="20"/>
          <w:szCs w:val="20"/>
          <w:color w:val="auto"/>
        </w:rPr>
      </w:pPr>
      <w:r>
        <w:rPr>
          <w:rFonts w:ascii="Courier New" w:cs="Courier New" w:eastAsia="Courier New" w:hAnsi="Courier New"/>
          <w:sz w:val="15"/>
          <w:szCs w:val="15"/>
          <w:color w:val="auto"/>
        </w:rPr>
        <w:t>10.29###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Letter Agreement among each of Dr. Irving Weissman and Dr.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H. Gage and the Registrant.</w:t>
      </w:r>
    </w:p>
    <w:p>
      <w:pPr>
        <w:spacing w:after="0" w:line="176"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StemCells, Inc. 1996 Stock Option Plan.</w:t>
      </w:r>
    </w:p>
    <w:p>
      <w:pPr>
        <w:spacing w:after="0" w:line="185"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1997 StemCells Research Stock Option Plan (the "1997 Plan")</w:t>
      </w:r>
    </w:p>
    <w:p>
      <w:pPr>
        <w:spacing w:after="0" w:line="185"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10.34****</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Form of Performance-Based Incentive Option Agreement issued under the 1997 Plan.</w:t>
      </w:r>
    </w:p>
    <w:p>
      <w:pPr>
        <w:spacing w:after="0" w:line="174"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10.35###</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Employment Agreement dated as of September 25, 1997 between Dr. Richard M. Rose and the Registrant.</w:t>
      </w:r>
    </w:p>
    <w:p>
      <w:pPr>
        <w:spacing w:after="0" w:line="174"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10.38[*]</w:t>
      </w:r>
    </w:p>
    <w:p>
      <w:pPr>
        <w:spacing w:after="0" w:line="20" w:lineRule="exact"/>
        <w:rPr>
          <w:sz w:val="20"/>
          <w:szCs w:val="20"/>
          <w:color w:val="auto"/>
        </w:rPr>
      </w:pPr>
      <w:r>
        <w:rPr>
          <w:sz w:val="20"/>
          <w:szCs w:val="20"/>
          <w:color w:val="auto"/>
        </w:rPr>
        <w:br w:type="column"/>
      </w:r>
    </w:p>
    <w:p>
      <w:pPr>
        <w:ind w:right="3079"/>
        <w:spacing w:after="0"/>
        <w:rPr>
          <w:sz w:val="20"/>
          <w:szCs w:val="20"/>
          <w:color w:val="auto"/>
        </w:rPr>
      </w:pPr>
      <w:r>
        <w:rPr>
          <w:rFonts w:ascii="Courier New" w:cs="Courier New" w:eastAsia="Courier New" w:hAnsi="Courier New"/>
          <w:sz w:val="15"/>
          <w:szCs w:val="15"/>
          <w:color w:val="auto"/>
        </w:rPr>
        <w:t>Rights Agreement, dated as of July 27, 1998 between Bank Boston, N.A. as Rights Agent and the Registrant.</w:t>
      </w:r>
    </w:p>
    <w:p>
      <w:pPr>
        <w:spacing w:after="0" w:line="174"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10.40Section**</w:t>
      </w:r>
    </w:p>
    <w:p>
      <w:pPr>
        <w:spacing w:after="0" w:line="20" w:lineRule="exact"/>
        <w:rPr>
          <w:sz w:val="20"/>
          <w:szCs w:val="20"/>
          <w:color w:val="auto"/>
        </w:rPr>
      </w:pPr>
      <w:r>
        <w:rPr>
          <w:sz w:val="20"/>
          <w:szCs w:val="20"/>
          <w:color w:val="auto"/>
        </w:rPr>
        <w:br w:type="column"/>
      </w:r>
    </w:p>
    <w:p>
      <w:pPr>
        <w:jc w:val="both"/>
        <w:ind w:right="2799"/>
        <w:spacing w:after="0" w:line="241" w:lineRule="auto"/>
        <w:rPr>
          <w:sz w:val="20"/>
          <w:szCs w:val="20"/>
          <w:color w:val="auto"/>
        </w:rPr>
      </w:pPr>
      <w:r>
        <w:rPr>
          <w:rFonts w:ascii="Courier New" w:cs="Courier New" w:eastAsia="Courier New" w:hAnsi="Courier New"/>
          <w:sz w:val="15"/>
          <w:szCs w:val="15"/>
          <w:color w:val="auto"/>
        </w:rPr>
        <w:t>Consulting Services Agreement dated as of July 27, 1998, as amended December 19, 1998 between Dr. John J. Schwartz and the Registrant.</w:t>
      </w:r>
    </w:p>
    <w:p>
      <w:pPr>
        <w:spacing w:after="0" w:line="174" w:lineRule="exact"/>
        <w:rPr>
          <w:sz w:val="20"/>
          <w:szCs w:val="20"/>
          <w:color w:val="auto"/>
        </w:rPr>
      </w:pPr>
    </w:p>
    <w:p>
      <w:pPr>
        <w:sectPr>
          <w:pgSz w:w="11900" w:h="16838" w:orient="portrait"/>
          <w:cols w:equalWidth="0" w:num="2">
            <w:col w:w="1708" w:space="440"/>
            <w:col w:w="8079"/>
          </w:cols>
          <w:pgMar w:left="232" w:top="1149"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10.41Section**</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Letter Agreement dated as of December 19, 1998 between John J. Schwartz and the Registrant.</w:t>
      </w:r>
    </w:p>
    <w:p>
      <w:pPr>
        <w:spacing w:after="0" w:line="174" w:lineRule="exact"/>
        <w:rPr>
          <w:sz w:val="20"/>
          <w:szCs w:val="20"/>
          <w:color w:val="auto"/>
        </w:rPr>
      </w:pPr>
    </w:p>
    <w:p>
      <w:pPr>
        <w:sectPr>
          <w:pgSz w:w="11900" w:h="16838" w:orient="portrait"/>
          <w:cols w:equalWidth="0" w:num="2">
            <w:col w:w="1708" w:space="440"/>
            <w:col w:w="8079"/>
          </w:cols>
          <w:pgMar w:left="232" w:top="1149"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10.42Section**</w:t>
      </w:r>
    </w:p>
    <w:p>
      <w:pPr>
        <w:spacing w:after="0" w:line="20" w:lineRule="exact"/>
        <w:rPr>
          <w:sz w:val="20"/>
          <w:szCs w:val="20"/>
          <w:color w:val="auto"/>
        </w:rPr>
      </w:pPr>
      <w:r>
        <w:rPr>
          <w:sz w:val="20"/>
          <w:szCs w:val="20"/>
          <w:color w:val="auto"/>
        </w:rPr>
        <w:br w:type="column"/>
      </w:r>
    </w:p>
    <w:p>
      <w:pPr>
        <w:ind w:right="2899"/>
        <w:spacing w:after="0"/>
        <w:rPr>
          <w:sz w:val="20"/>
          <w:szCs w:val="20"/>
          <w:color w:val="auto"/>
        </w:rPr>
      </w:pPr>
      <w:r>
        <w:rPr>
          <w:rFonts w:ascii="Courier New" w:cs="Courier New" w:eastAsia="Courier New" w:hAnsi="Courier New"/>
          <w:sz w:val="15"/>
          <w:szCs w:val="15"/>
          <w:color w:val="auto"/>
        </w:rPr>
        <w:t>License Agreement dated as of October 27, 1998 between The Scripps Research Institute and the Registrant.</w:t>
      </w:r>
    </w:p>
    <w:p>
      <w:pPr>
        <w:spacing w:after="0" w:line="174" w:lineRule="exact"/>
        <w:rPr>
          <w:sz w:val="20"/>
          <w:szCs w:val="20"/>
          <w:color w:val="auto"/>
        </w:rPr>
      </w:pPr>
    </w:p>
    <w:p>
      <w:pPr>
        <w:sectPr>
          <w:pgSz w:w="11900" w:h="16838" w:orient="portrait"/>
          <w:cols w:equalWidth="0" w:num="2">
            <w:col w:w="1708" w:space="440"/>
            <w:col w:w="8079"/>
          </w:cols>
          <w:pgMar w:left="232" w:top="1149"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10.43Section**</w:t>
      </w:r>
    </w:p>
    <w:p>
      <w:pPr>
        <w:spacing w:after="0" w:line="20" w:lineRule="exact"/>
        <w:rPr>
          <w:sz w:val="20"/>
          <w:szCs w:val="20"/>
          <w:color w:val="auto"/>
        </w:rPr>
      </w:pPr>
      <w:r>
        <w:rPr>
          <w:sz w:val="20"/>
          <w:szCs w:val="20"/>
          <w:color w:val="auto"/>
        </w:rPr>
        <w:br w:type="column"/>
      </w:r>
    </w:p>
    <w:p>
      <w:pPr>
        <w:ind w:right="2899"/>
        <w:spacing w:after="0"/>
        <w:rPr>
          <w:sz w:val="20"/>
          <w:szCs w:val="20"/>
          <w:color w:val="auto"/>
        </w:rPr>
      </w:pPr>
      <w:r>
        <w:rPr>
          <w:rFonts w:ascii="Courier New" w:cs="Courier New" w:eastAsia="Courier New" w:hAnsi="Courier New"/>
          <w:sz w:val="15"/>
          <w:szCs w:val="15"/>
          <w:color w:val="auto"/>
        </w:rPr>
        <w:t>License Agreement dated as of October 27, 1998 between The Scripps Research Institute and the Registrant.</w:t>
      </w:r>
    </w:p>
    <w:p>
      <w:pPr>
        <w:spacing w:after="0" w:line="174" w:lineRule="exact"/>
        <w:rPr>
          <w:sz w:val="20"/>
          <w:szCs w:val="20"/>
          <w:color w:val="auto"/>
        </w:rPr>
      </w:pPr>
    </w:p>
    <w:p>
      <w:pPr>
        <w:sectPr>
          <w:pgSz w:w="11900" w:h="16838" w:orient="portrait"/>
          <w:cols w:equalWidth="0" w:num="2">
            <w:col w:w="1708" w:space="440"/>
            <w:col w:w="8079"/>
          </w:cols>
          <w:pgMar w:left="232" w:top="1149"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10.44Section**</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License Agreement dated as of November 20, 1998 between The Scripps Research Institute and the Registrant.</w:t>
      </w:r>
    </w:p>
    <w:p>
      <w:pPr>
        <w:spacing w:after="0" w:line="176" w:lineRule="exact"/>
        <w:rPr>
          <w:sz w:val="20"/>
          <w:szCs w:val="20"/>
          <w:color w:val="auto"/>
        </w:rPr>
      </w:pPr>
    </w:p>
    <w:p>
      <w:pPr>
        <w:sectPr>
          <w:pgSz w:w="11900" w:h="16838" w:orient="portrait"/>
          <w:cols w:equalWidth="0" w:num="2">
            <w:col w:w="1708" w:space="440"/>
            <w:col w:w="8079"/>
          </w:cols>
          <w:pgMar w:left="232" w:top="114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10.45SectionSection**</w:t>
      </w:r>
    </w:p>
    <w:p>
      <w:pPr>
        <w:spacing w:after="0" w:line="20" w:lineRule="exact"/>
        <w:rPr>
          <w:sz w:val="20"/>
          <w:szCs w:val="20"/>
          <w:color w:val="auto"/>
        </w:rPr>
      </w:pPr>
      <w:r>
        <w:rPr>
          <w:sz w:val="20"/>
          <w:szCs w:val="20"/>
          <w:color w:val="auto"/>
        </w:rPr>
        <w:br w:type="column"/>
      </w:r>
    </w:p>
    <w:p>
      <w:pPr>
        <w:ind w:right="2719"/>
        <w:spacing w:after="0" w:line="274" w:lineRule="auto"/>
        <w:rPr>
          <w:sz w:val="20"/>
          <w:szCs w:val="20"/>
          <w:color w:val="auto"/>
        </w:rPr>
      </w:pPr>
      <w:r>
        <w:rPr>
          <w:rFonts w:ascii="Courier New" w:cs="Courier New" w:eastAsia="Courier New" w:hAnsi="Courier New"/>
          <w:sz w:val="14"/>
          <w:szCs w:val="14"/>
          <w:color w:val="auto"/>
        </w:rPr>
        <w:t>Purchase Agreement and License Agreement dated as of December 29, 1999 between Neurotech S.A. and the Registrant.</w:t>
      </w:r>
    </w:p>
    <w:p>
      <w:pPr>
        <w:spacing w:after="0" w:line="154" w:lineRule="exact"/>
        <w:rPr>
          <w:sz w:val="20"/>
          <w:szCs w:val="20"/>
          <w:color w:val="auto"/>
        </w:rPr>
      </w:pPr>
    </w:p>
    <w:p>
      <w:pPr>
        <w:sectPr>
          <w:pgSz w:w="11900" w:h="16838" w:orient="portrait"/>
          <w:cols w:equalWidth="0" w:num="2">
            <w:col w:w="1888" w:space="26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10.46**</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License Agreement dated as of June 1999 between The Scripps Research Institute and the Registrant.</w:t>
      </w:r>
    </w:p>
    <w:p>
      <w:pPr>
        <w:spacing w:after="0" w:line="176"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10.47**</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License Agreement dated as of June 1999 between The Scripps Research Institute and the Registrant.</w:t>
      </w:r>
    </w:p>
    <w:p>
      <w:pPr>
        <w:spacing w:after="0" w:line="174"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10.48X</w:t>
      </w:r>
    </w:p>
    <w:p>
      <w:pPr>
        <w:spacing w:after="0" w:line="20" w:lineRule="exact"/>
        <w:rPr>
          <w:sz w:val="20"/>
          <w:szCs w:val="20"/>
          <w:color w:val="auto"/>
        </w:rPr>
      </w:pPr>
      <w:r>
        <w:rPr>
          <w:sz w:val="20"/>
          <w:szCs w:val="20"/>
          <w:color w:val="auto"/>
        </w:rPr>
        <w:br w:type="column"/>
      </w:r>
    </w:p>
    <w:p>
      <w:pPr>
        <w:ind w:right="2899"/>
        <w:spacing w:after="0"/>
        <w:rPr>
          <w:sz w:val="20"/>
          <w:szCs w:val="20"/>
          <w:color w:val="auto"/>
        </w:rPr>
      </w:pPr>
      <w:r>
        <w:rPr>
          <w:rFonts w:ascii="Courier New" w:cs="Courier New" w:eastAsia="Courier New" w:hAnsi="Courier New"/>
          <w:sz w:val="15"/>
          <w:szCs w:val="15"/>
          <w:color w:val="auto"/>
        </w:rPr>
        <w:t>Form of Registration Rights Agreement dated as of July 31, 2000 between StemCells, Inc. and investors.</w:t>
      </w:r>
    </w:p>
    <w:p>
      <w:pPr>
        <w:spacing w:after="0" w:line="174"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10.49X</w:t>
      </w:r>
    </w:p>
    <w:p>
      <w:pPr>
        <w:spacing w:after="0" w:line="20" w:lineRule="exact"/>
        <w:rPr>
          <w:sz w:val="20"/>
          <w:szCs w:val="20"/>
          <w:color w:val="auto"/>
        </w:rPr>
      </w:pPr>
      <w:r>
        <w:rPr>
          <w:sz w:val="20"/>
          <w:szCs w:val="20"/>
          <w:color w:val="auto"/>
        </w:rPr>
        <w:br w:type="column"/>
      </w:r>
    </w:p>
    <w:p>
      <w:pPr>
        <w:ind w:right="3079"/>
        <w:spacing w:after="0"/>
        <w:rPr>
          <w:sz w:val="20"/>
          <w:szCs w:val="20"/>
          <w:color w:val="auto"/>
        </w:rPr>
      </w:pPr>
      <w:r>
        <w:rPr>
          <w:rFonts w:ascii="Courier New" w:cs="Courier New" w:eastAsia="Courier New" w:hAnsi="Courier New"/>
          <w:sz w:val="15"/>
          <w:szCs w:val="15"/>
          <w:color w:val="auto"/>
        </w:rPr>
        <w:t>Subscription Agreement dated as of July 31, 2000 between StemCells, Inc. and Millennium Partners, L.P.</w:t>
      </w:r>
    </w:p>
    <w:p>
      <w:pPr>
        <w:spacing w:after="0" w:line="174"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348"/>
        <w:spacing w:after="0"/>
        <w:rPr>
          <w:sz w:val="20"/>
          <w:szCs w:val="20"/>
          <w:color w:val="auto"/>
        </w:rPr>
      </w:pPr>
      <w:r>
        <w:rPr>
          <w:rFonts w:ascii="Courier New" w:cs="Courier New" w:eastAsia="Courier New" w:hAnsi="Courier New"/>
          <w:sz w:val="15"/>
          <w:szCs w:val="15"/>
          <w:color w:val="auto"/>
        </w:rPr>
        <w:t>21X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Subsidiaries of the Registrant.</w:t>
      </w:r>
    </w:p>
    <w:p>
      <w:pPr>
        <w:spacing w:after="0" w:line="183"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209" w:lineRule="exact"/>
        <w:rPr>
          <w:sz w:val="20"/>
          <w:szCs w:val="20"/>
          <w:color w:val="auto"/>
        </w:rPr>
      </w:pPr>
    </w:p>
    <w:p>
      <w:pPr>
        <w:sectPr>
          <w:pgSz w:w="11900" w:h="16838" w:orient="portrait"/>
          <w:cols w:equalWidth="0" w:num="2">
            <w:col w:w="1428" w:space="720"/>
            <w:col w:w="8079"/>
          </w:cols>
          <w:pgMar w:left="232" w:top="1149" w:right="1440" w:bottom="1440" w:gutter="0" w:footer="0" w:header="0"/>
          <w:type w:val="continuous"/>
        </w:sect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528" w:right="3599" w:hanging="528"/>
        <w:spacing w:after="0" w:line="241" w:lineRule="auto"/>
        <w:tabs>
          <w:tab w:leader="none" w:pos="43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6" w:lineRule="exact"/>
        <w:rPr>
          <w:sz w:val="20"/>
          <w:szCs w:val="20"/>
          <w:color w:val="auto"/>
        </w:rPr>
      </w:pPr>
    </w:p>
    <w:p>
      <w:pPr>
        <w:ind w:left="528" w:right="3599" w:hanging="528"/>
        <w:spacing w:after="0" w:line="241" w:lineRule="auto"/>
        <w:tabs>
          <w:tab w:leader="none" w:pos="43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6" w:lineRule="exact"/>
        <w:rPr>
          <w:sz w:val="20"/>
          <w:szCs w:val="20"/>
          <w:color w:val="auto"/>
        </w:rPr>
      </w:pPr>
    </w:p>
    <w:p>
      <w:pPr>
        <w:ind w:left="528" w:right="3599" w:hanging="528"/>
        <w:spacing w:after="0" w:line="241" w:lineRule="auto"/>
        <w:tabs>
          <w:tab w:leader="none" w:pos="43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6" w:lineRule="exact"/>
        <w:rPr>
          <w:sz w:val="20"/>
          <w:szCs w:val="20"/>
          <w:color w:val="auto"/>
        </w:rPr>
      </w:pPr>
    </w:p>
    <w:p>
      <w:pPr>
        <w:ind w:left="528" w:right="3439" w:hanging="528"/>
        <w:spacing w:after="0" w:line="260" w:lineRule="auto"/>
        <w:tabs>
          <w:tab w:leader="none" w:pos="61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7"/>
          </w:cols>
          <w:pgMar w:left="232" w:top="1149" w:right="1440" w:bottom="1440" w:gutter="0" w:footer="0" w:header="0"/>
          <w:type w:val="continuous"/>
        </w:sectPr>
      </w:pPr>
    </w:p>
    <w:bookmarkStart w:id="96" w:name="page97"/>
    <w:bookmarkEnd w:id="96"/>
    <w:p>
      <w:pPr>
        <w:ind w:left="528" w:right="3339" w:hanging="528"/>
        <w:spacing w:after="0" w:line="241" w:lineRule="auto"/>
        <w:tabs>
          <w:tab w:leader="none" w:pos="52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6" w:lineRule="exact"/>
        <w:rPr>
          <w:sz w:val="20"/>
          <w:szCs w:val="20"/>
          <w:color w:val="auto"/>
        </w:rPr>
      </w:pPr>
    </w:p>
    <w:p>
      <w:pPr>
        <w:ind w:left="528" w:right="3519" w:hanging="528"/>
        <w:spacing w:after="0" w:line="242" w:lineRule="auto"/>
        <w:tabs>
          <w:tab w:leader="none" w:pos="61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5" w:lineRule="exact"/>
        <w:rPr>
          <w:sz w:val="20"/>
          <w:szCs w:val="20"/>
          <w:color w:val="auto"/>
        </w:rPr>
      </w:pPr>
    </w:p>
    <w:p>
      <w:pPr>
        <w:ind w:left="528" w:right="3079" w:hanging="528"/>
        <w:spacing w:after="0" w:line="241" w:lineRule="auto"/>
        <w:tabs>
          <w:tab w:leader="none" w:pos="43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6" w:lineRule="exact"/>
        <w:rPr>
          <w:sz w:val="20"/>
          <w:szCs w:val="20"/>
          <w:color w:val="auto"/>
        </w:rPr>
      </w:pPr>
    </w:p>
    <w:p>
      <w:pPr>
        <w:ind w:left="528" w:right="3339" w:hanging="528"/>
        <w:spacing w:after="0" w:line="267" w:lineRule="auto"/>
        <w:tabs>
          <w:tab w:leader="none" w:pos="52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8" w:right="3079" w:hanging="528"/>
        <w:spacing w:after="0" w:line="241" w:lineRule="auto"/>
        <w:tabs>
          <w:tab w:leader="none" w:pos="61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6" w:lineRule="exact"/>
        <w:rPr>
          <w:sz w:val="20"/>
          <w:szCs w:val="20"/>
          <w:color w:val="auto"/>
        </w:rPr>
      </w:pPr>
    </w:p>
    <w:p>
      <w:pPr>
        <w:ind w:left="528" w:right="3079" w:hanging="528"/>
        <w:spacing w:after="0" w:line="241" w:lineRule="auto"/>
        <w:tabs>
          <w:tab w:leader="none" w:pos="61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6" w:lineRule="exact"/>
        <w:rPr>
          <w:sz w:val="20"/>
          <w:szCs w:val="20"/>
          <w:color w:val="auto"/>
        </w:rPr>
      </w:pPr>
    </w:p>
    <w:p>
      <w:pPr>
        <w:ind w:left="528" w:right="3159" w:hanging="528"/>
        <w:spacing w:after="0" w:line="267" w:lineRule="auto"/>
        <w:tabs>
          <w:tab w:leader="none" w:pos="707"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8" w:right="3159" w:hanging="528"/>
        <w:spacing w:after="0" w:line="241" w:lineRule="auto"/>
        <w:tabs>
          <w:tab w:leader="none" w:pos="70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6" w:lineRule="exact"/>
        <w:rPr>
          <w:sz w:val="20"/>
          <w:szCs w:val="20"/>
          <w:color w:val="auto"/>
        </w:rPr>
      </w:pPr>
    </w:p>
    <w:p>
      <w:pPr>
        <w:ind w:left="528" w:right="3079" w:hanging="528"/>
        <w:spacing w:after="0" w:line="241" w:lineRule="auto"/>
        <w:tabs>
          <w:tab w:leader="none" w:pos="61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6" w:lineRule="exact"/>
        <w:rPr>
          <w:rFonts w:ascii="Courier New" w:cs="Courier New" w:eastAsia="Courier New" w:hAnsi="Courier New"/>
          <w:sz w:val="15"/>
          <w:szCs w:val="15"/>
          <w:color w:val="auto"/>
        </w:rPr>
      </w:pPr>
    </w:p>
    <w:p>
      <w:pPr>
        <w:ind w:left="528" w:right="3439" w:hanging="528"/>
        <w:spacing w:after="0" w:line="241" w:lineRule="auto"/>
        <w:tabs>
          <w:tab w:leader="none" w:pos="61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6" w:lineRule="exact"/>
        <w:rPr>
          <w:sz w:val="20"/>
          <w:szCs w:val="20"/>
          <w:color w:val="auto"/>
        </w:rPr>
      </w:pPr>
    </w:p>
    <w:p>
      <w:pPr>
        <w:ind w:left="528" w:right="3339" w:hanging="528"/>
        <w:spacing w:after="0" w:line="267" w:lineRule="auto"/>
        <w:tabs>
          <w:tab w:leader="none" w:pos="439"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8" w:right="3159" w:hanging="528"/>
        <w:spacing w:after="0" w:line="241" w:lineRule="auto"/>
        <w:tabs>
          <w:tab w:leader="none" w:pos="6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6" w:lineRule="exact"/>
        <w:rPr>
          <w:sz w:val="20"/>
          <w:szCs w:val="20"/>
          <w:color w:val="auto"/>
        </w:rPr>
      </w:pPr>
    </w:p>
    <w:p>
      <w:pPr>
        <w:ind w:left="528" w:right="3439" w:hanging="536"/>
        <w:spacing w:after="0" w:line="242"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5" w:lineRule="exact"/>
        <w:rPr>
          <w:sz w:val="20"/>
          <w:szCs w:val="20"/>
          <w:color w:val="auto"/>
        </w:rPr>
      </w:pPr>
    </w:p>
    <w:p>
      <w:pPr>
        <w:jc w:val="both"/>
        <w:ind w:left="528" w:right="3339" w:hanging="536"/>
        <w:spacing w:after="0" w:line="241"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348" w:lineRule="exact"/>
        <w:rPr>
          <w:sz w:val="20"/>
          <w:szCs w:val="20"/>
          <w:color w:val="auto"/>
        </w:rPr>
      </w:pPr>
    </w:p>
    <w:p>
      <w:pPr>
        <w:jc w:val="both"/>
        <w:ind w:left="528" w:right="3339" w:hanging="528"/>
        <w:spacing w:after="0" w:line="241" w:lineRule="auto"/>
        <w:tabs>
          <w:tab w:leader="none" w:pos="52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17. UNDERTAKINGS.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7"/>
          </w:cols>
          <w:pgMar w:left="232" w:top="463" w:right="1440" w:bottom="1440" w:gutter="0" w:footer="0" w:header="0"/>
        </w:sectPr>
      </w:pPr>
    </w:p>
    <w:bookmarkStart w:id="97" w:name="page98"/>
    <w:bookmarkEnd w:id="97"/>
    <w:p>
      <w:pPr>
        <w:ind w:right="3159"/>
        <w:spacing w:after="0" w:line="261" w:lineRule="auto"/>
        <w:rPr>
          <w:sz w:val="20"/>
          <w:szCs w:val="20"/>
          <w:color w:val="auto"/>
        </w:rPr>
      </w:pPr>
      <w:r>
        <w:rPr>
          <w:rFonts w:ascii="Courier New" w:cs="Courier New" w:eastAsia="Courier New" w:hAnsi="Courier New"/>
          <w:sz w:val="14"/>
          <w:szCs w:val="14"/>
          <w:color w:val="auto"/>
        </w:rPr>
        <w:t>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6" w:lineRule="exact"/>
        <w:rPr>
          <w:sz w:val="20"/>
          <w:szCs w:val="20"/>
          <w:color w:val="auto"/>
        </w:rPr>
      </w:pPr>
    </w:p>
    <w:p>
      <w:pPr>
        <w:ind w:left="620" w:right="3339" w:hanging="270"/>
        <w:spacing w:after="0"/>
        <w:tabs>
          <w:tab w:leader="none" w:pos="7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1060" w:right="3699" w:hanging="353"/>
        <w:spacing w:after="0"/>
        <w:tabs>
          <w:tab w:leader="none" w:pos="1060" w:val="left"/>
        </w:tabs>
        <w:numPr>
          <w:ilvl w:val="2"/>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6" w:lineRule="exact"/>
        <w:rPr>
          <w:rFonts w:ascii="Courier New" w:cs="Courier New" w:eastAsia="Courier New" w:hAnsi="Courier New"/>
          <w:sz w:val="15"/>
          <w:szCs w:val="15"/>
          <w:color w:val="auto"/>
        </w:rPr>
      </w:pPr>
    </w:p>
    <w:p>
      <w:pPr>
        <w:ind w:left="1160" w:right="3079" w:hanging="453"/>
        <w:spacing w:after="0" w:line="242" w:lineRule="auto"/>
        <w:tabs>
          <w:tab w:leader="none" w:pos="1160" w:val="left"/>
        </w:tabs>
        <w:numPr>
          <w:ilvl w:val="2"/>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1" w:lineRule="exact"/>
        <w:rPr>
          <w:rFonts w:ascii="Courier New" w:cs="Courier New" w:eastAsia="Courier New" w:hAnsi="Courier New"/>
          <w:sz w:val="15"/>
          <w:szCs w:val="15"/>
          <w:color w:val="auto"/>
        </w:rPr>
      </w:pPr>
    </w:p>
    <w:p>
      <w:pPr>
        <w:ind w:left="1160" w:right="3079" w:hanging="542"/>
        <w:spacing w:after="0" w:line="242" w:lineRule="auto"/>
        <w:tabs>
          <w:tab w:leader="none" w:pos="116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4" w:lineRule="exact"/>
        <w:rPr>
          <w:rFonts w:ascii="Courier New" w:cs="Courier New" w:eastAsia="Courier New" w:hAnsi="Courier New"/>
          <w:sz w:val="15"/>
          <w:szCs w:val="15"/>
          <w:color w:val="auto"/>
        </w:rPr>
      </w:pPr>
    </w:p>
    <w:p>
      <w:pPr>
        <w:ind w:left="620" w:right="3079" w:hanging="270"/>
        <w:spacing w:after="0" w:line="242" w:lineRule="auto"/>
        <w:tabs>
          <w:tab w:leader="none" w:pos="7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620" w:right="3079" w:hanging="270"/>
        <w:spacing w:after="0" w:line="241" w:lineRule="auto"/>
        <w:tabs>
          <w:tab w:leader="none" w:pos="7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rFonts w:ascii="Courier New" w:cs="Courier New" w:eastAsia="Courier New" w:hAnsi="Courier New"/>
          <w:sz w:val="15"/>
          <w:szCs w:val="15"/>
          <w:color w:val="auto"/>
        </w:rPr>
      </w:pPr>
    </w:p>
    <w:p>
      <w:pPr>
        <w:jc w:val="both"/>
        <w:ind w:left="620" w:right="3519" w:hanging="270"/>
        <w:spacing w:after="0" w:line="241" w:lineRule="auto"/>
        <w:tabs>
          <w:tab w:leader="none" w:pos="7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 post-effective amendment to the Registration Statement to include any financial statements required by section 10(a)(3) of the Securities Act.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463" w:right="1440" w:bottom="1440" w:gutter="0" w:footer="0" w:header="0"/>
        </w:sectPr>
      </w:pPr>
    </w:p>
    <w:bookmarkStart w:id="98" w:name="page99"/>
    <w:bookmarkEnd w:id="98"/>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Sunnyvale, State of California, on the 8th day of November, 2000.</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left="4920"/>
        <w:spacing w:after="0"/>
        <w:tabs>
          <w:tab w:leader="none" w:pos="5340" w:val="left"/>
        </w:tabs>
        <w:rPr>
          <w:sz w:val="20"/>
          <w:szCs w:val="20"/>
          <w:color w:val="auto"/>
        </w:rPr>
      </w:pPr>
      <w:r>
        <w:rPr>
          <w:rFonts w:ascii="Courier New" w:cs="Courier New" w:eastAsia="Courier New" w:hAnsi="Courier New"/>
          <w:sz w:val="15"/>
          <w:szCs w:val="15"/>
          <w:color w:val="auto"/>
        </w:rPr>
        <w:t>BY:</w:t>
        <w:tab/>
        <w:t>/S/ IRIS BREST*</w:t>
      </w:r>
    </w:p>
    <w:p>
      <w:pPr>
        <w:spacing w:after="0" w:line="4" w:lineRule="exact"/>
        <w:rPr>
          <w:sz w:val="20"/>
          <w:szCs w:val="20"/>
          <w:color w:val="auto"/>
        </w:rPr>
      </w:pPr>
    </w:p>
    <w:p>
      <w:pPr>
        <w:ind w:left="53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George W. Dunbar, Jr.</w:t>
      </w:r>
    </w:p>
    <w:p>
      <w:pPr>
        <w:spacing w:after="0" w:line="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Acting Chief Executive Officer and</w:t>
      </w:r>
    </w:p>
    <w:p>
      <w:pPr>
        <w:spacing w:after="0" w:line="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Acting Chief Financial Officer</w:t>
      </w:r>
    </w:p>
    <w:p>
      <w:pPr>
        <w:spacing w:after="0" w:line="200" w:lineRule="exact"/>
        <w:rPr>
          <w:sz w:val="20"/>
          <w:szCs w:val="20"/>
          <w:color w:val="auto"/>
        </w:rPr>
      </w:pPr>
    </w:p>
    <w:p>
      <w:pPr>
        <w:spacing w:after="0" w:line="320" w:lineRule="exact"/>
        <w:rPr>
          <w:sz w:val="20"/>
          <w:szCs w:val="20"/>
          <w:color w:val="auto"/>
        </w:rPr>
      </w:pPr>
    </w:p>
    <w:p>
      <w:pPr>
        <w:ind w:right="3959" w:firstLine="358"/>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November 8, 2000.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8"/>
              </w:rPr>
              <w:t>SIGNATURE</w:t>
            </w:r>
          </w:p>
        </w:tc>
        <w:tc>
          <w:tcPr>
            <w:tcW w:w="4160" w:type="dxa"/>
            <w:vAlign w:val="bottom"/>
          </w:tcPr>
          <w:p>
            <w:pPr>
              <w:ind w:left="2100"/>
              <w:spacing w:after="0"/>
              <w:rPr>
                <w:sz w:val="20"/>
                <w:szCs w:val="20"/>
                <w:color w:val="auto"/>
              </w:rPr>
            </w:pPr>
            <w:r>
              <w:rPr>
                <w:rFonts w:ascii="Courier New" w:cs="Courier New" w:eastAsia="Courier New" w:hAnsi="Courier New"/>
                <w:sz w:val="15"/>
                <w:szCs w:val="15"/>
                <w:color w:val="auto"/>
              </w:rPr>
              <w:t>TITLE</w:t>
            </w:r>
          </w:p>
        </w:tc>
      </w:tr>
      <w:tr>
        <w:trPr>
          <w:trHeight w:val="172"/>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8"/>
              </w:rPr>
              <w:t>---------</w:t>
            </w:r>
          </w:p>
        </w:tc>
        <w:tc>
          <w:tcPr>
            <w:tcW w:w="4160" w:type="dxa"/>
            <w:vAlign w:val="bottom"/>
          </w:tcPr>
          <w:p>
            <w:pPr>
              <w:ind w:left="2100"/>
              <w:spacing w:after="0"/>
              <w:rPr>
                <w:sz w:val="20"/>
                <w:szCs w:val="20"/>
                <w:color w:val="auto"/>
              </w:rPr>
            </w:pPr>
            <w:r>
              <w:rPr>
                <w:rFonts w:ascii="Courier New" w:cs="Courier New" w:eastAsia="Courier New" w:hAnsi="Courier New"/>
                <w:sz w:val="15"/>
                <w:szCs w:val="15"/>
                <w:color w:val="auto"/>
              </w:rPr>
              <w:t>-----</w:t>
            </w:r>
          </w:p>
        </w:tc>
      </w:tr>
      <w:tr>
        <w:trPr>
          <w:trHeight w:val="344"/>
        </w:trPr>
        <w:tc>
          <w:tcPr>
            <w:tcW w:w="4600" w:type="dxa"/>
            <w:vAlign w:val="bottom"/>
          </w:tcPr>
          <w:p>
            <w:pPr>
              <w:spacing w:after="0"/>
              <w:rPr>
                <w:sz w:val="24"/>
                <w:szCs w:val="24"/>
                <w:color w:val="auto"/>
              </w:rPr>
            </w:pP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George W. Dunbar, Jr.,</w:t>
            </w:r>
          </w:p>
        </w:tc>
      </w:tr>
      <w:tr>
        <w:trPr>
          <w:trHeight w:val="172"/>
        </w:trPr>
        <w:tc>
          <w:tcPr>
            <w:tcW w:w="4600" w:type="dxa"/>
            <w:vAlign w:val="bottom"/>
          </w:tcPr>
          <w:p>
            <w:pPr>
              <w:spacing w:after="0"/>
              <w:rPr>
                <w:sz w:val="14"/>
                <w:szCs w:val="14"/>
                <w:color w:val="auto"/>
              </w:rPr>
            </w:pP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w w:val="98"/>
              </w:rPr>
              <w:t>Acting President, Chief Executive Officer</w:t>
            </w:r>
          </w:p>
        </w:tc>
      </w:tr>
      <w:tr>
        <w:trPr>
          <w:trHeight w:val="172"/>
        </w:trPr>
        <w:tc>
          <w:tcPr>
            <w:tcW w:w="4600" w:type="dxa"/>
            <w:vAlign w:val="bottom"/>
          </w:tcPr>
          <w:p>
            <w:pPr>
              <w:spacing w:after="0"/>
              <w:rPr>
                <w:sz w:val="14"/>
                <w:szCs w:val="14"/>
                <w:color w:val="auto"/>
              </w:rPr>
            </w:pP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(Principal Executive Officer) and Chief</w:t>
            </w:r>
          </w:p>
        </w:tc>
      </w:tr>
      <w:tr>
        <w:trPr>
          <w:trHeight w:val="172"/>
        </w:trPr>
        <w:tc>
          <w:tcPr>
            <w:tcW w:w="4600" w:type="dxa"/>
            <w:vAlign w:val="bottom"/>
          </w:tcPr>
          <w:p>
            <w:pPr>
              <w:spacing w:after="0"/>
              <w:rPr>
                <w:sz w:val="14"/>
                <w:szCs w:val="14"/>
                <w:color w:val="auto"/>
              </w:rPr>
            </w:pP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Financial Officer (Principal Financial</w:t>
            </w:r>
          </w:p>
        </w:tc>
      </w:tr>
      <w:tr>
        <w:trPr>
          <w:trHeight w:val="172"/>
        </w:trPr>
        <w:tc>
          <w:tcPr>
            <w:tcW w:w="46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Officer)</w:t>
            </w:r>
          </w:p>
        </w:tc>
      </w:tr>
      <w:tr>
        <w:trPr>
          <w:trHeight w:val="172"/>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14"/>
                <w:szCs w:val="14"/>
                <w:color w:val="auto"/>
              </w:rPr>
            </w:pPr>
          </w:p>
        </w:tc>
      </w:tr>
      <w:tr>
        <w:trPr>
          <w:trHeight w:val="344"/>
        </w:trPr>
        <w:tc>
          <w:tcPr>
            <w:tcW w:w="4600" w:type="dxa"/>
            <w:vAlign w:val="bottom"/>
          </w:tcPr>
          <w:p>
            <w:pPr>
              <w:spacing w:after="0"/>
              <w:rPr>
                <w:sz w:val="24"/>
                <w:szCs w:val="24"/>
                <w:color w:val="auto"/>
              </w:rPr>
            </w:pP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John J. Schwartz, Ph. D.</w:t>
            </w:r>
          </w:p>
        </w:tc>
      </w:tr>
      <w:tr>
        <w:trPr>
          <w:trHeight w:val="172"/>
        </w:trPr>
        <w:tc>
          <w:tcPr>
            <w:tcW w:w="46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14"/>
                <w:szCs w:val="14"/>
                <w:color w:val="auto"/>
              </w:rPr>
            </w:pPr>
          </w:p>
        </w:tc>
      </w:tr>
      <w:tr>
        <w:trPr>
          <w:trHeight w:val="344"/>
        </w:trPr>
        <w:tc>
          <w:tcPr>
            <w:tcW w:w="4600" w:type="dxa"/>
            <w:vAlign w:val="bottom"/>
          </w:tcPr>
          <w:p>
            <w:pPr>
              <w:spacing w:after="0"/>
              <w:rPr>
                <w:sz w:val="24"/>
                <w:szCs w:val="24"/>
                <w:color w:val="auto"/>
              </w:rPr>
            </w:pP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Donald Kennedy, Ph. D.</w:t>
            </w:r>
          </w:p>
        </w:tc>
      </w:tr>
      <w:tr>
        <w:trPr>
          <w:trHeight w:val="172"/>
        </w:trPr>
        <w:tc>
          <w:tcPr>
            <w:tcW w:w="46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14"/>
                <w:szCs w:val="14"/>
                <w:color w:val="auto"/>
              </w:rPr>
            </w:pPr>
          </w:p>
        </w:tc>
      </w:tr>
      <w:tr>
        <w:trPr>
          <w:trHeight w:val="344"/>
        </w:trPr>
        <w:tc>
          <w:tcPr>
            <w:tcW w:w="4600" w:type="dxa"/>
            <w:vAlign w:val="bottom"/>
          </w:tcPr>
          <w:p>
            <w:pPr>
              <w:spacing w:after="0"/>
              <w:rPr>
                <w:sz w:val="24"/>
                <w:szCs w:val="24"/>
                <w:color w:val="auto"/>
              </w:rPr>
            </w:pP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Mark J. Levin</w:t>
            </w:r>
          </w:p>
        </w:tc>
      </w:tr>
      <w:tr>
        <w:trPr>
          <w:trHeight w:val="172"/>
        </w:trPr>
        <w:tc>
          <w:tcPr>
            <w:tcW w:w="46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14"/>
                <w:szCs w:val="14"/>
                <w:color w:val="auto"/>
              </w:rPr>
            </w:pPr>
          </w:p>
        </w:tc>
      </w:tr>
      <w:tr>
        <w:trPr>
          <w:trHeight w:val="344"/>
        </w:trPr>
        <w:tc>
          <w:tcPr>
            <w:tcW w:w="4600" w:type="dxa"/>
            <w:vAlign w:val="bottom"/>
          </w:tcPr>
          <w:p>
            <w:pPr>
              <w:spacing w:after="0"/>
              <w:rPr>
                <w:sz w:val="24"/>
                <w:szCs w:val="24"/>
                <w:color w:val="auto"/>
              </w:rPr>
            </w:pPr>
          </w:p>
        </w:tc>
        <w:tc>
          <w:tcPr>
            <w:tcW w:w="4160" w:type="dxa"/>
            <w:vAlign w:val="bottom"/>
          </w:tcPr>
          <w:p>
            <w:pPr>
              <w:ind w:left="320"/>
              <w:spacing w:after="0"/>
              <w:rPr>
                <w:sz w:val="20"/>
                <w:szCs w:val="20"/>
                <w:color w:val="auto"/>
              </w:rPr>
            </w:pPr>
            <w:r>
              <w:rPr>
                <w:rFonts w:ascii="Courier New" w:cs="Courier New" w:eastAsia="Courier New" w:hAnsi="Courier New"/>
                <w:sz w:val="15"/>
                <w:szCs w:val="15"/>
                <w:color w:val="auto"/>
              </w:rPr>
              <w:t>Irving Weissman, M.D.</w:t>
            </w:r>
          </w:p>
        </w:tc>
      </w:tr>
      <w:tr>
        <w:trPr>
          <w:trHeight w:val="172"/>
        </w:trPr>
        <w:tc>
          <w:tcPr>
            <w:tcW w:w="46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/s/ IRIS BREST*</w:t>
            </w:r>
          </w:p>
        </w:tc>
        <w:tc>
          <w:tcPr>
            <w:tcW w:w="4160" w:type="dxa"/>
            <w:vAlign w:val="bottom"/>
          </w:tcPr>
          <w:p>
            <w:pPr>
              <w:ind w:left="5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6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4160" w:type="dxa"/>
            <w:vAlign w:val="bottom"/>
          </w:tcPr>
          <w:p>
            <w:pPr>
              <w:spacing w:after="0"/>
              <w:rPr>
                <w:sz w:val="14"/>
                <w:szCs w:val="14"/>
                <w:color w:val="auto"/>
              </w:rPr>
            </w:pPr>
          </w:p>
        </w:tc>
      </w:tr>
      <w:tr>
        <w:trPr>
          <w:trHeight w:val="860"/>
        </w:trPr>
        <w:tc>
          <w:tcPr>
            <w:tcW w:w="4600" w:type="dxa"/>
            <w:vAlign w:val="bottom"/>
          </w:tcPr>
          <w:p>
            <w:pPr>
              <w:spacing w:after="0"/>
              <w:rPr>
                <w:sz w:val="20"/>
                <w:szCs w:val="20"/>
                <w:color w:val="auto"/>
              </w:rPr>
            </w:pPr>
            <w:r>
              <w:rPr>
                <w:rFonts w:ascii="Courier New" w:cs="Courier New" w:eastAsia="Courier New" w:hAnsi="Courier New"/>
                <w:sz w:val="15"/>
                <w:szCs w:val="15"/>
                <w:color w:val="auto"/>
              </w:rPr>
              <w:t>* As attorney-in-fact</w:t>
            </w:r>
          </w:p>
        </w:tc>
        <w:tc>
          <w:tcPr>
            <w:tcW w:w="4160" w:type="dxa"/>
            <w:vAlign w:val="bottom"/>
          </w:tcPr>
          <w:p>
            <w:pPr>
              <w:spacing w:after="0"/>
              <w:rPr>
                <w:sz w:val="24"/>
                <w:szCs w:val="24"/>
                <w:color w:val="auto"/>
              </w:rPr>
            </w:pPr>
          </w:p>
        </w:tc>
      </w:tr>
      <w:tr>
        <w:trPr>
          <w:trHeight w:val="516"/>
        </w:trPr>
        <w:tc>
          <w:tcPr>
            <w:tcW w:w="4600" w:type="dxa"/>
            <w:vAlign w:val="bottom"/>
          </w:tcPr>
          <w:p>
            <w:pPr>
              <w:ind w:left="3400"/>
              <w:spacing w:after="0"/>
              <w:rPr>
                <w:sz w:val="20"/>
                <w:szCs w:val="20"/>
                <w:color w:val="auto"/>
              </w:rPr>
            </w:pPr>
            <w:r>
              <w:rPr>
                <w:rFonts w:ascii="Courier New" w:cs="Courier New" w:eastAsia="Courier New" w:hAnsi="Courier New"/>
                <w:sz w:val="15"/>
                <w:szCs w:val="15"/>
                <w:color w:val="auto"/>
              </w:rPr>
              <w:t>II-8</w:t>
            </w:r>
          </w:p>
        </w:tc>
        <w:tc>
          <w:tcPr>
            <w:tcW w:w="416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5580" w:type="dxa"/>
            <w:vAlign w:val="bottom"/>
          </w:tcPr>
          <w:p>
            <w:pPr>
              <w:ind w:left="840"/>
              <w:spacing w:after="0"/>
              <w:rPr>
                <w:sz w:val="20"/>
                <w:szCs w:val="20"/>
                <w:color w:val="auto"/>
              </w:rPr>
            </w:pPr>
            <w:r>
              <w:rPr>
                <w:rFonts w:ascii="Courier New" w:cs="Courier New" w:eastAsia="Courier New" w:hAnsi="Courier New"/>
                <w:sz w:val="15"/>
                <w:szCs w:val="15"/>
                <w:color w:val="auto"/>
              </w:rPr>
              <w:t>EXHIBIT INDEX</w:t>
            </w:r>
          </w:p>
        </w:tc>
      </w:tr>
      <w:tr>
        <w:trPr>
          <w:trHeight w:val="860"/>
        </w:trPr>
        <w:tc>
          <w:tcPr>
            <w:tcW w:w="21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4.3X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4.4X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4.5X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4.6X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4.7X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4"/>
        </w:trPr>
        <w:tc>
          <w:tcPr>
            <w:tcW w:w="21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10.9**!!!!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4"/>
        </w:trPr>
        <w:tc>
          <w:tcPr>
            <w:tcW w:w="21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10.17**++++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bl>
    <w:p>
      <w:pPr>
        <w:sectPr>
          <w:pgSz w:w="11900" w:h="16838" w:orient="portrait"/>
          <w:cols w:equalWidth="0" w:num="1">
            <w:col w:w="10219"/>
          </w:cols>
          <w:pgMar w:left="240" w:top="461" w:right="1440"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 John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 Schwartz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4"/>
        </w:trPr>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rPr>
              <w:t>21X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bl>
    <w:p>
      <w:pPr>
        <w:sectPr>
          <w:pgSz w:w="11900" w:h="16838" w:orient="portrait"/>
          <w:cols w:equalWidth="0" w:num="1">
            <w:col w:w="10219"/>
          </w:cols>
          <w:pgMar w:left="240" w:top="1149" w:right="1440" w:bottom="1440" w:gutter="0" w:footer="0" w:header="0"/>
        </w:sectPr>
      </w:pPr>
    </w:p>
    <w:bookmarkStart w:id="101" w:name="page102"/>
    <w:bookmarkEnd w:id="101"/>
    <w:p>
      <w:pPr>
        <w:ind w:left="62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2048" w:space="280"/>
            <w:col w:w="7899"/>
          </w:cols>
          <w:pgMar w:left="232" w:top="977" w:right="1440" w:bottom="506" w:gutter="0" w:footer="0" w:header="0"/>
        </w:sectPr>
      </w:pPr>
    </w:p>
    <w:p>
      <w:pPr>
        <w:ind w:left="448"/>
        <w:spacing w:after="0"/>
        <w:rPr>
          <w:sz w:val="20"/>
          <w:szCs w:val="20"/>
          <w:color w:val="auto"/>
        </w:rPr>
      </w:pPr>
      <w:r>
        <w:rPr>
          <w:rFonts w:ascii="Courier New" w:cs="Courier New" w:eastAsia="Courier New" w:hAnsi="Courier New"/>
          <w:sz w:val="15"/>
          <w:szCs w:val="15"/>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209" w:lineRule="exact"/>
        <w:rPr>
          <w:sz w:val="20"/>
          <w:szCs w:val="20"/>
          <w:color w:val="auto"/>
        </w:rPr>
      </w:pPr>
    </w:p>
    <w:p>
      <w:pPr>
        <w:sectPr>
          <w:pgSz w:w="11900" w:h="16838" w:orient="portrait"/>
          <w:cols w:equalWidth="0" w:num="2">
            <w:col w:w="1428" w:space="720"/>
            <w:col w:w="8079"/>
          </w:cols>
          <w:pgMar w:left="232" w:top="977" w:right="1440" w:bottom="506"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528" w:right="3599" w:hanging="528"/>
        <w:spacing w:after="0" w:line="241" w:lineRule="auto"/>
        <w:tabs>
          <w:tab w:leader="none" w:pos="43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6" w:lineRule="exact"/>
        <w:rPr>
          <w:sz w:val="20"/>
          <w:szCs w:val="20"/>
          <w:color w:val="auto"/>
        </w:rPr>
      </w:pPr>
    </w:p>
    <w:p>
      <w:pPr>
        <w:ind w:left="528" w:right="3599" w:hanging="528"/>
        <w:spacing w:after="0" w:line="241" w:lineRule="auto"/>
        <w:tabs>
          <w:tab w:leader="none" w:pos="43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6" w:lineRule="exact"/>
        <w:rPr>
          <w:sz w:val="20"/>
          <w:szCs w:val="20"/>
          <w:color w:val="auto"/>
        </w:rPr>
      </w:pPr>
    </w:p>
    <w:p>
      <w:pPr>
        <w:ind w:left="528" w:right="3599" w:hanging="528"/>
        <w:spacing w:after="0" w:line="241" w:lineRule="auto"/>
        <w:tabs>
          <w:tab w:leader="none" w:pos="43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6" w:lineRule="exact"/>
        <w:rPr>
          <w:sz w:val="20"/>
          <w:szCs w:val="20"/>
          <w:color w:val="auto"/>
        </w:rPr>
      </w:pPr>
    </w:p>
    <w:p>
      <w:pPr>
        <w:ind w:left="528" w:right="3439" w:hanging="528"/>
        <w:spacing w:after="0" w:line="260" w:lineRule="auto"/>
        <w:tabs>
          <w:tab w:leader="none" w:pos="61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6" w:lineRule="exact"/>
        <w:rPr>
          <w:sz w:val="20"/>
          <w:szCs w:val="20"/>
          <w:color w:val="auto"/>
        </w:rPr>
      </w:pPr>
    </w:p>
    <w:p>
      <w:pPr>
        <w:ind w:left="528" w:right="3339" w:hanging="528"/>
        <w:spacing w:after="0" w:line="241" w:lineRule="auto"/>
        <w:tabs>
          <w:tab w:leader="none" w:pos="52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6" w:lineRule="exact"/>
        <w:rPr>
          <w:sz w:val="20"/>
          <w:szCs w:val="20"/>
          <w:color w:val="auto"/>
        </w:rPr>
      </w:pPr>
    </w:p>
    <w:p>
      <w:pPr>
        <w:ind w:left="528" w:right="3519" w:hanging="528"/>
        <w:spacing w:after="0" w:line="242" w:lineRule="auto"/>
        <w:tabs>
          <w:tab w:leader="none" w:pos="61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5" w:lineRule="exact"/>
        <w:rPr>
          <w:sz w:val="20"/>
          <w:szCs w:val="20"/>
          <w:color w:val="auto"/>
        </w:rPr>
      </w:pPr>
    </w:p>
    <w:p>
      <w:pPr>
        <w:ind w:left="528" w:right="3079" w:hanging="528"/>
        <w:spacing w:after="0" w:line="241" w:lineRule="auto"/>
        <w:tabs>
          <w:tab w:leader="none" w:pos="43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6" w:lineRule="exact"/>
        <w:rPr>
          <w:sz w:val="20"/>
          <w:szCs w:val="20"/>
          <w:color w:val="auto"/>
        </w:rPr>
      </w:pPr>
    </w:p>
    <w:p>
      <w:pPr>
        <w:ind w:left="528" w:right="3339" w:hanging="528"/>
        <w:spacing w:after="0" w:line="267" w:lineRule="auto"/>
        <w:tabs>
          <w:tab w:leader="none" w:pos="528"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8" w:right="3079" w:hanging="528"/>
        <w:spacing w:after="0" w:line="241" w:lineRule="auto"/>
        <w:tabs>
          <w:tab w:leader="none" w:pos="61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6" w:lineRule="exact"/>
        <w:rPr>
          <w:sz w:val="20"/>
          <w:szCs w:val="20"/>
          <w:color w:val="auto"/>
        </w:rPr>
      </w:pPr>
    </w:p>
    <w:p>
      <w:pPr>
        <w:ind w:left="528" w:right="3079" w:hanging="528"/>
        <w:spacing w:after="0" w:line="241" w:lineRule="auto"/>
        <w:tabs>
          <w:tab w:leader="none" w:pos="61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6" w:lineRule="exact"/>
        <w:rPr>
          <w:sz w:val="20"/>
          <w:szCs w:val="20"/>
          <w:color w:val="auto"/>
        </w:rPr>
      </w:pPr>
    </w:p>
    <w:p>
      <w:pPr>
        <w:ind w:left="528" w:right="3159" w:hanging="528"/>
        <w:spacing w:after="0" w:line="267" w:lineRule="auto"/>
        <w:tabs>
          <w:tab w:leader="none" w:pos="70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8" w:right="3159" w:hanging="528"/>
        <w:spacing w:after="0" w:line="241" w:lineRule="auto"/>
        <w:tabs>
          <w:tab w:leader="none" w:pos="70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6" w:lineRule="exact"/>
        <w:rPr>
          <w:sz w:val="20"/>
          <w:szCs w:val="20"/>
          <w:color w:val="auto"/>
        </w:rPr>
      </w:pPr>
    </w:p>
    <w:p>
      <w:pPr>
        <w:ind w:left="528" w:right="3079" w:hanging="528"/>
        <w:spacing w:after="0" w:line="241" w:lineRule="auto"/>
        <w:tabs>
          <w:tab w:leader="none" w:pos="61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6" w:lineRule="exact"/>
        <w:rPr>
          <w:rFonts w:ascii="Courier New" w:cs="Courier New" w:eastAsia="Courier New" w:hAnsi="Courier New"/>
          <w:sz w:val="15"/>
          <w:szCs w:val="15"/>
          <w:color w:val="auto"/>
        </w:rPr>
      </w:pPr>
    </w:p>
    <w:p>
      <w:pPr>
        <w:ind w:left="528" w:right="3439" w:hanging="528"/>
        <w:spacing w:after="0" w:line="241" w:lineRule="auto"/>
        <w:tabs>
          <w:tab w:leader="none" w:pos="61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6" w:lineRule="exact"/>
        <w:rPr>
          <w:sz w:val="20"/>
          <w:szCs w:val="20"/>
          <w:color w:val="auto"/>
        </w:rPr>
      </w:pPr>
    </w:p>
    <w:p>
      <w:pPr>
        <w:ind w:left="528" w:right="3339" w:hanging="528"/>
        <w:spacing w:after="0" w:line="267" w:lineRule="auto"/>
        <w:tabs>
          <w:tab w:leader="none" w:pos="439"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8" w:right="3159" w:hanging="528"/>
        <w:spacing w:after="0" w:line="241" w:lineRule="auto"/>
        <w:tabs>
          <w:tab w:leader="none" w:pos="61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6" w:lineRule="exact"/>
        <w:rPr>
          <w:sz w:val="20"/>
          <w:szCs w:val="20"/>
          <w:color w:val="auto"/>
        </w:rPr>
      </w:pPr>
    </w:p>
    <w:p>
      <w:pPr>
        <w:ind w:left="528" w:right="3439" w:hanging="536"/>
        <w:spacing w:after="0" w:line="242"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5" w:lineRule="exact"/>
        <w:rPr>
          <w:sz w:val="20"/>
          <w:szCs w:val="20"/>
          <w:color w:val="auto"/>
        </w:rPr>
      </w:pPr>
    </w:p>
    <w:p>
      <w:pPr>
        <w:jc w:val="both"/>
        <w:ind w:left="528" w:right="3339" w:hanging="536"/>
        <w:spacing w:after="0" w:line="241"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348" w:lineRule="exact"/>
        <w:rPr>
          <w:sz w:val="20"/>
          <w:szCs w:val="20"/>
          <w:color w:val="auto"/>
        </w:rPr>
      </w:pPr>
    </w:p>
    <w:p>
      <w:pPr>
        <w:jc w:val="both"/>
        <w:ind w:left="528" w:right="3339" w:hanging="528"/>
        <w:spacing w:after="0" w:line="241" w:lineRule="auto"/>
        <w:tabs>
          <w:tab w:leader="none" w:pos="52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ectPr>
          <w:pgSz w:w="11900" w:h="16838" w:orient="portrait"/>
          <w:cols w:equalWidth="0" w:num="1">
            <w:col w:w="10227"/>
          </w:cols>
          <w:pgMar w:left="232" w:top="977" w:right="1440" w:bottom="506" w:gutter="0" w:footer="0" w:header="0"/>
          <w:type w:val="continuous"/>
        </w:sectPr>
      </w:pPr>
    </w:p>
    <w:bookmarkStart w:id="102" w:name="page103"/>
    <w:bookmarkEnd w:id="102"/>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consent to the reference to our firm under the caption "Experts" and to the use of our report dated April 14, 2000 in Amendment No. 2 to the Registration Statement (Form S-1 No. 333-45496) and related Prospectus of StemCells, Inc. (formerly CytoTherapeutics, Inc.) for the registration of 3,205,486 shares of its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6, 2000</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1)"/>
      <w:numFmt w:val="decimal"/>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lowerRoman"/>
      <w:start w:val="3"/>
    </w:lvl>
  </w:abstractNum>
  <w:abstractNum w:abstractNumId="4">
    <w:nsid w:val="1CF10FD8"/>
    <w:multiLevelType w:val="hybridMultilevel"/>
    <w:lvl w:ilvl="0">
      <w:lvlJc w:val="left"/>
      <w:lvlText w:val="-"/>
      <w:numFmt w:val="bullet"/>
      <w:start w:val="1"/>
    </w:lvl>
    <w:lvl w:ilvl="1">
      <w:lvlJc w:val="left"/>
      <w:lvlText w:val="%2)"/>
      <w:numFmt w:val="lowerLetter"/>
      <w:start w:val="1"/>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1)"/>
      <w:numFmt w:val="decimal"/>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1."/>
      <w:numFmt w:val="decimal"/>
      <w:start w:val="2"/>
    </w:lvl>
  </w:abstractNum>
  <w:abstractNum w:abstractNumId="14">
    <w:nsid w:val="61574095"/>
    <w:multiLevelType w:val="hybridMultilevel"/>
    <w:lvl w:ilvl="0">
      <w:lvlJc w:val="left"/>
      <w:lvlText w:val="%1."/>
      <w:numFmt w:val="decimal"/>
      <w:start w:val="3"/>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1."/>
      <w:numFmt w:val="decimal"/>
      <w:start w:val="4"/>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1."/>
      <w:numFmt w:val="decimal"/>
      <w:start w:val="5"/>
    </w:lvl>
  </w:abstractNum>
  <w:abstractNum w:abstractNumId="19">
    <w:nsid w:val="5FF87E05"/>
    <w:multiLevelType w:val="hybridMultilevel"/>
    <w:lvl w:ilvl="0">
      <w:lvlJc w:val="left"/>
      <w:lvlText w:val="(%1)"/>
      <w:numFmt w:val="decimal"/>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1)"/>
      <w:numFmt w:val="decimal"/>
      <w:start w:val="1"/>
    </w:lvl>
  </w:abstractNum>
  <w:abstractNum w:abstractNumId="24">
    <w:nsid w:val="1F48EAA1"/>
    <w:multiLevelType w:val="hybridMultilevel"/>
    <w:lvl w:ilvl="0">
      <w:lvlJc w:val="left"/>
      <w:lvlText w:val="(%1)"/>
      <w:numFmt w:val="decimal"/>
      <w:start w:val="8"/>
    </w:lvl>
  </w:abstractNum>
  <w:abstractNum w:abstractNumId="25">
    <w:nsid w:val="1381823A"/>
    <w:multiLevelType w:val="hybridMultilevel"/>
    <w:lvl w:ilvl="0">
      <w:lvlJc w:val="left"/>
      <w:lvlText w:val="(%1)"/>
      <w:numFmt w:val="decimal"/>
      <w:start w:val="5"/>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1)"/>
      <w:numFmt w:val="decimal"/>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1."/>
      <w:numFmt w:val="decimal"/>
      <w:start w:val="1"/>
    </w:lvl>
  </w:abstractNum>
  <w:abstractNum w:abstractNumId="33">
    <w:nsid w:val="6B94764"/>
    <w:multiLevelType w:val="hybridMultilevel"/>
    <w:lvl w:ilvl="0">
      <w:lvlJc w:val="left"/>
      <w:lvlText w:val="%1."/>
      <w:numFmt w:val="decimal"/>
      <w:start w:val="2"/>
    </w:lvl>
  </w:abstractNum>
  <w:abstractNum w:abstractNumId="34">
    <w:nsid w:val="42C296BD"/>
    <w:multiLevelType w:val="hybridMultilevel"/>
    <w:lvl w:ilvl="0">
      <w:lvlJc w:val="left"/>
      <w:lvlText w:val="%1."/>
      <w:numFmt w:val="decimal"/>
      <w:start w:val="2"/>
    </w:lvl>
  </w:abstractNum>
  <w:abstractNum w:abstractNumId="35">
    <w:nsid w:val="168E121F"/>
    <w:multiLevelType w:val="hybridMultilevel"/>
    <w:lvl w:ilvl="0">
      <w:lvlJc w:val="left"/>
      <w:lvlText w:val="%1."/>
      <w:numFmt w:val="decimal"/>
      <w:start w:val="2"/>
    </w:lvl>
  </w:abstractNum>
  <w:abstractNum w:abstractNumId="36">
    <w:nsid w:val="1EBA5D23"/>
    <w:multiLevelType w:val="hybridMultilevel"/>
    <w:lvl w:ilvl="0">
      <w:lvlJc w:val="left"/>
      <w:lvlText w:val="%1."/>
      <w:numFmt w:val="decimal"/>
      <w:start w:val="3"/>
    </w:lvl>
  </w:abstractNum>
  <w:abstractNum w:abstractNumId="37">
    <w:nsid w:val="661E3F1E"/>
    <w:multiLevelType w:val="hybridMultilevel"/>
    <w:lvl w:ilvl="0">
      <w:lvlJc w:val="left"/>
      <w:lvlText w:val="%1."/>
      <w:numFmt w:val="decimal"/>
      <w:start w:val="3"/>
    </w:lvl>
  </w:abstractNum>
  <w:abstractNum w:abstractNumId="38">
    <w:nsid w:val="5DC79EA8"/>
    <w:multiLevelType w:val="hybridMultilevel"/>
    <w:lvl w:ilvl="0">
      <w:lvlJc w:val="left"/>
      <w:lvlText w:val="%1."/>
      <w:numFmt w:val="decimal"/>
      <w:start w:val="4"/>
    </w:lvl>
  </w:abstractNum>
  <w:abstractNum w:abstractNumId="39">
    <w:nsid w:val="540A471C"/>
    <w:multiLevelType w:val="hybridMultilevel"/>
    <w:lvl w:ilvl="0">
      <w:lvlJc w:val="left"/>
      <w:lvlText w:val="%1."/>
      <w:numFmt w:val="decimal"/>
      <w:start w:val="4"/>
    </w:lvl>
  </w:abstractNum>
  <w:abstractNum w:abstractNumId="40">
    <w:nsid w:val="7BD3EE7B"/>
    <w:multiLevelType w:val="hybridMultilevel"/>
    <w:lvl w:ilvl="0">
      <w:lvlJc w:val="left"/>
      <w:lvlText w:val="(%1)"/>
      <w:numFmt w:val="decimal"/>
      <w:start w:val="1"/>
    </w:lvl>
  </w:abstractNum>
  <w:abstractNum w:abstractNumId="41">
    <w:nsid w:val="51D9C564"/>
    <w:multiLevelType w:val="hybridMultilevel"/>
    <w:lvl w:ilvl="0">
      <w:lvlJc w:val="left"/>
      <w:lvlText w:val="%1."/>
      <w:numFmt w:val="decimal"/>
      <w:start w:val="4"/>
    </w:lvl>
  </w:abstractNum>
  <w:abstractNum w:abstractNumId="42">
    <w:nsid w:val="613EFDC5"/>
    <w:multiLevelType w:val="hybridMultilevel"/>
    <w:lvl w:ilvl="0">
      <w:lvlJc w:val="left"/>
      <w:lvlText w:val="(%1)"/>
      <w:numFmt w:val="decimal"/>
      <w:start w:val="5"/>
    </w:lvl>
  </w:abstractNum>
  <w:abstractNum w:abstractNumId="43">
    <w:nsid w:val="BF72B14"/>
    <w:multiLevelType w:val="hybridMultilevel"/>
    <w:lvl w:ilvl="0">
      <w:lvlJc w:val="left"/>
      <w:lvlText w:val="%1."/>
      <w:numFmt w:val="decimal"/>
      <w:start w:val="5"/>
    </w:lvl>
  </w:abstractNum>
  <w:abstractNum w:abstractNumId="44">
    <w:nsid w:val="11447B73"/>
    <w:multiLevelType w:val="hybridMultilevel"/>
    <w:lvl w:ilvl="0">
      <w:lvlJc w:val="left"/>
      <w:lvlText w:val="%1."/>
      <w:numFmt w:val="decimal"/>
      <w:start w:val="5"/>
    </w:lvl>
  </w:abstractNum>
  <w:abstractNum w:abstractNumId="45">
    <w:nsid w:val="42963E5A"/>
    <w:multiLevelType w:val="hybridMultilevel"/>
    <w:lvl w:ilvl="0">
      <w:lvlJc w:val="left"/>
      <w:lvlText w:val="%1."/>
      <w:numFmt w:val="decimal"/>
      <w:start w:val="6"/>
    </w:lvl>
  </w:abstractNum>
  <w:abstractNum w:abstractNumId="46">
    <w:nsid w:val="A0382C5"/>
    <w:multiLevelType w:val="hybridMultilevel"/>
    <w:lvl w:ilvl="0">
      <w:lvlJc w:val="left"/>
      <w:lvlText w:val="%1."/>
      <w:numFmt w:val="decimal"/>
      <w:start w:val="7"/>
    </w:lvl>
  </w:abstractNum>
  <w:abstractNum w:abstractNumId="47">
    <w:nsid w:val="8F2B15E"/>
    <w:multiLevelType w:val="hybridMultilevel"/>
    <w:lvl w:ilvl="0">
      <w:lvlJc w:val="left"/>
      <w:lvlText w:val="%1."/>
      <w:numFmt w:val="decimal"/>
      <w:start w:val="8"/>
    </w:lvl>
  </w:abstractNum>
  <w:abstractNum w:abstractNumId="48">
    <w:nsid w:val="1A32234B"/>
    <w:multiLevelType w:val="hybridMultilevel"/>
    <w:lvl w:ilvl="0">
      <w:lvlJc w:val="left"/>
      <w:lvlText w:val="%1."/>
      <w:numFmt w:val="decimal"/>
      <w:start w:val="8"/>
    </w:lvl>
  </w:abstractNum>
  <w:abstractNum w:abstractNumId="49">
    <w:nsid w:val="3B0FD379"/>
    <w:multiLevelType w:val="hybridMultilevel"/>
    <w:lvl w:ilvl="0">
      <w:lvlJc w:val="left"/>
      <w:lvlText w:val="%1."/>
      <w:numFmt w:val="decimal"/>
      <w:start w:val="9"/>
    </w:lvl>
  </w:abstractNum>
  <w:abstractNum w:abstractNumId="50">
    <w:nsid w:val="68EB2F63"/>
    <w:multiLevelType w:val="hybridMultilevel"/>
    <w:lvl w:ilvl="0">
      <w:lvlJc w:val="left"/>
      <w:lvlText w:val="%1."/>
      <w:numFmt w:val="decimal"/>
      <w:start w:val="10"/>
    </w:lvl>
  </w:abstractNum>
  <w:abstractNum w:abstractNumId="51">
    <w:nsid w:val="4962813B"/>
    <w:multiLevelType w:val="hybridMultilevel"/>
    <w:lvl w:ilvl="0">
      <w:lvlJc w:val="left"/>
      <w:lvlText w:val="%1."/>
      <w:numFmt w:val="decimal"/>
      <w:start w:val="11"/>
    </w:lvl>
  </w:abstractNum>
  <w:abstractNum w:abstractNumId="52">
    <w:nsid w:val="60B6DF70"/>
    <w:multiLevelType w:val="hybridMultilevel"/>
    <w:lvl w:ilvl="0">
      <w:lvlJc w:val="left"/>
      <w:lvlText w:val="%1."/>
      <w:numFmt w:val="decimal"/>
      <w:start w:val="11"/>
    </w:lvl>
  </w:abstractNum>
  <w:abstractNum w:abstractNumId="53">
    <w:nsid w:val="6A5EE64"/>
    <w:multiLevelType w:val="hybridMultilevel"/>
    <w:lvl w:ilvl="0">
      <w:lvlJc w:val="left"/>
      <w:lvlText w:val="%1."/>
      <w:numFmt w:val="decimal"/>
      <w:start w:val="12"/>
    </w:lvl>
  </w:abstractNum>
  <w:abstractNum w:abstractNumId="54">
    <w:nsid w:val="14330624"/>
    <w:multiLevelType w:val="hybridMultilevel"/>
    <w:lvl w:ilvl="0">
      <w:lvlJc w:val="left"/>
      <w:lvlText w:val="%1."/>
      <w:numFmt w:val="decimal"/>
      <w:start w:val="13"/>
    </w:lvl>
  </w:abstractNum>
  <w:abstractNum w:abstractNumId="55">
    <w:nsid w:val="7FFFCA11"/>
    <w:multiLevelType w:val="hybridMultilevel"/>
    <w:lvl w:ilvl="0">
      <w:lvlJc w:val="left"/>
      <w:lvlText w:val="%1."/>
      <w:numFmt w:val="decimal"/>
      <w:start w:val="13"/>
    </w:lvl>
  </w:abstractNum>
  <w:abstractNum w:abstractNumId="56">
    <w:nsid w:val="1A27709E"/>
    <w:multiLevelType w:val="hybridMultilevel"/>
    <w:lvl w:ilvl="0">
      <w:lvlJc w:val="left"/>
      <w:lvlText w:val="%1."/>
      <w:numFmt w:val="decimal"/>
      <w:start w:val="14"/>
    </w:lvl>
  </w:abstractNum>
  <w:abstractNum w:abstractNumId="57">
    <w:nsid w:val="71EA1109"/>
    <w:multiLevelType w:val="hybridMultilevel"/>
    <w:lvl w:ilvl="0">
      <w:lvlJc w:val="left"/>
      <w:lvlText w:val="%1."/>
      <w:numFmt w:val="decimal"/>
      <w:start w:val="15"/>
    </w:lvl>
  </w:abstractNum>
  <w:abstractNum w:abstractNumId="58">
    <w:nsid w:val="100F59DC"/>
    <w:multiLevelType w:val="hybridMultilevel"/>
    <w:lvl w:ilvl="0">
      <w:lvlJc w:val="left"/>
      <w:lvlText w:val="%1."/>
      <w:numFmt w:val="decimal"/>
      <w:start w:val="15"/>
    </w:lvl>
  </w:abstractNum>
  <w:abstractNum w:abstractNumId="59">
    <w:nsid w:val="7FB7E0AA"/>
    <w:multiLevelType w:val="hybridMultilevel"/>
    <w:lvl w:ilvl="0">
      <w:lvlJc w:val="left"/>
      <w:lvlText w:val="%1."/>
      <w:numFmt w:val="decimal"/>
      <w:start w:val="15"/>
    </w:lvl>
  </w:abstractNum>
  <w:abstractNum w:abstractNumId="60">
    <w:nsid w:val="6EB5BD4"/>
    <w:multiLevelType w:val="hybridMultilevel"/>
    <w:lvl w:ilvl="0">
      <w:lvlJc w:val="left"/>
      <w:lvlText w:val="%1."/>
      <w:numFmt w:val="decimal"/>
      <w:start w:val="15"/>
    </w:lvl>
  </w:abstractNum>
  <w:abstractNum w:abstractNumId="61">
    <w:nsid w:val="6F6DD9AC"/>
    <w:multiLevelType w:val="hybridMultilevel"/>
    <w:lvl w:ilvl="0">
      <w:lvlJc w:val="left"/>
      <w:lvlText w:val="%1."/>
      <w:numFmt w:val="decimal"/>
      <w:start w:val="16"/>
    </w:lvl>
  </w:abstractNum>
  <w:abstractNum w:abstractNumId="62">
    <w:nsid w:val="94211F2"/>
    <w:multiLevelType w:val="hybridMultilevel"/>
    <w:lvl w:ilvl="0">
      <w:lvlJc w:val="left"/>
      <w:lvlText w:val="%1."/>
      <w:numFmt w:val="decimal"/>
      <w:start w:val="16"/>
    </w:lvl>
  </w:abstractNum>
  <w:abstractNum w:abstractNumId="63">
    <w:nsid w:val="885E1B"/>
    <w:multiLevelType w:val="hybridMultilevel"/>
    <w:lvl w:ilvl="0">
      <w:lvlJc w:val="left"/>
      <w:lvlText w:val="%1."/>
      <w:numFmt w:val="decimal"/>
      <w:start w:val="16"/>
    </w:lvl>
  </w:abstractNum>
  <w:abstractNum w:abstractNumId="64">
    <w:nsid w:val="76272110"/>
    <w:multiLevelType w:val="hybridMultilevel"/>
    <w:lvl w:ilvl="0">
      <w:lvlJc w:val="left"/>
      <w:lvlText w:val="%1."/>
      <w:numFmt w:val="decimal"/>
      <w:start w:val="17"/>
    </w:lvl>
  </w:abstractNum>
  <w:abstractNum w:abstractNumId="65">
    <w:nsid w:val="4C04A8AF"/>
    <w:multiLevelType w:val="hybridMultilevel"/>
    <w:lvl w:ilvl="0">
      <w:lvlJc w:val="left"/>
      <w:lvlText w:val="%1."/>
      <w:numFmt w:val="decimal"/>
      <w:start w:val="17"/>
    </w:lvl>
  </w:abstractNum>
  <w:abstractNum w:abstractNumId="66">
    <w:nsid w:val="1716703B"/>
    <w:multiLevelType w:val="hybridMultilevel"/>
    <w:lvl w:ilvl="0">
      <w:lvlJc w:val="left"/>
      <w:lvlText w:val="%1."/>
      <w:numFmt w:val="decimal"/>
      <w:start w:val="18"/>
    </w:lvl>
  </w:abstractNum>
  <w:abstractNum w:abstractNumId="67">
    <w:nsid w:val="14E17E33"/>
    <w:multiLevelType w:val="hybridMultilevel"/>
    <w:lvl w:ilvl="0">
      <w:lvlJc w:val="left"/>
      <w:lvlText w:val="%1."/>
      <w:numFmt w:val="decimal"/>
      <w:start w:val="19"/>
    </w:lvl>
  </w:abstractNum>
  <w:abstractNum w:abstractNumId="68">
    <w:nsid w:val="3222E7CD"/>
    <w:multiLevelType w:val="hybridMultilevel"/>
    <w:lvl w:ilvl="0">
      <w:lvlJc w:val="left"/>
      <w:lvlText w:val="%1."/>
      <w:numFmt w:val="decimal"/>
      <w:start w:val="20"/>
    </w:lvl>
  </w:abstractNum>
  <w:abstractNum w:abstractNumId="69">
    <w:nsid w:val="74DE0EE3"/>
    <w:multiLevelType w:val="hybridMultilevel"/>
    <w:lvl w:ilvl="0">
      <w:lvlJc w:val="left"/>
      <w:lvlText w:val="(%1)"/>
      <w:numFmt w:val="decimal"/>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1)"/>
      <w:numFmt w:val="lowerLetter"/>
      <w:start w:val="9"/>
    </w:lvl>
    <w:lvl w:ilvl="1">
      <w:lvlJc w:val="left"/>
      <w:lvlText w:val="(%2)"/>
      <w:numFmt w:val="lowerLetter"/>
      <w:start w:val="1"/>
    </w:lvl>
  </w:abstractNum>
  <w:abstractNum w:abstractNumId="72">
    <w:nsid w:val="46B7D447"/>
    <w:multiLevelType w:val="hybridMultilevel"/>
    <w:lvl w:ilvl="0">
      <w:lvlJc w:val="left"/>
      <w:lvlText w:val="(%1)"/>
      <w:numFmt w:val="lowerLetter"/>
      <w:start w:val="2"/>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
      <w:numFmt w:val="bullet"/>
      <w:start w:val="1"/>
    </w:lvl>
  </w:abstractNum>
  <w:abstractNum w:abstractNumId="76">
    <w:nsid w:val="CC1016F"/>
    <w:multiLevelType w:val="hybridMultilevel"/>
    <w:lvl w:ilvl="0">
      <w:lvlJc w:val="left"/>
      <w:lvlText w:val="++++"/>
      <w:numFmt w:val="bullet"/>
      <w:start w:val="1"/>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
      <w:numFmt w:val="bullet"/>
      <w:start w:val="1"/>
    </w:lvl>
  </w:abstractNum>
  <w:abstractNum w:abstractNumId="79">
    <w:nsid w:val="26F324BA"/>
    <w:multiLevelType w:val="hybridMultilevel"/>
    <w:lvl w:ilvl="0">
      <w:lvlJc w:val="left"/>
      <w:lvlText w:val="**"/>
      <w:numFmt w:val="bullet"/>
      <w:start w:val="1"/>
    </w:lvl>
  </w:abstractNum>
  <w:abstractNum w:abstractNumId="80">
    <w:nsid w:val="7F01579B"/>
    <w:multiLevelType w:val="hybridMultilevel"/>
    <w:lvl w:ilvl="0">
      <w:lvlJc w:val="left"/>
      <w:lvlText w:val="##"/>
      <w:numFmt w:val="bullet"/>
      <w:start w:val="1"/>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
      <w:numFmt w:val="bullet"/>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
      <w:numFmt w:val="bullet"/>
      <w:start w:val="1"/>
    </w:lvl>
  </w:abstractNum>
  <w:abstractNum w:abstractNumId="89">
    <w:nsid w:val="6FC75AF8"/>
    <w:multiLevelType w:val="hybridMultilevel"/>
    <w:lvl w:ilvl="0">
      <w:lvlJc w:val="left"/>
      <w:lvlText w:val="[*]"/>
      <w:numFmt w:val="bullet"/>
      <w:start w:val="1"/>
    </w:lvl>
  </w:abstractNum>
  <w:abstractNum w:abstractNumId="90">
    <w:nsid w:val="6A5F7029"/>
    <w:multiLevelType w:val="hybridMultilevel"/>
    <w:lvl w:ilvl="0">
      <w:lvlJc w:val="left"/>
      <w:lvlText w:val="X"/>
      <w:numFmt w:val="bullet"/>
      <w:start w:val="1"/>
    </w:lvl>
  </w:abstractNum>
  <w:abstractNum w:abstractNumId="91">
    <w:nsid w:val="7D5E18F8"/>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92">
    <w:nsid w:val="5F3534A4"/>
    <w:multiLevelType w:val="hybridMultilevel"/>
    <w:lvl w:ilvl="0">
      <w:lvlJc w:val="left"/>
      <w:lvlText w:val="++"/>
      <w:numFmt w:val="bullet"/>
      <w:start w:val="1"/>
    </w:lvl>
  </w:abstractNum>
  <w:abstractNum w:abstractNumId="93">
    <w:nsid w:val="73A1821B"/>
    <w:multiLevelType w:val="hybridMultilevel"/>
    <w:lvl w:ilvl="0">
      <w:lvlJc w:val="left"/>
      <w:lvlText w:val="+++"/>
      <w:numFmt w:val="bullet"/>
      <w:start w:val="1"/>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
      <w:numFmt w:val="bullet"/>
      <w:start w:val="1"/>
    </w:lvl>
  </w:abstractNum>
  <w:abstractNum w:abstractNumId="96">
    <w:nsid w:val="3FA62ACA"/>
    <w:multiLevelType w:val="hybridMultilevel"/>
    <w:lvl w:ilvl="0">
      <w:lvlJc w:val="left"/>
      <w:lvlText w:val="#"/>
      <w:numFmt w:val="bullet"/>
      <w:start w:val="1"/>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
      <w:numFmt w:val="bullet"/>
      <w:start w:val="1"/>
    </w:lvl>
  </w:abstractNum>
  <w:abstractNum w:abstractNumId="100">
    <w:nsid w:val="9DAF632"/>
    <w:multiLevelType w:val="hybridMultilevel"/>
    <w:lvl w:ilvl="0">
      <w:lvlJc w:val="left"/>
      <w:lvlText w:val="!"/>
      <w:numFmt w:val="bullet"/>
      <w:start w:val="1"/>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
      <w:numFmt w:val="bullet"/>
      <w:start w:val="1"/>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
      <w:numFmt w:val="bullet"/>
      <w:start w:val="1"/>
    </w:lvl>
  </w:abstractNum>
  <w:abstractNum w:abstractNumId="105">
    <w:nsid w:val="59ADEA3D"/>
    <w:multiLevelType w:val="hybridMultilevel"/>
    <w:lvl w:ilvl="0">
      <w:lvlJc w:val="left"/>
      <w:lvlText w:val="****"/>
      <w:numFmt w:val="bullet"/>
      <w:start w:val="1"/>
    </w:lvl>
  </w:abstractNum>
  <w:abstractNum w:abstractNumId="106">
    <w:nsid w:val="288F1A34"/>
    <w:multiLevelType w:val="hybridMultilevel"/>
    <w:lvl w:ilvl="0">
      <w:lvlJc w:val="left"/>
      <w:lvlText w:val="###"/>
      <w:numFmt w:val="bullet"/>
      <w:start w:val="1"/>
    </w:lvl>
  </w:abstractNum>
  <w:abstractNum w:abstractNumId="107">
    <w:nsid w:val="2A155DBC"/>
    <w:multiLevelType w:val="hybridMultilevel"/>
    <w:lvl w:ilvl="0">
      <w:lvlJc w:val="left"/>
      <w:lvlText w:val="[*]"/>
      <w:numFmt w:val="bullet"/>
      <w:start w:val="1"/>
    </w:lvl>
  </w:abstractNum>
  <w:abstractNum w:abstractNumId="108">
    <w:nsid w:val="1D9F6E5F"/>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2019-12-13T21:53:58Z</dcterms:created>
  <dcterms:modified xsi:type="dcterms:W3CDTF">2019-12-13T21:53:58Z</dcterms:modified>
</cp:coreProperties>
</file>