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9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60" w:type="dxa"/>
            <w:vAlign w:val="bottom"/>
            <w:gridSpan w:val="2"/>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ind w:left="3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020" w:type="dxa"/>
            <w:vAlign w:val="bottom"/>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MILLENNIUM MANAGEMENT</w:t>
              </w:r>
            </w:hyperlink>
          </w:p>
        </w:tc>
        <w:tc>
          <w:tcPr>
            <w:tcW w:w="1580" w:type="dxa"/>
            <w:vAlign w:val="bottom"/>
          </w:tcPr>
          <w:p>
            <w:pPr>
              <w:ind w:left="3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3020" w:type="dxa"/>
            <w:vAlign w:val="bottom"/>
            <w:tcBorders>
              <w:bottom w:val="single" w:sz="8" w:color="0000EE"/>
            </w:tcBorders>
            <w:vMerge w:val="continue"/>
          </w:tcPr>
          <w:p>
            <w:pPr>
              <w:spacing w:after="0"/>
              <w:rPr>
                <w:sz w:val="11"/>
                <w:szCs w:val="11"/>
                <w:color w:val="auto"/>
              </w:rPr>
            </w:pPr>
          </w:p>
        </w:tc>
        <w:tc>
          <w:tcPr>
            <w:tcW w:w="1580" w:type="dxa"/>
            <w:vAlign w:val="bottom"/>
          </w:tcPr>
          <w:p>
            <w:pPr>
              <w:ind w:left="3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020" w:type="dxa"/>
            <w:vAlign w:val="bottom"/>
          </w:tcPr>
          <w:p>
            <w:pPr>
              <w:spacing w:after="0" w:line="236" w:lineRule="exact"/>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LLC</w:t>
              </w:r>
            </w:hyperlink>
          </w:p>
        </w:tc>
        <w:tc>
          <w:tcPr>
            <w:tcW w:w="1580" w:type="dxa"/>
            <w:vAlign w:val="bottom"/>
          </w:tcPr>
          <w:p>
            <w:pPr>
              <w:ind w:left="360"/>
              <w:spacing w:after="0"/>
              <w:rPr>
                <w:sz w:val="20"/>
                <w:szCs w:val="20"/>
                <w:color w:val="auto"/>
              </w:rPr>
            </w:pPr>
            <w:r>
              <w:rPr>
                <w:rFonts w:ascii="Arial" w:cs="Arial" w:eastAsia="Arial" w:hAnsi="Arial"/>
                <w:sz w:val="18"/>
                <w:szCs w:val="18"/>
                <w:color w:val="0000FF"/>
              </w:rPr>
              <w:t>12/09/2003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0"/>
          <w:szCs w:val="20"/>
          <w:color w:val="auto"/>
        </w:rPr>
      </w:pPr>
    </w:p>
    <w:p>
      <w:pPr>
        <w:sectPr>
          <w:pgSz w:w="11900" w:h="16896" w:orient="portrait"/>
          <w:cols w:equalWidth="0" w:num="2">
            <w:col w:w="4720" w:space="480"/>
            <w:col w:w="6220"/>
          </w:cols>
          <w:pgMar w:left="240" w:top="226" w:right="239" w:bottom="0" w:gutter="0" w:footer="0" w:header="0"/>
          <w:type w:val="continuous"/>
        </w:sectPr>
      </w:pP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8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666 FIFTH AVENUE</w:t>
            </w:r>
          </w:p>
        </w:tc>
        <w:tc>
          <w:tcPr>
            <w:tcW w:w="13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40" w:type="dxa"/>
            <w:vAlign w:val="bottom"/>
          </w:tcPr>
          <w:p>
            <w:pPr>
              <w:ind w:left="80"/>
              <w:spacing w:after="0"/>
              <w:rPr>
                <w:sz w:val="20"/>
                <w:szCs w:val="20"/>
                <w:color w:val="auto"/>
              </w:rPr>
            </w:pPr>
            <w:r>
              <w:rPr>
                <w:rFonts w:ascii="Arial" w:cs="Arial" w:eastAsia="Arial" w:hAnsi="Arial"/>
                <w:sz w:val="18"/>
                <w:szCs w:val="18"/>
                <w:color w:val="0000FF"/>
              </w:rPr>
              <w:t>NY</w:t>
            </w:r>
          </w:p>
        </w:tc>
        <w:tc>
          <w:tcPr>
            <w:tcW w:w="1360" w:type="dxa"/>
            <w:vAlign w:val="bottom"/>
          </w:tcPr>
          <w:p>
            <w:pPr>
              <w:ind w:left="320"/>
              <w:spacing w:after="0"/>
              <w:rPr>
                <w:sz w:val="20"/>
                <w:szCs w:val="20"/>
                <w:color w:val="auto"/>
              </w:rPr>
            </w:pPr>
            <w:r>
              <w:rPr>
                <w:rFonts w:ascii="Arial" w:cs="Arial" w:eastAsia="Arial" w:hAnsi="Arial"/>
                <w:sz w:val="18"/>
                <w:szCs w:val="18"/>
                <w:color w:val="0000FF"/>
              </w:rPr>
              <w:t>10103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40" w:type="dxa"/>
            <w:vAlign w:val="bottom"/>
          </w:tcPr>
          <w:p>
            <w:pPr>
              <w:ind w:left="8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12/12/2003</w:t>
      </w:r>
    </w:p>
    <w:p>
      <w:pPr>
        <w:spacing w:after="0" w:line="340" w:lineRule="exact"/>
        <w:rPr>
          <w:sz w:val="20"/>
          <w:szCs w:val="20"/>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Form filed by One Reporting Person</w:t>
      </w:r>
    </w:p>
    <w:p>
      <w:pPr>
        <w:spacing w:after="0" w:line="42" w:lineRule="exact"/>
        <w:rPr>
          <w:sz w:val="20"/>
          <w:szCs w:val="20"/>
          <w:color w:val="auto"/>
        </w:rPr>
      </w:pPr>
    </w:p>
    <w:p>
      <w:pPr>
        <w:ind w:left="483" w:right="640" w:hanging="316"/>
        <w:spacing w:after="0" w:line="180" w:lineRule="auto"/>
        <w:tabs>
          <w:tab w:leader="none" w:pos="483" w:val="left"/>
        </w:tabs>
        <w:numPr>
          <w:ilvl w:val="0"/>
          <w:numId w:val="4"/>
        </w:numPr>
        <w:rPr>
          <w:rFonts w:ascii="Arial" w:cs="Arial" w:eastAsia="Arial" w:hAnsi="Arial"/>
          <w:sz w:val="25"/>
          <w:szCs w:val="25"/>
          <w:color w:val="0000FF"/>
          <w:vertAlign w:val="subscript"/>
        </w:rPr>
      </w:pPr>
      <w:r>
        <w:rPr>
          <w:rFonts w:ascii="Arial" w:cs="Arial" w:eastAsia="Arial" w:hAnsi="Arial"/>
          <w:sz w:val="11"/>
          <w:szCs w:val="11"/>
          <w:color w:val="auto"/>
        </w:rPr>
        <w:t>Form filed by More than One Reporting Person</w:t>
      </w:r>
    </w:p>
    <w:p>
      <w:pPr>
        <w:spacing w:after="0" w:line="495" w:lineRule="exact"/>
        <w:rPr>
          <w:sz w:val="20"/>
          <w:szCs w:val="20"/>
          <w:color w:val="auto"/>
        </w:rPr>
      </w:pPr>
    </w:p>
    <w:p>
      <w:pPr>
        <w:sectPr>
          <w:pgSz w:w="11900" w:h="16896" w:orient="portrait"/>
          <w:cols w:equalWidth="0" w:num="3">
            <w:col w:w="4474" w:space="720"/>
            <w:col w:w="3006" w:space="397"/>
            <w:col w:w="2823"/>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4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8"/>
              </w:rPr>
              <w:t>Common Stock, par value $0.01 per share ("Common Stock")</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4,203,534</w:t>
            </w:r>
            <w:r>
              <w:rPr>
                <w:rFonts w:ascii="Arial" w:cs="Arial" w:eastAsia="Arial" w:hAnsi="Arial"/>
                <w:sz w:val="22"/>
                <w:szCs w:val="22"/>
                <w:color w:val="008000"/>
                <w:vertAlign w:val="superscript"/>
              </w:rPr>
              <w:t>(1)</w:t>
            </w:r>
          </w:p>
        </w:tc>
        <w:tc>
          <w:tcPr>
            <w:tcW w:w="1220" w:type="dxa"/>
            <w:vAlign w:val="bottom"/>
            <w:tcBorders>
              <w:bottom w:val="single" w:sz="8" w:color="2C2C2C"/>
            </w:tcBorders>
            <w:gridSpan w:val="2"/>
          </w:tcPr>
          <w:p>
            <w:pPr>
              <w:ind w:left="4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4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320" w:type="dxa"/>
            <w:vAlign w:val="bottom"/>
            <w:tcBorders>
              <w:top w:val="single" w:sz="8" w:color="2C2C2C"/>
            </w:tcBorders>
          </w:tcPr>
          <w:p>
            <w:pPr>
              <w:spacing w:after="0"/>
              <w:rPr>
                <w:sz w:val="19"/>
                <w:szCs w:val="19"/>
                <w:color w:val="auto"/>
              </w:rPr>
            </w:pPr>
          </w:p>
        </w:tc>
        <w:tc>
          <w:tcPr>
            <w:tcW w:w="11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42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gridSpan w:val="9"/>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Warrants (right to buy)</w:t>
            </w:r>
          </w:p>
        </w:tc>
        <w:tc>
          <w:tcPr>
            <w:tcW w:w="1520" w:type="dxa"/>
            <w:vAlign w:val="bottom"/>
            <w:tcBorders>
              <w:bottom w:val="single" w:sz="8" w:color="2C2C2C"/>
            </w:tcBorders>
            <w:gridSpan w:val="3"/>
          </w:tcPr>
          <w:p>
            <w:pPr>
              <w:jc w:val="right"/>
              <w:ind w:right="329"/>
              <w:spacing w:after="0"/>
              <w:rPr>
                <w:sz w:val="20"/>
                <w:szCs w:val="20"/>
                <w:color w:val="auto"/>
              </w:rPr>
            </w:pPr>
            <w:r>
              <w:rPr>
                <w:rFonts w:ascii="Arial" w:cs="Arial" w:eastAsia="Arial" w:hAnsi="Arial"/>
                <w:sz w:val="11"/>
                <w:szCs w:val="11"/>
                <w:color w:val="008000"/>
              </w:rPr>
              <w:t>(6)</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07/31/2005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101,587</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4.73</w:t>
            </w:r>
          </w:p>
        </w:tc>
        <w:tc>
          <w:tcPr>
            <w:tcW w:w="88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Warrants (right to buy)</w:t>
            </w:r>
          </w:p>
        </w:tc>
        <w:tc>
          <w:tcPr>
            <w:tcW w:w="1520" w:type="dxa"/>
            <w:vAlign w:val="bottom"/>
            <w:tcBorders>
              <w:bottom w:val="single" w:sz="8" w:color="2C2C2C"/>
            </w:tcBorders>
            <w:gridSpan w:val="3"/>
          </w:tcPr>
          <w:p>
            <w:pPr>
              <w:jc w:val="right"/>
              <w:ind w:right="329"/>
              <w:spacing w:after="0"/>
              <w:rPr>
                <w:sz w:val="20"/>
                <w:szCs w:val="20"/>
                <w:color w:val="auto"/>
              </w:rPr>
            </w:pPr>
            <w:r>
              <w:rPr>
                <w:rFonts w:ascii="Arial" w:cs="Arial" w:eastAsia="Arial" w:hAnsi="Arial"/>
                <w:sz w:val="11"/>
                <w:szCs w:val="11"/>
                <w:color w:val="008000"/>
              </w:rPr>
              <w:t>(6)</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12/04/2005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350,877</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3.42</w:t>
            </w:r>
          </w:p>
        </w:tc>
        <w:tc>
          <w:tcPr>
            <w:tcW w:w="88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Warrants (right to buy)</w:t>
            </w:r>
          </w:p>
        </w:tc>
        <w:tc>
          <w:tcPr>
            <w:tcW w:w="1520" w:type="dxa"/>
            <w:vAlign w:val="bottom"/>
            <w:tcBorders>
              <w:bottom w:val="single" w:sz="8" w:color="2C2C2C"/>
            </w:tcBorders>
            <w:gridSpan w:val="3"/>
          </w:tcPr>
          <w:p>
            <w:pPr>
              <w:jc w:val="right"/>
              <w:ind w:right="329"/>
              <w:spacing w:after="0"/>
              <w:rPr>
                <w:sz w:val="20"/>
                <w:szCs w:val="20"/>
                <w:color w:val="auto"/>
              </w:rPr>
            </w:pPr>
            <w:r>
              <w:rPr>
                <w:rFonts w:ascii="Arial" w:cs="Arial" w:eastAsia="Arial" w:hAnsi="Arial"/>
                <w:sz w:val="11"/>
                <w:szCs w:val="11"/>
                <w:color w:val="008000"/>
              </w:rPr>
              <w:t>(6)</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08/30/2005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7"/>
              </w:rPr>
              <w:t>19,900</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6.03</w:t>
            </w:r>
          </w:p>
        </w:tc>
        <w:tc>
          <w:tcPr>
            <w:tcW w:w="88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Warrants (right to buy)</w:t>
            </w:r>
          </w:p>
        </w:tc>
        <w:tc>
          <w:tcPr>
            <w:tcW w:w="1520" w:type="dxa"/>
            <w:vAlign w:val="bottom"/>
            <w:tcBorders>
              <w:bottom w:val="single" w:sz="8" w:color="2C2C2C"/>
            </w:tcBorders>
            <w:gridSpan w:val="3"/>
          </w:tcPr>
          <w:p>
            <w:pPr>
              <w:jc w:val="right"/>
              <w:ind w:right="329"/>
              <w:spacing w:after="0"/>
              <w:rPr>
                <w:sz w:val="20"/>
                <w:szCs w:val="20"/>
                <w:color w:val="auto"/>
              </w:rPr>
            </w:pPr>
            <w:r>
              <w:rPr>
                <w:rFonts w:ascii="Arial" w:cs="Arial" w:eastAsia="Arial" w:hAnsi="Arial"/>
                <w:sz w:val="11"/>
                <w:szCs w:val="11"/>
                <w:color w:val="008000"/>
              </w:rPr>
              <w:t>(6)</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06/09/2006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7"/>
              </w:rPr>
              <w:t>50,352</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01"/>
              <w:spacing w:after="0"/>
              <w:rPr>
                <w:sz w:val="20"/>
                <w:szCs w:val="20"/>
                <w:color w:val="auto"/>
              </w:rPr>
            </w:pPr>
            <w:r>
              <w:rPr>
                <w:rFonts w:ascii="Arial" w:cs="Arial" w:eastAsia="Arial" w:hAnsi="Arial"/>
                <w:sz w:val="18"/>
                <w:szCs w:val="18"/>
                <w:color w:val="0000FF"/>
                <w:w w:val="91"/>
              </w:rPr>
              <w:t>4.77</w:t>
            </w:r>
          </w:p>
        </w:tc>
        <w:tc>
          <w:tcPr>
            <w:tcW w:w="88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620" w:type="dxa"/>
            <w:vAlign w:val="bottom"/>
            <w:tcBorders>
              <w:bottom w:val="single" w:sz="8" w:color="2C2C2C"/>
            </w:tcBorders>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Warrants (right to buy)</w:t>
            </w:r>
          </w:p>
        </w:tc>
        <w:tc>
          <w:tcPr>
            <w:tcW w:w="1520" w:type="dxa"/>
            <w:vAlign w:val="bottom"/>
            <w:tcBorders>
              <w:bottom w:val="single" w:sz="8" w:color="2C2C2C"/>
            </w:tcBorders>
            <w:gridSpan w:val="3"/>
          </w:tcPr>
          <w:p>
            <w:pPr>
              <w:jc w:val="right"/>
              <w:ind w:right="329"/>
              <w:spacing w:after="0"/>
              <w:rPr>
                <w:sz w:val="20"/>
                <w:szCs w:val="20"/>
                <w:color w:val="auto"/>
              </w:rPr>
            </w:pPr>
            <w:r>
              <w:rPr>
                <w:rFonts w:ascii="Arial" w:cs="Arial" w:eastAsia="Arial" w:hAnsi="Arial"/>
                <w:sz w:val="11"/>
                <w:szCs w:val="11"/>
                <w:color w:val="008000"/>
              </w:rPr>
              <w:t>(6)</w:t>
            </w:r>
          </w:p>
        </w:tc>
        <w:tc>
          <w:tcPr>
            <w:tcW w:w="780" w:type="dxa"/>
            <w:vAlign w:val="bottom"/>
            <w:tcBorders>
              <w:bottom w:val="single" w:sz="8" w:color="2C2C2C"/>
            </w:tcBorders>
            <w:gridSpan w:val="3"/>
          </w:tcPr>
          <w:p>
            <w:pPr>
              <w:ind w:left="60"/>
              <w:spacing w:after="0"/>
              <w:rPr>
                <w:sz w:val="20"/>
                <w:szCs w:val="20"/>
                <w:color w:val="auto"/>
              </w:rPr>
            </w:pPr>
            <w:r>
              <w:rPr>
                <w:rFonts w:ascii="Arial" w:cs="Arial" w:eastAsia="Arial" w:hAnsi="Arial"/>
                <w:sz w:val="14"/>
                <w:szCs w:val="14"/>
                <w:color w:val="0000FF"/>
                <w:w w:val="99"/>
              </w:rPr>
              <w:t>05/08/2005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6"/>
              </w:rPr>
              <w:t>800,000</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181"/>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16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(2)(3)(4)(5)</w:t>
            </w:r>
          </w:p>
        </w:tc>
        <w:tc>
          <w:tcPr>
            <w:tcW w:w="1640" w:type="dxa"/>
            <w:vAlign w:val="bottom"/>
            <w:tcBorders>
              <w:bottom w:val="single" w:sz="8" w:color="2C2C2C"/>
            </w:tcBorders>
            <w:gridSpan w:val="2"/>
          </w:tcPr>
          <w:p>
            <w:pPr>
              <w:ind w:left="100"/>
              <w:spacing w:after="0" w:line="324" w:lineRule="exact"/>
              <w:rPr>
                <w:sz w:val="20"/>
                <w:szCs w:val="20"/>
                <w:color w:val="auto"/>
              </w:rPr>
            </w:pPr>
            <w:r>
              <w:rPr>
                <w:rFonts w:ascii="Arial" w:cs="Arial" w:eastAsia="Arial" w:hAnsi="Arial"/>
                <w:sz w:val="35"/>
                <w:szCs w:val="35"/>
                <w:color w:val="0000FF"/>
                <w:vertAlign w:val="subscript"/>
              </w:rPr>
              <w:t>See</w:t>
            </w:r>
            <w:r>
              <w:rPr>
                <w:rFonts w:ascii="Arial" w:cs="Arial" w:eastAsia="Arial" w:hAnsi="Arial"/>
                <w:sz w:val="11"/>
                <w:szCs w:val="11"/>
                <w:color w:val="008000"/>
              </w:rPr>
              <w:t>(2)(3)(4)(5)</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MILLENNIUM MANAGEMENT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600" w:type="dxa"/>
            <w:vAlign w:val="bottom"/>
          </w:tcPr>
          <w:p>
            <w:pPr>
              <w:ind w:left="100"/>
              <w:spacing w:after="0"/>
              <w:rPr>
                <w:sz w:val="20"/>
                <w:szCs w:val="20"/>
                <w:color w:val="auto"/>
              </w:rPr>
            </w:pPr>
            <w:r>
              <w:rPr>
                <w:rFonts w:ascii="Arial" w:cs="Arial" w:eastAsia="Arial" w:hAnsi="Arial"/>
                <w:sz w:val="18"/>
                <w:szCs w:val="18"/>
                <w:color w:val="0000FF"/>
                <w:w w:val="95"/>
              </w:rPr>
              <w:t>10103</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RIVERVIEW GROUP LLC</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520" w:type="dxa"/>
            <w:vAlign w:val="bottom"/>
            <w:gridSpan w:val="3"/>
          </w:tcPr>
          <w:p>
            <w:pPr>
              <w:ind w:left="10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520" w:type="dxa"/>
            <w:vAlign w:val="bottom"/>
            <w:gridSpan w:val="3"/>
          </w:tcPr>
          <w:p>
            <w:pPr>
              <w:ind w:left="10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MILLENNIUM HOLDING GROUP LP</w:t>
        </w:r>
      </w:hyperlink>
    </w:p>
    <w:p>
      <w:pPr>
        <w:sectPr>
          <w:pgSz w:w="11900" w:h="16896"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96"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70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705735"/>
                    </a:xfrm>
                    <a:prstGeom prst="rect">
                      <a:avLst/>
                    </a:prstGeom>
                    <a:noFill/>
                  </pic:spPr>
                </pic:pic>
              </a:graphicData>
            </a:graphic>
          </wp:anchor>
        </w:drawing>
        <w:t>666 FIFTH AVE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111 BROEDWAY 20TH FLOOR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10006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80" w:firstLine="9"/>
        <w:spacing w:after="0" w:line="233" w:lineRule="auto"/>
        <w:tabs>
          <w:tab w:leader="none" w:pos="15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This number is being amended to reflect the settlement of a trade of 796,466 shares of Common Stock of StemCells, Inc. (the "Company") that was not reflected in the original filing of this form (the "Original Form 3"). The trade was executed prior to the Reporting Persons becoming 10% owners. Accordingly, the Original Form 3 is hereby being amended to adjust the number of shares then beneficially owned.</w:t>
      </w:r>
    </w:p>
    <w:p>
      <w:pPr>
        <w:spacing w:after="0" w:line="30" w:lineRule="exact"/>
        <w:rPr>
          <w:rFonts w:ascii="Arial" w:cs="Arial" w:eastAsia="Arial" w:hAnsi="Arial"/>
          <w:sz w:val="14"/>
          <w:szCs w:val="14"/>
          <w:color w:val="008000"/>
        </w:rPr>
      </w:pPr>
    </w:p>
    <w:p>
      <w:pPr>
        <w:ind w:left="20" w:firstLine="9"/>
        <w:spacing w:after="0" w:line="230" w:lineRule="auto"/>
        <w:tabs>
          <w:tab w:leader="none" w:pos="15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of the Original Form 3 held 4,087,028 shares of Common Stock of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140" w:firstLine="9"/>
        <w:spacing w:after="0" w:line="239" w:lineRule="auto"/>
        <w:tabs>
          <w:tab w:leader="none" w:pos="15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Immediately exercisable.</w:t>
      </w:r>
    </w:p>
    <w:p>
      <w:pPr>
        <w:sectPr>
          <w:pgSz w:w="11900" w:h="16838" w:orient="portrait"/>
          <w:cols w:equalWidth="0" w:num="1">
            <w:col w:w="11360"/>
          </w:cols>
          <w:pgMar w:left="260" w:top="185" w:right="279" w:bottom="144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5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66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LLC by /s/ Terry Feeney,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6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Management, LLC as 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0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 By: /s/ Israel A. 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0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0000FF"/>
        </w:rPr>
        <w:t>12/23/2003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12/23/2003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12/23/2003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9040" w:space="100"/>
            <w:col w:w="2220"/>
          </w:cols>
          <w:pgMar w:left="260" w:top="185" w:right="27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12/23/2003</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40" w:firstLine="9"/>
        <w:spacing w:after="0" w:line="350" w:lineRule="auto"/>
        <w:tabs>
          <w:tab w:leader="none" w:pos="16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85"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1" Type="http://schemas.openxmlformats.org/officeDocument/2006/relationships/hyperlink" Target="http://www.sec.gov/cgi-bin/browse-edgar?action=getcompany&amp;CIK=0001273087" TargetMode="External"/><Relationship Id="rId12" Type="http://schemas.openxmlformats.org/officeDocument/2006/relationships/hyperlink" Target="http://www.sec.gov/cgi-bin/browse-edgar?action=getcompany&amp;CIK=0000883975" TargetMode="External"/><Relationship Id="rId13" Type="http://schemas.openxmlformats.org/officeDocument/2006/relationships/hyperlink" Target="http://www.sec.gov/cgi-bin/browse-edgar?action=getcompany&amp;CIK=0001273091" TargetMode="External"/><Relationship Id="rId14" Type="http://schemas.openxmlformats.org/officeDocument/2006/relationships/hyperlink" Target="http://www.sec.gov/cgi-bin/browse-edgar?action=getcompany&amp;CIK=0001273089"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2019-12-16T08:38:05Z</dcterms:created>
  <dcterms:modified xsi:type="dcterms:W3CDTF">2019-12-16T08:38:05Z</dcterms:modified>
</cp:coreProperties>
</file>