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Massey Ian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7707 GATEWAY BLVD, STE 140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01/18/2016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8"/>
          </w:tcPr>
          <w:p>
            <w:pPr>
              <w:jc w:val="center"/>
              <w:ind w:right="75"/>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NEWARK</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94560</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01/18/2016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8"/>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1,250,000</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jc w:val="center"/>
              <w:ind w:right="137"/>
              <w:spacing w:after="0"/>
              <w:rPr>
                <w:sz w:val="20"/>
                <w:szCs w:val="20"/>
                <w:color w:val="auto"/>
              </w:rPr>
            </w:pPr>
            <w:r>
              <w:rPr>
                <w:rFonts w:ascii="Arial" w:cs="Arial" w:eastAsia="Arial" w:hAnsi="Arial"/>
                <w:sz w:val="18"/>
                <w:szCs w:val="18"/>
                <w:color w:val="0000FF"/>
              </w:rPr>
              <w:t>2,000,000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0000FF"/>
                <w:w w:val="87"/>
              </w:rPr>
              <w:t>17,059</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with performance based vesting set by the issuer's Board of Directors and tied to the timely and successful conduct and completion of the issuer's Phase II clinical study in spinal cord injury.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2,000,000 restricted stock units with performance based vesting.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01/20/2016</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928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2019-12-24T03:09:13Z</dcterms:created>
  <dcterms:modified xsi:type="dcterms:W3CDTF">2019-12-24T03:09:13Z</dcterms:modified>
</cp:coreProperties>
</file>