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gridSpan w:val="2"/>
            <w:vMerge w:val="restart"/>
          </w:tcPr>
          <w:p>
            <w:pPr>
              <w:ind w:left="70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05/15/2010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05/15/2010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26,667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w:t>
            </w:r>
          </w:p>
        </w:tc>
        <w:tc>
          <w:tcPr>
            <w:tcW w:w="126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8"/>
                <w:szCs w:val="18"/>
                <w:color w:val="0000FF"/>
              </w:rPr>
              <w:t>274,950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4"/>
              <w:spacing w:after="0"/>
              <w:rPr>
                <w:sz w:val="20"/>
                <w:szCs w:val="20"/>
                <w:color w:val="auto"/>
              </w:rPr>
            </w:pPr>
            <w:r>
              <w:rPr>
                <w:rFonts w:ascii="Arial" w:cs="Arial" w:eastAsia="Arial" w:hAnsi="Arial"/>
                <w:sz w:val="18"/>
                <w:szCs w:val="18"/>
                <w:color w:val="0000FF"/>
                <w:w w:val="88"/>
              </w:rPr>
              <w:t>3,204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 170,000 restricted stock units, with 56,667 of this grant vesting on each of May 15, 2011, May 15, 2012 and May 15, 2013, and (2) 68,750 restricted stock units, vesting on March 10, 2011.</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05/19/2010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2019-12-18T01:16:41Z</dcterms:created>
  <dcterms:modified xsi:type="dcterms:W3CDTF">2019-12-18T01:16:41Z</dcterms:modified>
</cp:coreProperties>
</file>