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gridSpan w:val="4"/>
            <w:vMerge w:val="restart"/>
          </w:tcPr>
          <w:p>
            <w:pPr>
              <w:spacing w:after="0" w:line="250" w:lineRule="exact"/>
              <w:rPr>
                <w:rFonts w:ascii="Arial" w:cs="Arial" w:eastAsia="Arial" w:hAnsi="Arial"/>
                <w:sz w:val="22"/>
                <w:szCs w:val="22"/>
                <w:color w:val="0000EE"/>
                <w:w w:val="90"/>
              </w:rPr>
            </w:pPr>
            <w:hyperlink r:id="rId12">
              <w:r>
                <w:rPr>
                  <w:rFonts w:ascii="Arial" w:cs="Arial" w:eastAsia="Arial" w:hAnsi="Arial"/>
                  <w:sz w:val="22"/>
                  <w:szCs w:val="22"/>
                  <w:color w:val="0000EE"/>
                  <w:w w:val="90"/>
                </w:rPr>
                <w:t>Young Rodney KB</w:t>
              </w:r>
            </w:hyperlink>
          </w:p>
        </w:tc>
        <w:tc>
          <w:tcPr>
            <w:tcW w:w="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STEMCELLS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STEM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8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gridSpan w:val="4"/>
            <w:vMerge w:val="continue"/>
          </w:tcPr>
          <w:p>
            <w:pPr>
              <w:spacing w:after="0"/>
              <w:rPr>
                <w:sz w:val="2"/>
                <w:szCs w:val="2"/>
                <w:color w:val="auto"/>
              </w:rPr>
            </w:pPr>
          </w:p>
        </w:tc>
        <w:tc>
          <w:tcPr>
            <w:tcW w:w="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60" w:type="dxa"/>
            <w:vAlign w:val="bottom"/>
            <w:tcBorders>
              <w:bottom w:val="single" w:sz="8" w:color="0000EE"/>
            </w:tcBorders>
            <w:gridSpan w:val="4"/>
            <w:vMerge w:val="continue"/>
          </w:tcPr>
          <w:p>
            <w:pPr>
              <w:spacing w:after="0"/>
              <w:rPr>
                <w:sz w:val="5"/>
                <w:szCs w:val="5"/>
                <w:color w:val="auto"/>
              </w:rPr>
            </w:pPr>
          </w:p>
        </w:tc>
        <w:tc>
          <w:tcPr>
            <w:tcW w:w="880" w:type="dxa"/>
            <w:vAlign w:val="bottom"/>
            <w:vMerge w:val="restart"/>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gridSpan w:val="4"/>
          </w:tcPr>
          <w:p>
            <w:pPr>
              <w:spacing w:after="0"/>
              <w:rPr>
                <w:sz w:val="4"/>
                <w:szCs w:val="4"/>
                <w:color w:val="auto"/>
              </w:rPr>
            </w:pPr>
          </w:p>
        </w:tc>
        <w:tc>
          <w:tcPr>
            <w:tcW w:w="880" w:type="dxa"/>
            <w:vAlign w:val="bottom"/>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88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vMerge w:val="continue"/>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6"/>
                <w:szCs w:val="6"/>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220" w:type="dxa"/>
            <w:vAlign w:val="bottom"/>
            <w:gridSpan w:val="2"/>
            <w:vMerge w:val="restart"/>
          </w:tcPr>
          <w:p>
            <w:pPr>
              <w:ind w:left="120"/>
              <w:spacing w:after="0" w:line="135" w:lineRule="exact"/>
              <w:rPr>
                <w:sz w:val="20"/>
                <w:szCs w:val="20"/>
                <w:color w:val="auto"/>
              </w:rPr>
            </w:pPr>
            <w:r>
              <w:rPr>
                <w:rFonts w:ascii="Arial" w:cs="Arial" w:eastAsia="Arial" w:hAnsi="Arial"/>
                <w:sz w:val="14"/>
                <w:szCs w:val="14"/>
                <w:color w:val="auto"/>
              </w:rPr>
              <w:t>below)</w:t>
            </w:r>
          </w:p>
        </w:tc>
        <w:tc>
          <w:tcPr>
            <w:tcW w:w="960" w:type="dxa"/>
            <w:vAlign w:val="bottom"/>
            <w:vMerge w:val="restart"/>
          </w:tcPr>
          <w:p>
            <w:pPr>
              <w:ind w:left="540"/>
              <w:spacing w:after="0" w:line="135" w:lineRule="exact"/>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300" w:type="dxa"/>
            <w:vAlign w:val="bottom"/>
            <w:gridSpan w:val="3"/>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continue"/>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300" w:type="dxa"/>
            <w:vAlign w:val="bottom"/>
            <w:gridSpan w:val="3"/>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80" w:type="dxa"/>
            <w:vAlign w:val="bottom"/>
            <w:gridSpan w:val="6"/>
            <w:vMerge w:val="continue"/>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740" w:type="dxa"/>
            <w:vAlign w:val="bottom"/>
            <w:gridSpan w:val="2"/>
            <w:vMerge w:val="restart"/>
          </w:tcPr>
          <w:p>
            <w:pPr>
              <w:ind w:left="600"/>
              <w:spacing w:after="0"/>
              <w:rPr>
                <w:sz w:val="20"/>
                <w:szCs w:val="20"/>
                <w:color w:val="auto"/>
              </w:rPr>
            </w:pPr>
            <w:r>
              <w:rPr>
                <w:rFonts w:ascii="Arial" w:cs="Arial" w:eastAsia="Arial" w:hAnsi="Arial"/>
                <w:sz w:val="18"/>
                <w:szCs w:val="18"/>
                <w:color w:val="0000FF"/>
              </w:rPr>
              <w:t>CFO</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3"/>
            <w:vMerge w:val="restart"/>
          </w:tcPr>
          <w:p>
            <w:pPr>
              <w:spacing w:after="0"/>
              <w:rPr>
                <w:sz w:val="20"/>
                <w:szCs w:val="20"/>
                <w:color w:val="auto"/>
              </w:rPr>
            </w:pPr>
            <w:r>
              <w:rPr>
                <w:rFonts w:ascii="Arial" w:cs="Arial" w:eastAsia="Arial" w:hAnsi="Arial"/>
                <w:sz w:val="18"/>
                <w:szCs w:val="18"/>
                <w:color w:val="0000FF"/>
                <w:w w:val="97"/>
              </w:rPr>
              <w:t>STEMCELLS, INC.</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gridSpan w:val="5"/>
          </w:tcPr>
          <w:p>
            <w:pPr>
              <w:ind w:left="160"/>
              <w:spacing w:after="0"/>
              <w:rPr>
                <w:sz w:val="20"/>
                <w:szCs w:val="20"/>
                <w:color w:val="auto"/>
              </w:rPr>
            </w:pPr>
            <w:r>
              <w:rPr>
                <w:rFonts w:ascii="Arial" w:cs="Arial" w:eastAsia="Arial" w:hAnsi="Arial"/>
                <w:sz w:val="18"/>
                <w:szCs w:val="18"/>
                <w:color w:val="0000FF"/>
              </w:rPr>
              <w:t>04/02/2009</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gridSpan w:val="2"/>
            <w:vMerge w:val="continue"/>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tcPr>
          <w:p>
            <w:pPr>
              <w:spacing w:after="0"/>
              <w:rPr>
                <w:sz w:val="9"/>
                <w:szCs w:val="9"/>
                <w:color w:val="auto"/>
              </w:rPr>
            </w:pP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tcPr>
          <w:p>
            <w:pPr>
              <w:spacing w:after="0" w:line="198" w:lineRule="exact"/>
              <w:rPr>
                <w:sz w:val="20"/>
                <w:szCs w:val="20"/>
                <w:color w:val="auto"/>
              </w:rPr>
            </w:pPr>
            <w:r>
              <w:rPr>
                <w:rFonts w:ascii="Arial" w:cs="Arial" w:eastAsia="Arial" w:hAnsi="Arial"/>
                <w:sz w:val="18"/>
                <w:szCs w:val="18"/>
                <w:color w:val="0000FF"/>
              </w:rPr>
              <w:t>3155 PORTER DRIVE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4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9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80" w:type="dxa"/>
            <w:vAlign w:val="bottom"/>
            <w:gridSpan w:val="7"/>
          </w:tcPr>
          <w:p>
            <w:pPr>
              <w:spacing w:after="0" w:line="155" w:lineRule="exact"/>
              <w:rPr>
                <w:sz w:val="20"/>
                <w:szCs w:val="20"/>
                <w:color w:val="auto"/>
              </w:rPr>
            </w:pPr>
            <w:r>
              <w:rPr>
                <w:rFonts w:ascii="Arial" w:cs="Arial" w:eastAsia="Arial" w:hAnsi="Arial"/>
                <w:sz w:val="14"/>
                <w:szCs w:val="14"/>
                <w:color w:val="auto"/>
                <w:w w:val="97"/>
              </w:rPr>
              <w:t>4. If Amendment, Date of Original Filed (Month/Day/Year)</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60" w:type="dxa"/>
            <w:vAlign w:val="bottom"/>
            <w:gridSpan w:val="7"/>
          </w:tcPr>
          <w:p>
            <w:pPr>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PALO ALTO</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94304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9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3"/>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0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gridSpan w:val="4"/>
          </w:tcPr>
          <w:p>
            <w:pPr>
              <w:spacing w:after="0"/>
              <w:rPr>
                <w:sz w:val="11"/>
                <w:szCs w:val="11"/>
                <w:color w:val="auto"/>
              </w:rPr>
            </w:pPr>
          </w:p>
        </w:tc>
        <w:tc>
          <w:tcPr>
            <w:tcW w:w="224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920" w:type="dxa"/>
            <w:vAlign w:val="bottom"/>
            <w:tcBorders>
              <w:top w:val="single" w:sz="8" w:color="2C2C2C"/>
            </w:tcBorders>
            <w:gridSpan w:val="18"/>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5"/>
          </w:tcPr>
          <w:p>
            <w:pPr>
              <w:ind w:left="6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5"/>
                <w:szCs w:val="15"/>
                <w:color w:val="auto"/>
              </w:rPr>
            </w:pPr>
          </w:p>
        </w:tc>
        <w:tc>
          <w:tcPr>
            <w:tcW w:w="17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gridSpan w:val="2"/>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60" w:type="dxa"/>
            <w:vAlign w:val="bottom"/>
            <w:gridSpan w:val="5"/>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2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5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5"/>
          </w:tcPr>
          <w:p>
            <w:pPr>
              <w:ind w:left="720"/>
              <w:spacing w:after="0"/>
              <w:rPr>
                <w:sz w:val="20"/>
                <w:szCs w:val="20"/>
                <w:color w:val="auto"/>
              </w:rPr>
            </w:pPr>
            <w:r>
              <w:rPr>
                <w:rFonts w:ascii="Arial" w:cs="Arial" w:eastAsia="Arial" w:hAnsi="Arial"/>
                <w:sz w:val="18"/>
                <w:szCs w:val="18"/>
                <w:color w:val="0000FF"/>
              </w:rPr>
              <w:t>04/02/2009</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center"/>
              <w:ind w:right="380"/>
              <w:spacing w:after="0"/>
              <w:rPr>
                <w:sz w:val="20"/>
                <w:szCs w:val="20"/>
                <w:color w:val="auto"/>
              </w:rPr>
            </w:pPr>
            <w:r>
              <w:rPr>
                <w:rFonts w:ascii="Arial" w:cs="Arial" w:eastAsia="Arial" w:hAnsi="Arial"/>
                <w:sz w:val="14"/>
                <w:szCs w:val="14"/>
                <w:color w:val="0000FF"/>
                <w:w w:val="85"/>
              </w:rPr>
              <w:t>S</w:t>
            </w:r>
          </w:p>
        </w:tc>
        <w:tc>
          <w:tcPr>
            <w:tcW w:w="76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0000FF"/>
              </w:rPr>
              <w:t>33,800</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1.7167</w:t>
            </w:r>
            <w:r>
              <w:rPr>
                <w:rFonts w:ascii="Arial" w:cs="Arial" w:eastAsia="Arial" w:hAnsi="Arial"/>
                <w:sz w:val="22"/>
                <w:szCs w:val="22"/>
                <w:color w:val="008000"/>
                <w:w w:val="98"/>
                <w:vertAlign w:val="superscript"/>
              </w:rPr>
              <w:t>(1)</w:t>
            </w:r>
          </w:p>
        </w:tc>
        <w:tc>
          <w:tcPr>
            <w:tcW w:w="122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158,024</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5"/>
          </w:tcPr>
          <w:p>
            <w:pPr>
              <w:ind w:left="720"/>
              <w:spacing w:after="0"/>
              <w:rPr>
                <w:sz w:val="20"/>
                <w:szCs w:val="20"/>
                <w:color w:val="auto"/>
              </w:rPr>
            </w:pPr>
            <w:r>
              <w:rPr>
                <w:rFonts w:ascii="Arial" w:cs="Arial" w:eastAsia="Arial" w:hAnsi="Arial"/>
                <w:sz w:val="18"/>
                <w:szCs w:val="18"/>
                <w:color w:val="0000FF"/>
              </w:rPr>
              <w:t>04/02/2009</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center"/>
              <w:ind w:right="380"/>
              <w:spacing w:after="0"/>
              <w:rPr>
                <w:sz w:val="20"/>
                <w:szCs w:val="20"/>
                <w:color w:val="auto"/>
              </w:rPr>
            </w:pPr>
            <w:r>
              <w:rPr>
                <w:rFonts w:ascii="Arial" w:cs="Arial" w:eastAsia="Arial" w:hAnsi="Arial"/>
                <w:sz w:val="14"/>
                <w:szCs w:val="14"/>
                <w:color w:val="0000FF"/>
                <w:w w:val="85"/>
              </w:rPr>
              <w:t>S</w:t>
            </w:r>
          </w:p>
        </w:tc>
        <w:tc>
          <w:tcPr>
            <w:tcW w:w="76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0000FF"/>
              </w:rPr>
              <w:t>13,292</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4"/>
          </w:tcPr>
          <w:p>
            <w:pPr>
              <w:jc w:val="center"/>
              <w:ind w:right="13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1.68</w:t>
            </w:r>
          </w:p>
        </w:tc>
        <w:tc>
          <w:tcPr>
            <w:tcW w:w="122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144,732</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7"/>
          </w:tcPr>
          <w:p>
            <w:pPr>
              <w:jc w:val="center"/>
              <w:ind w:left="6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20" w:type="dxa"/>
            <w:vAlign w:val="bottom"/>
            <w:gridSpan w:val="15"/>
          </w:tcPr>
          <w:p>
            <w:pPr>
              <w:jc w:val="center"/>
              <w:ind w:left="23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$1.7167 per share price was the weighted average price of open market sales by Mr. Young on 4/2/2009. Actual prices ranged from $1.71 per share to $1.75 per share. Mr. Young will provide full information about the number of shares sold at each price, upon request by the SEC, the issuer or any security holder of the issuer.</w:t>
      </w:r>
    </w:p>
    <w:p>
      <w:pPr>
        <w:spacing w:after="0" w:line="30" w:lineRule="exact"/>
        <w:rPr>
          <w:rFonts w:ascii="Arial" w:cs="Arial" w:eastAsia="Arial" w:hAnsi="Arial"/>
          <w:sz w:val="14"/>
          <w:szCs w:val="14"/>
          <w:color w:val="008000"/>
        </w:rPr>
      </w:pPr>
    </w:p>
    <w:p>
      <w:pPr>
        <w:ind w:left="40" w:right="6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137500 restricted stock units, with 1/2 of these vesting on March 10, 2010, and 1/2 of these vesting on March 10, 2011, as well as shares held in 401(k) account, in accordance with issuer's employer-match policies.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440" w:type="dxa"/>
            <w:vAlign w:val="bottom"/>
          </w:tcPr>
          <w:p>
            <w:pPr>
              <w:spacing w:after="0"/>
              <w:rPr>
                <w:sz w:val="20"/>
                <w:szCs w:val="20"/>
                <w:color w:val="auto"/>
              </w:rPr>
            </w:pPr>
            <w:r>
              <w:rPr>
                <w:rFonts w:ascii="Arial" w:cs="Arial" w:eastAsia="Arial" w:hAnsi="Arial"/>
                <w:sz w:val="18"/>
                <w:szCs w:val="18"/>
                <w:color w:val="0000FF"/>
                <w:w w:val="89"/>
              </w:rPr>
              <w:t>Rodney K.B. Young</w:t>
            </w:r>
          </w:p>
        </w:tc>
        <w:tc>
          <w:tcPr>
            <w:tcW w:w="6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04/06/2009</w:t>
            </w:r>
          </w:p>
        </w:tc>
      </w:tr>
      <w:tr>
        <w:trPr>
          <w:trHeight w:val="20"/>
        </w:trPr>
        <w:tc>
          <w:tcPr>
            <w:tcW w:w="14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37831"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2019-12-18T01:06:49Z</dcterms:created>
  <dcterms:modified xsi:type="dcterms:W3CDTF">2019-12-18T01:06:49Z</dcterms:modified>
</cp:coreProperties>
</file>