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539369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3936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900" w:type="dxa"/>
            <w:vAlign w:val="bottom"/>
            <w:gridSpan w:val="8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4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40" w:type="dxa"/>
            <w:vAlign w:val="bottom"/>
            <w:gridSpan w:val="7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WEISSMAN IRVING</w:t>
              </w:r>
            </w:hyperlink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40" w:type="dxa"/>
            <w:vAlign w:val="bottom"/>
            <w:gridSpan w:val="7"/>
          </w:tcPr>
          <w:p>
            <w:pPr>
              <w:spacing w:after="0" w:line="108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STEMCELLS INC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STEM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]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40" w:type="dxa"/>
            <w:vAlign w:val="bottom"/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9"/>
              </w:rPr>
              <w:t>3. Date of Earliest Transaction (Month/Day/Year)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4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960" w:type="dxa"/>
            <w:vAlign w:val="bottom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below)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C/O STEMCELLS, INC.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4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04/01/2013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4"/>
              </w:rPr>
              <w:t>7707 GATEWAY BLVD, STE 140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40" w:type="dxa"/>
            <w:vAlign w:val="bottom"/>
            <w:gridSpan w:val="7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4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4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60" w:type="dxa"/>
            <w:vAlign w:val="bottom"/>
            <w:gridSpan w:val="6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NEWARK</w:t>
            </w:r>
          </w:p>
        </w:tc>
        <w:tc>
          <w:tcPr>
            <w:tcW w:w="2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CA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94560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980" w:type="dxa"/>
            <w:vAlign w:val="bottom"/>
            <w:gridSpan w:val="5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2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jc w:val="center"/>
              <w:ind w:right="2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5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60" w:type="dxa"/>
            <w:vAlign w:val="bottom"/>
            <w:gridSpan w:val="5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7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2060" w:type="dxa"/>
            <w:vAlign w:val="bottom"/>
            <w:gridSpan w:val="5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5"/>
          </w:tcPr>
          <w:p>
            <w:pPr>
              <w:ind w:left="7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2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04/01/2013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1,404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right="70"/>
              <w:spacing w:after="0" w:line="3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5"/>
                <w:szCs w:val="35"/>
                <w:color w:val="000000"/>
                <w:vertAlign w:val="subscript"/>
              </w:rPr>
              <w:t>$</w:t>
            </w:r>
            <w:r>
              <w:rPr>
                <w:rFonts w:ascii="Arial" w:cs="Arial" w:eastAsia="Arial" w:hAnsi="Arial"/>
                <w:sz w:val="35"/>
                <w:szCs w:val="35"/>
                <w:color w:val="0000FF"/>
                <w:vertAlign w:val="subscript"/>
              </w:rPr>
              <w:t>1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117,382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4"/>
                <w:vertAlign w:val="superscript"/>
              </w:rPr>
              <w:t>(2)</w:t>
            </w: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04/01/2013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7,226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(3)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right="3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0.00</w:t>
            </w: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124,608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4"/>
                <w:vertAlign w:val="superscript"/>
              </w:rPr>
              <w:t>(2)</w:t>
            </w: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00" w:type="dxa"/>
            <w:vAlign w:val="bottom"/>
            <w:vMerge w:val="restart"/>
          </w:tcPr>
          <w:p>
            <w:pPr>
              <w:jc w:val="center"/>
              <w:ind w:right="35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19,012</w:t>
            </w:r>
          </w:p>
        </w:tc>
        <w:tc>
          <w:tcPr>
            <w:tcW w:w="96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family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trust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2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jc w:val="center"/>
              <w:ind w:right="2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80" w:type="dxa"/>
            <w:vAlign w:val="bottom"/>
            <w:gridSpan w:val="15"/>
          </w:tcPr>
          <w:p>
            <w:pPr>
              <w:jc w:val="center"/>
              <w:ind w:left="27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20" w:type="dxa"/>
            <w:vAlign w:val="bottom"/>
            <w:gridSpan w:val="4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4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ectPr>
          <w:pgSz w:w="11900" w:h="16838" w:orient="portrait"/>
          <w:cols w:equalWidth="0" w:num="1">
            <w:col w:w="11420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The $1.00 per share price was the stock option exercise price for shares granted to Dr. Weissman on April 1, 2003.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Includes anniversary equity grant of 10,000 restricted stock units, vesting 100% on October 1, 2013, the one year anniversary of the grant.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Quarterly retainer paid to Dr. Weissman in shares of common stock as consideration for his continued service on the Company's Scientific Advisory Board.</w:t>
      </w:r>
    </w:p>
    <w:p>
      <w:pPr>
        <w:spacing w:after="0" w:line="64" w:lineRule="exact"/>
        <w:rPr>
          <w:rFonts w:ascii="Arial" w:cs="Arial" w:eastAsia="Arial" w:hAnsi="Arial"/>
          <w:sz w:val="12"/>
          <w:szCs w:val="12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Includes 10,508 shares held in trust for Dr. Weissman's grandchildren to which Dr. Weissman disclaims beneficial ownership.</w:t>
      </w:r>
    </w:p>
    <w:p>
      <w:pPr>
        <w:spacing w:after="0" w:line="3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41" w:lineRule="exact"/>
        <w:rPr>
          <w:sz w:val="20"/>
          <w:szCs w:val="20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/s/ Ken Stratton, attorney-in-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0</wp:posOffset>
            </wp:positionV>
            <wp:extent cx="1281430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8143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8" w:lineRule="exact"/>
        <w:rPr>
          <w:sz w:val="20"/>
          <w:szCs w:val="20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fact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167005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700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** Signature of Reporting Person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8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04/09/2013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-5080</wp:posOffset>
            </wp:positionH>
            <wp:positionV relativeFrom="paragraph">
              <wp:posOffset>6985</wp:posOffset>
            </wp:positionV>
            <wp:extent cx="50800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0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93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Date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8880" w:space="280"/>
            <w:col w:w="2260"/>
          </w:cols>
          <w:pgMar w:left="240" w:top="226" w:right="2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230630" TargetMode="External"/><Relationship Id="rId13" Type="http://schemas.openxmlformats.org/officeDocument/2006/relationships/hyperlink" Target="http://www.sec.gov/cgi-bin/browse-edgar?action=getcompany&amp;CIK=000088397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2019-12-18T03:32:48Z</dcterms:created>
  <dcterms:modified xsi:type="dcterms:W3CDTF">2019-12-18T03:32:48Z</dcterms:modified>
</cp:coreProperties>
</file>