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07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0796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MCGLYNN MARTIN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STEMCELLS,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7707 GATEWAY BLVD, STE 140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STEMCELLS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STEM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409"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2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20" w:type="dxa"/>
            <w:vAlign w:val="bottom"/>
          </w:tcPr>
          <w:p>
            <w:pPr>
              <w:spacing w:after="0"/>
              <w:rPr>
                <w:sz w:val="20"/>
                <w:szCs w:val="20"/>
                <w:color w:val="auto"/>
              </w:rPr>
            </w:pPr>
            <w:r>
              <w:rPr>
                <w:rFonts w:ascii="Arial" w:cs="Arial" w:eastAsia="Arial" w:hAnsi="Arial"/>
                <w:sz w:val="18"/>
                <w:szCs w:val="18"/>
                <w:color w:val="0000FF"/>
              </w:rPr>
              <w:t>NEWARK</w:t>
            </w:r>
          </w:p>
        </w:tc>
        <w:tc>
          <w:tcPr>
            <w:tcW w:w="1100" w:type="dxa"/>
            <w:vAlign w:val="bottom"/>
          </w:tcPr>
          <w:p>
            <w:pPr>
              <w:ind w:left="26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94560</w:t>
            </w:r>
          </w:p>
        </w:tc>
      </w:tr>
      <w:tr>
        <w:trPr>
          <w:trHeight w:val="158"/>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4"/>
                <w:szCs w:val="14"/>
                <w:color w:val="auto"/>
              </w:rPr>
              <w:t>(City)</w:t>
            </w:r>
          </w:p>
        </w:tc>
        <w:tc>
          <w:tcPr>
            <w:tcW w:w="1100" w:type="dxa"/>
            <w:vAlign w:val="bottom"/>
          </w:tcPr>
          <w:p>
            <w:pPr>
              <w:ind w:left="2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61"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800"/>
              <w:spacing w:after="0"/>
              <w:rPr>
                <w:sz w:val="20"/>
                <w:szCs w:val="20"/>
                <w:color w:val="auto"/>
              </w:rPr>
            </w:pPr>
            <w:r>
              <w:rPr>
                <w:rFonts w:ascii="Arial" w:cs="Arial" w:eastAsia="Arial" w:hAnsi="Arial"/>
                <w:sz w:val="18"/>
                <w:szCs w:val="18"/>
                <w:color w:val="0000FF"/>
              </w:rPr>
              <w:t>01/20/2012</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w w:val="87"/>
              </w:rPr>
              <w:t>16,709</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0.81</w:t>
            </w:r>
          </w:p>
        </w:tc>
        <w:tc>
          <w:tcPr>
            <w:tcW w:w="1260" w:type="dxa"/>
            <w:vAlign w:val="bottom"/>
            <w:tcBorders>
              <w:bottom w:val="single" w:sz="8" w:color="2C2C2C"/>
            </w:tcBorders>
            <w:gridSpan w:val="2"/>
          </w:tcPr>
          <w:p>
            <w:pPr>
              <w:jc w:val="center"/>
              <w:ind w:right="217"/>
              <w:spacing w:after="0"/>
              <w:rPr>
                <w:sz w:val="20"/>
                <w:szCs w:val="20"/>
                <w:color w:val="auto"/>
              </w:rPr>
            </w:pPr>
            <w:r>
              <w:rPr>
                <w:rFonts w:ascii="Arial" w:cs="Arial" w:eastAsia="Arial" w:hAnsi="Arial"/>
                <w:sz w:val="18"/>
                <w:szCs w:val="18"/>
                <w:color w:val="0000FF"/>
              </w:rPr>
              <w:t>133,313</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97"/>
              <w:spacing w:after="0"/>
              <w:rPr>
                <w:sz w:val="20"/>
                <w:szCs w:val="20"/>
                <w:color w:val="auto"/>
              </w:rPr>
            </w:pPr>
            <w:r>
              <w:rPr>
                <w:rFonts w:ascii="Arial" w:cs="Arial" w:eastAsia="Arial" w:hAnsi="Arial"/>
                <w:sz w:val="18"/>
                <w:szCs w:val="18"/>
                <w:color w:val="0000FF"/>
                <w:w w:val="88"/>
              </w:rPr>
              <w:t>6,414</w:t>
            </w:r>
          </w:p>
        </w:tc>
        <w:tc>
          <w:tcPr>
            <w:tcW w:w="920" w:type="dxa"/>
            <w:vAlign w:val="bottom"/>
          </w:tcPr>
          <w:p>
            <w:pPr>
              <w:ind w:left="400"/>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plan</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08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is recorded as a Code F disposition because the shares were used by the reporting person to pay a tax liability incurred by him from the delivery of shares incident to the vesting of restricted stock units.</w:t>
      </w:r>
    </w:p>
    <w:p>
      <w:pPr>
        <w:spacing w:after="0" w:line="64" w:lineRule="exact"/>
        <w:rPr>
          <w:rFonts w:ascii="Arial" w:cs="Arial" w:eastAsia="Arial" w:hAnsi="Arial"/>
          <w:sz w:val="12"/>
          <w:szCs w:val="12"/>
          <w:color w:val="008000"/>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(1) 80,000 restricted stock units, with 40,000 of this grant vesting on each of June 25, 2012 and June 25, 2013 and (2) 11,734 restricted stock units, with 5,867 of this grant vesting on each of May 15, 2012 and May 15, 2013.</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401(k) account in accordance with issuer's employer-match policies.</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60" w:type="dxa"/>
            <w:vAlign w:val="bottom"/>
            <w:gridSpan w:val="3"/>
          </w:tcPr>
          <w:p>
            <w:pPr>
              <w:spacing w:after="0"/>
              <w:rPr>
                <w:sz w:val="20"/>
                <w:szCs w:val="20"/>
                <w:color w:val="auto"/>
              </w:rPr>
            </w:pPr>
            <w:r>
              <w:rPr>
                <w:rFonts w:ascii="Arial" w:cs="Arial" w:eastAsia="Arial" w:hAnsi="Arial"/>
                <w:sz w:val="18"/>
                <w:szCs w:val="18"/>
                <w:color w:val="0000FF"/>
                <w:w w:val="95"/>
              </w:rPr>
              <w:t>/s/ Ken Stratton, attorney-in-</w:t>
            </w:r>
          </w:p>
        </w:tc>
        <w:tc>
          <w:tcPr>
            <w:tcW w:w="940" w:type="dxa"/>
            <w:vAlign w:val="bottom"/>
            <w:gridSpan w:val="2"/>
            <w:vMerge w:val="restart"/>
          </w:tcPr>
          <w:p>
            <w:pPr>
              <w:ind w:left="140"/>
              <w:spacing w:after="0"/>
              <w:rPr>
                <w:sz w:val="20"/>
                <w:szCs w:val="20"/>
                <w:color w:val="auto"/>
              </w:rPr>
            </w:pPr>
            <w:r>
              <w:rPr>
                <w:rFonts w:ascii="Arial" w:cs="Arial" w:eastAsia="Arial" w:hAnsi="Arial"/>
                <w:sz w:val="18"/>
                <w:szCs w:val="18"/>
                <w:color w:val="0000FF"/>
                <w:w w:val="86"/>
              </w:rPr>
              <w:t>01/24/2012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7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7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30631" TargetMode="External"/><Relationship Id="rId13" Type="http://schemas.openxmlformats.org/officeDocument/2006/relationships/hyperlink" Target="http://www.sec.gov/cgi-bin/browse-edgar?action=getcompany&amp;CIK=000088397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2019-12-18T02:34:12Z</dcterms:created>
  <dcterms:modified xsi:type="dcterms:W3CDTF">2019-12-18T02:34:12Z</dcterms:modified>
</cp:coreProperties>
</file>