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Type of Filing: Deactivation</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inapplicable</w:t>
      </w:r>
    </w:p>
    <w:p>
      <w:pPr>
        <w:spacing w:after="0" w:line="202"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Cytotherapeutics, Inc/DE</w:t>
      </w: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232923102</w:t>
      </w:r>
    </w:p>
    <w:p>
      <w:pPr>
        <w:spacing w:after="0" w:line="201" w:lineRule="exact"/>
        <w:rPr>
          <w:sz w:val="24"/>
          <w:szCs w:val="24"/>
          <w:color w:val="auto"/>
        </w:rPr>
      </w:pPr>
    </w:p>
    <w:p>
      <w:pPr>
        <w:spacing w:after="0"/>
        <w:tabs>
          <w:tab w:leader="none" w:pos="4520" w:val="left"/>
          <w:tab w:leader="none" w:pos="4940" w:val="left"/>
          <w:tab w:leader="none" w:pos="5780" w:val="left"/>
        </w:tabs>
        <w:rPr>
          <w:sz w:val="20"/>
          <w:szCs w:val="20"/>
          <w:color w:val="auto"/>
        </w:rPr>
      </w:pPr>
      <w:r>
        <w:rPr>
          <w:rFonts w:ascii="Courier New" w:cs="Courier New" w:eastAsia="Courier New" w:hAnsi="Courier New"/>
          <w:sz w:val="18"/>
          <w:szCs w:val="18"/>
          <w:color w:val="auto"/>
        </w:rPr>
        <w:t>Is a fee being paid with this statement: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6"/>
          <w:szCs w:val="16"/>
          <w:color w:val="auto"/>
        </w:rPr>
        <w:t>(X)No</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Scudder Kemper Investments, 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1a)  S.S. or I.R.S. Identification No. of above person:  13 3241232</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member of a group: (  )a ( )b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 or less</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 or less</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 or less</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 or less</w:t>
      </w:r>
    </w:p>
    <w:p>
      <w:pPr>
        <w:spacing w:after="0" w:line="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 or less</w:t>
      </w:r>
    </w:p>
    <w:p>
      <w:pPr>
        <w:spacing w:after="0" w:line="16" w:lineRule="exact"/>
        <w:rPr>
          <w:sz w:val="24"/>
          <w:szCs w:val="24"/>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Does aggregate amount (Item #9) exclude certain shares: ( ) Yes</w:t>
      </w:r>
      <w:r>
        <w:rPr>
          <w:sz w:val="20"/>
          <w:szCs w:val="20"/>
          <w:color w:val="auto"/>
        </w:rPr>
        <w:tab/>
      </w:r>
      <w:r>
        <w:rPr>
          <w:rFonts w:ascii="Courier New" w:cs="Courier New" w:eastAsia="Courier New" w:hAnsi="Courier New"/>
          <w:sz w:val="16"/>
          <w:szCs w:val="16"/>
          <w:color w:val="auto"/>
        </w:rPr>
        <w:t>(X) No</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Item No. 9:  5% or less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2 of 4</w:t>
      </w: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232923102</w:t>
      </w:r>
    </w:p>
    <w:p>
      <w:pPr>
        <w:spacing w:after="0" w:line="200"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Cytotherapeutics, Inc./DE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tabs>
          <w:tab w:leader="none" w:pos="3680" w:val="left"/>
        </w:tabs>
        <w:rPr>
          <w:sz w:val="20"/>
          <w:szCs w:val="20"/>
          <w:color w:val="auto"/>
        </w:rPr>
      </w:pPr>
      <w:r>
        <w:rPr>
          <w:rFonts w:ascii="Courier New" w:cs="Courier New" w:eastAsia="Courier New" w:hAnsi="Courier New"/>
          <w:sz w:val="18"/>
          <w:szCs w:val="18"/>
          <w:color w:val="auto"/>
        </w:rPr>
        <w:t>2 Richmond Square, Providence, RI</w:t>
      </w:r>
      <w:r>
        <w:rPr>
          <w:sz w:val="20"/>
          <w:szCs w:val="20"/>
          <w:color w:val="auto"/>
        </w:rPr>
        <w:tab/>
      </w:r>
      <w:r>
        <w:rPr>
          <w:rFonts w:ascii="Courier New" w:cs="Courier New" w:eastAsia="Courier New" w:hAnsi="Courier New"/>
          <w:sz w:val="16"/>
          <w:szCs w:val="16"/>
          <w:color w:val="auto"/>
        </w:rPr>
        <w:t>02906</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Item 2a) Name of Person Filing:</w:t>
      </w:r>
      <w:r>
        <w:rPr>
          <w:sz w:val="20"/>
          <w:szCs w:val="20"/>
          <w:color w:val="auto"/>
        </w:rPr>
        <w:tab/>
      </w:r>
      <w:r>
        <w:rPr>
          <w:rFonts w:ascii="Courier New" w:cs="Courier New" w:eastAsia="Courier New" w:hAnsi="Courier New"/>
          <w:sz w:val="16"/>
          <w:szCs w:val="16"/>
          <w:color w:val="auto"/>
        </w:rPr>
        <w:t>Scudder Kemper Investments,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345 Park Avenue, New York, New York 10154</w:t>
      </w:r>
    </w:p>
    <w:p>
      <w:pPr>
        <w:spacing w:after="0" w:line="202"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232923102</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3) If this statement if filed pursuant to Rules 13d 1(b), or 13d-2(b), check whether the person filing is a:</w:t>
      </w:r>
    </w:p>
    <w:p>
      <w:pPr>
        <w:spacing w:after="0"/>
        <w:rPr>
          <w:sz w:val="20"/>
          <w:szCs w:val="20"/>
          <w:color w:val="auto"/>
        </w:rPr>
      </w:pPr>
      <w:r>
        <w:rPr>
          <w:rFonts w:ascii="Courier New" w:cs="Courier New" w:eastAsia="Courier New" w:hAnsi="Courier New"/>
          <w:sz w:val="18"/>
          <w:szCs w:val="18"/>
          <w:color w:val="auto"/>
        </w:rPr>
        <w:t>(a)__ Broker of Dealer registered under Section 15 of the Act</w:t>
      </w:r>
    </w:p>
    <w:p>
      <w:pPr>
        <w:spacing w:after="0" w:line="238" w:lineRule="auto"/>
        <w:rPr>
          <w:sz w:val="20"/>
          <w:szCs w:val="20"/>
          <w:color w:val="auto"/>
        </w:rPr>
      </w:pPr>
      <w:r>
        <w:rPr>
          <w:rFonts w:ascii="Courier New" w:cs="Courier New" w:eastAsia="Courier New" w:hAnsi="Courier New"/>
          <w:sz w:val="18"/>
          <w:szCs w:val="18"/>
          <w:color w:val="auto"/>
        </w:rPr>
        <w:t>(b)__ Bank as defined in Section 3(a)(6) of the Act</w:t>
      </w:r>
    </w:p>
    <w:p>
      <w:pPr>
        <w:spacing w:after="0"/>
        <w:tabs>
          <w:tab w:leader="none" w:pos="720" w:val="left"/>
        </w:tabs>
        <w:rPr>
          <w:sz w:val="20"/>
          <w:szCs w:val="20"/>
          <w:color w:val="auto"/>
        </w:rPr>
      </w:pPr>
      <w:r>
        <w:rPr>
          <w:rFonts w:ascii="Courier New" w:cs="Courier New" w:eastAsia="Courier New" w:hAnsi="Courier New"/>
          <w:sz w:val="18"/>
          <w:szCs w:val="18"/>
          <w:color w:val="auto"/>
        </w:rPr>
        <w:t>(c)__</w:t>
      </w:r>
      <w:r>
        <w:rPr>
          <w:sz w:val="20"/>
          <w:szCs w:val="20"/>
          <w:color w:val="auto"/>
        </w:rPr>
        <w:tab/>
      </w:r>
      <w:r>
        <w:rPr>
          <w:rFonts w:ascii="Courier New" w:cs="Courier New" w:eastAsia="Courier New" w:hAnsi="Courier New"/>
          <w:sz w:val="16"/>
          <w:szCs w:val="16"/>
          <w:color w:val="auto"/>
        </w:rPr>
        <w:t>Insurance Company as defined in Section 3(a)(19) of the Act</w:t>
      </w:r>
    </w:p>
    <w:p>
      <w:pPr>
        <w:spacing w:after="0" w:line="3" w:lineRule="exact"/>
        <w:rPr>
          <w:sz w:val="20"/>
          <w:szCs w:val="20"/>
          <w:color w:val="auto"/>
        </w:rPr>
      </w:pPr>
    </w:p>
    <w:p>
      <w:pPr>
        <w:ind w:left="740" w:right="2839" w:hanging="1158"/>
        <w:spacing w:after="0" w:line="235" w:lineRule="auto"/>
        <w:tabs>
          <w:tab w:leader="none" w:pos="720" w:val="left"/>
        </w:tabs>
        <w:rPr>
          <w:sz w:val="20"/>
          <w:szCs w:val="20"/>
          <w:color w:val="auto"/>
        </w:rPr>
      </w:pPr>
      <w:r>
        <w:rPr>
          <w:rFonts w:ascii="Courier New" w:cs="Courier New" w:eastAsia="Courier New" w:hAnsi="Courier New"/>
          <w:sz w:val="18"/>
          <w:szCs w:val="18"/>
          <w:color w:val="auto"/>
        </w:rPr>
        <w:t>(d)__</w:t>
        <w:tab/>
        <w:t>Investment Company registered under Section 8 of the Investment Company Act</w:t>
      </w:r>
    </w:p>
    <w:p>
      <w:pPr>
        <w:spacing w:after="0" w:line="6" w:lineRule="exact"/>
        <w:rPr>
          <w:sz w:val="20"/>
          <w:szCs w:val="20"/>
          <w:color w:val="auto"/>
        </w:rPr>
      </w:pPr>
    </w:p>
    <w:p>
      <w:pPr>
        <w:ind w:left="1060" w:right="2419" w:hanging="1052"/>
        <w:spacing w:after="0" w:line="235" w:lineRule="auto"/>
        <w:tabs>
          <w:tab w:leader="none" w:pos="42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Employee Benefit Plan, Pension Fund which is subject to the</w:t>
      </w:r>
    </w:p>
    <w:p>
      <w:pPr>
        <w:spacing w:after="0" w:line="5"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provisions of the Employee Retirement Income Security Act of 1974 or Endowment Fund; see 240.13d-1(b)(1)(ii)(F)</w:t>
      </w:r>
    </w:p>
    <w:p>
      <w:pPr>
        <w:spacing w:after="0" w:line="6" w:lineRule="exact"/>
        <w:rPr>
          <w:sz w:val="20"/>
          <w:szCs w:val="20"/>
          <w:color w:val="auto"/>
        </w:rPr>
      </w:pPr>
    </w:p>
    <w:p>
      <w:pPr>
        <w:ind w:left="1160" w:right="2619" w:hanging="1152"/>
        <w:spacing w:after="0" w:line="235" w:lineRule="auto"/>
        <w:tabs>
          <w:tab w:leader="none" w:pos="52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__Parent Holding Company, in accordance with 240.13d-1(b)(1)(ii)(G) (Note: See Item 7)</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__Group, in accordance with 240.13d-1(b)(1)(ii)(H)</w:t>
      </w:r>
    </w:p>
    <w:p>
      <w:pPr>
        <w:sectPr>
          <w:pgSz w:w="11900" w:h="16838" w:orient="portrait"/>
          <w:cols w:equalWidth="0" w:num="1">
            <w:col w:w="10219"/>
          </w:cols>
          <w:pgMar w:left="240" w:top="717" w:right="1440" w:bottom="1440" w:gutter="0" w:footer="0" w:header="0"/>
        </w:sectPr>
      </w:pPr>
    </w:p>
    <w:bookmarkStart w:id="2" w:name="page3"/>
    <w:bookmarkEnd w:id="2"/>
    <w:p>
      <w:pPr>
        <w:spacing w:after="0" w:line="238" w:lineRule="auto"/>
        <w:tabs>
          <w:tab w:leader="none" w:pos="54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4</w:t>
      </w: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232923102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4) OWNERSHIP: If the percent of the class owned, as of December 31 of the year covered by the statement, or as of the last day of any month described in Rule 13d-1(b)(2), if applicable, exceeds five percent, provide the following information as of the date and identify those shares which there is a right to acquire.</w:t>
      </w: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 or less</w:t>
      </w:r>
    </w:p>
    <w:p>
      <w:pPr>
        <w:ind w:left="960" w:hanging="952"/>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 or less</w:t>
      </w:r>
    </w:p>
    <w:p>
      <w:pPr>
        <w:ind w:left="960" w:hanging="952"/>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each person has:</w:t>
      </w:r>
    </w:p>
    <w:p>
      <w:pPr>
        <w:spacing w:after="0" w:line="202" w:lineRule="exact"/>
        <w:rPr>
          <w:sz w:val="20"/>
          <w:szCs w:val="20"/>
          <w:color w:val="auto"/>
        </w:rPr>
      </w:pPr>
    </w:p>
    <w:p>
      <w:pPr>
        <w:ind w:left="960"/>
        <w:spacing w:after="0"/>
        <w:tabs>
          <w:tab w:leader="none" w:pos="5460" w:val="left"/>
        </w:tabs>
        <w:rPr>
          <w:sz w:val="20"/>
          <w:szCs w:val="20"/>
          <w:color w:val="auto"/>
        </w:rPr>
      </w:pP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5% or less</w:t>
      </w:r>
    </w:p>
    <w:p>
      <w:pPr>
        <w:ind w:left="960"/>
        <w:spacing w:after="0"/>
        <w:tabs>
          <w:tab w:leader="none" w:pos="5780" w:val="left"/>
        </w:tabs>
        <w:rPr>
          <w:sz w:val="20"/>
          <w:szCs w:val="20"/>
          <w:color w:val="auto"/>
        </w:rPr>
      </w:pPr>
      <w:r>
        <w:rPr>
          <w:rFonts w:ascii="Courier New" w:cs="Courier New" w:eastAsia="Courier New" w:hAnsi="Courier New"/>
          <w:sz w:val="18"/>
          <w:szCs w:val="18"/>
          <w:color w:val="auto"/>
        </w:rPr>
        <w:t>Shared power to vote or to direct the vote:</w:t>
      </w:r>
      <w:r>
        <w:rPr>
          <w:sz w:val="20"/>
          <w:szCs w:val="20"/>
          <w:color w:val="auto"/>
        </w:rPr>
        <w:tab/>
      </w:r>
      <w:r>
        <w:rPr>
          <w:rFonts w:ascii="Courier New" w:cs="Courier New" w:eastAsia="Courier New" w:hAnsi="Courier New"/>
          <w:sz w:val="16"/>
          <w:szCs w:val="16"/>
          <w:color w:val="auto"/>
        </w:rPr>
        <w:t>5% or less</w:t>
      </w:r>
    </w:p>
    <w:p>
      <w:pPr>
        <w:ind w:left="960"/>
        <w:spacing w:after="0"/>
        <w:tabs>
          <w:tab w:leader="none" w:pos="6840" w:val="left"/>
        </w:tabs>
        <w:rPr>
          <w:sz w:val="20"/>
          <w:szCs w:val="20"/>
          <w:color w:val="auto"/>
        </w:rPr>
      </w:pPr>
      <w:r>
        <w:rPr>
          <w:rFonts w:ascii="Courier New" w:cs="Courier New" w:eastAsia="Courier New" w:hAnsi="Courier New"/>
          <w:sz w:val="18"/>
          <w:szCs w:val="18"/>
          <w:color w:val="auto"/>
        </w:rPr>
        <w:t>Sole power to dispose or to direct the disposition of:</w:t>
      </w:r>
      <w:r>
        <w:rPr>
          <w:sz w:val="20"/>
          <w:szCs w:val="20"/>
          <w:color w:val="auto"/>
        </w:rPr>
        <w:tab/>
      </w:r>
      <w:r>
        <w:rPr>
          <w:rFonts w:ascii="Courier New" w:cs="Courier New" w:eastAsia="Courier New" w:hAnsi="Courier New"/>
          <w:sz w:val="16"/>
          <w:szCs w:val="16"/>
          <w:color w:val="auto"/>
        </w:rPr>
        <w:t>5% or less</w:t>
      </w:r>
    </w:p>
    <w:p>
      <w:pPr>
        <w:ind w:left="960"/>
        <w:spacing w:after="0" w:line="237" w:lineRule="auto"/>
        <w:rPr>
          <w:sz w:val="20"/>
          <w:szCs w:val="20"/>
          <w:color w:val="auto"/>
        </w:rPr>
      </w:pPr>
      <w:r>
        <w:rPr>
          <w:rFonts w:ascii="Courier New" w:cs="Courier New" w:eastAsia="Courier New" w:hAnsi="Courier New"/>
          <w:sz w:val="18"/>
          <w:szCs w:val="18"/>
          <w:color w:val="auto"/>
        </w:rPr>
        <w:t>Shared power to dispose or to direct the disposition of: 5% or less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(X)Yes ( )No</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Item 6) OWNERSHIP OF MORE THAN FIVE PERCENT ON BEHALF OF ANOTHER PERSON: If any other person is known to have the right to receive or the power to direct the receipt of dividends from, or the proceeds from the sale of, such securities, a statement to the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any employee benefit plan, pension fund or endowment fund is not required.</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4</w:t>
      </w: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232923102</w:t>
      </w:r>
    </w:p>
    <w:p>
      <w:pPr>
        <w:spacing w:after="0" w:line="206"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Item 8) IDENTIFICATION AND CLASSIFICATION OF MEMBERS OF THE GROUP: If a group has filed this schedule pursuant to Rule 13d-1(b)(ii)(H),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9) NOTICE OF DISSOLUTION OF GROUP: 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10) CERTIFICATION: The following certification shall be included if the statement is filed pursuant to Rule 13d-1(b):</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SIGNATURE: 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Stephen R. Beckwith, Chief Financial Officer</w:t>
      </w:r>
    </w:p>
    <w:p>
      <w:pPr>
        <w:sectPr>
          <w:pgSz w:w="11900" w:h="16838" w:orient="portrait"/>
          <w:cols w:equalWidth="0" w:num="1">
            <w:col w:w="10219"/>
          </w:cols>
          <w:pgMar w:left="240" w:top="514"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1"/>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lowerLetter"/>
      <w:start w:val="7"/>
    </w:lvl>
    <w:lvl w:ilvl="1">
      <w:lvlJc w:val="left"/>
      <w:lvlText w:val="(%2)"/>
      <w:numFmt w:val="lowerLetter"/>
      <w:start w:val="8"/>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2019-12-13T21:51:23Z</dcterms:created>
  <dcterms:modified xsi:type="dcterms:W3CDTF">2019-12-13T21:51:23Z</dcterms:modified>
</cp:coreProperties>
</file>