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28 ,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333-228285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20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4980" w:type="dxa"/>
            <w:vAlign w:val="bottom"/>
            <w:gridSpan w:val="3"/>
          </w:tcPr>
          <w:p>
            <w:pPr>
              <w:ind w:left="460"/>
              <w:spacing w:after="0"/>
              <w:rPr>
                <w:sz w:val="20"/>
                <w:szCs w:val="20"/>
                <w:color w:val="auto"/>
              </w:rPr>
            </w:pPr>
            <w:r>
              <w:rPr>
                <w:rFonts w:ascii="Arial" w:cs="Arial" w:eastAsia="Arial" w:hAnsi="Arial"/>
                <w:sz w:val="18"/>
                <w:szCs w:val="18"/>
                <w:b w:val="1"/>
                <w:bCs w:val="1"/>
                <w:color w:val="auto"/>
                <w:w w:val="98"/>
              </w:rPr>
              <w:t>(Exact Name of Registrant as Specified in Its Charter)</w:t>
            </w:r>
          </w:p>
        </w:tc>
        <w:tc>
          <w:tcPr>
            <w:tcW w:w="2020" w:type="dxa"/>
            <w:vAlign w:val="bottom"/>
          </w:tcPr>
          <w:p>
            <w:pPr>
              <w:spacing w:after="0"/>
              <w:rPr>
                <w:sz w:val="20"/>
                <w:szCs w:val="20"/>
                <w:color w:val="auto"/>
              </w:rPr>
            </w:pPr>
          </w:p>
        </w:tc>
      </w:tr>
      <w:tr>
        <w:trPr>
          <w:trHeight w:val="203"/>
        </w:trPr>
        <w:tc>
          <w:tcPr>
            <w:tcW w:w="2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31"/>
        </w:trPr>
        <w:tc>
          <w:tcPr>
            <w:tcW w:w="268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89"/>
              </w:rPr>
              <w:t>2836</w:t>
            </w:r>
          </w:p>
        </w:tc>
        <w:tc>
          <w:tcPr>
            <w:tcW w:w="1260" w:type="dxa"/>
            <w:vAlign w:val="bottom"/>
          </w:tcPr>
          <w:p>
            <w:pPr>
              <w:spacing w:after="0"/>
              <w:rPr>
                <w:sz w:val="24"/>
                <w:szCs w:val="24"/>
                <w:color w:val="auto"/>
              </w:rPr>
            </w:pPr>
          </w:p>
        </w:tc>
        <w:tc>
          <w:tcPr>
            <w:tcW w:w="202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680" w:type="dxa"/>
            <w:vAlign w:val="bottom"/>
          </w:tcPr>
          <w:p>
            <w:pPr>
              <w:jc w:val="center"/>
              <w:ind w:right="430"/>
              <w:spacing w:after="0"/>
              <w:rPr>
                <w:sz w:val="20"/>
                <w:szCs w:val="20"/>
                <w:color w:val="auto"/>
              </w:rPr>
            </w:pPr>
            <w:r>
              <w:rPr>
                <w:rFonts w:ascii="Arial" w:cs="Arial" w:eastAsia="Arial" w:hAnsi="Arial"/>
                <w:sz w:val="18"/>
                <w:szCs w:val="18"/>
                <w:color w:val="auto"/>
                <w:w w:val="92"/>
              </w:rPr>
              <w:t>(State or Other Jurisdiction of</w:t>
            </w:r>
          </w:p>
        </w:tc>
        <w:tc>
          <w:tcPr>
            <w:tcW w:w="860" w:type="dxa"/>
            <w:vAlign w:val="bottom"/>
          </w:tcPr>
          <w:p>
            <w:pPr>
              <w:spacing w:after="0"/>
              <w:rPr>
                <w:sz w:val="18"/>
                <w:szCs w:val="18"/>
                <w:color w:val="auto"/>
              </w:rPr>
            </w:pPr>
          </w:p>
        </w:tc>
        <w:tc>
          <w:tcPr>
            <w:tcW w:w="4120" w:type="dxa"/>
            <w:vAlign w:val="bottom"/>
            <w:gridSpan w:val="2"/>
          </w:tcPr>
          <w:p>
            <w:pPr>
              <w:jc w:val="center"/>
              <w:ind w:right="1220"/>
              <w:spacing w:after="0"/>
              <w:rPr>
                <w:sz w:val="20"/>
                <w:szCs w:val="20"/>
                <w:color w:val="auto"/>
              </w:rPr>
            </w:pPr>
            <w:r>
              <w:rPr>
                <w:rFonts w:ascii="Arial" w:cs="Arial" w:eastAsia="Arial" w:hAnsi="Arial"/>
                <w:sz w:val="18"/>
                <w:szCs w:val="18"/>
                <w:color w:val="auto"/>
                <w:w w:val="91"/>
              </w:rPr>
              <w:t>(Primary Standard Industrial</w:t>
            </w:r>
          </w:p>
        </w:tc>
        <w:tc>
          <w:tcPr>
            <w:tcW w:w="2020" w:type="dxa"/>
            <w:vAlign w:val="bottom"/>
          </w:tcPr>
          <w:p>
            <w:pPr>
              <w:jc w:val="center"/>
              <w:ind w:left="290"/>
              <w:spacing w:after="0"/>
              <w:rPr>
                <w:sz w:val="20"/>
                <w:szCs w:val="20"/>
                <w:color w:val="auto"/>
              </w:rPr>
            </w:pPr>
            <w:r>
              <w:rPr>
                <w:rFonts w:ascii="Arial" w:cs="Arial" w:eastAsia="Arial" w:hAnsi="Arial"/>
                <w:sz w:val="18"/>
                <w:szCs w:val="18"/>
                <w:color w:val="auto"/>
                <w:w w:val="93"/>
              </w:rPr>
              <w:t>(I.R.S. Employer</w:t>
            </w:r>
          </w:p>
        </w:tc>
      </w:tr>
      <w:tr>
        <w:trPr>
          <w:trHeight w:val="230"/>
        </w:trPr>
        <w:tc>
          <w:tcPr>
            <w:tcW w:w="2680" w:type="dxa"/>
            <w:vAlign w:val="bottom"/>
          </w:tcPr>
          <w:p>
            <w:pPr>
              <w:jc w:val="center"/>
              <w:ind w:right="390"/>
              <w:spacing w:after="0"/>
              <w:rPr>
                <w:sz w:val="20"/>
                <w:szCs w:val="20"/>
                <w:color w:val="auto"/>
              </w:rPr>
            </w:pPr>
            <w:r>
              <w:rPr>
                <w:rFonts w:ascii="Arial" w:cs="Arial" w:eastAsia="Arial" w:hAnsi="Arial"/>
                <w:sz w:val="18"/>
                <w:szCs w:val="18"/>
                <w:color w:val="auto"/>
                <w:w w:val="91"/>
              </w:rPr>
              <w:t>Incorporation or Organization)</w:t>
            </w:r>
          </w:p>
        </w:tc>
        <w:tc>
          <w:tcPr>
            <w:tcW w:w="860" w:type="dxa"/>
            <w:vAlign w:val="bottom"/>
          </w:tcPr>
          <w:p>
            <w:pPr>
              <w:spacing w:after="0"/>
              <w:rPr>
                <w:sz w:val="20"/>
                <w:szCs w:val="20"/>
                <w:color w:val="auto"/>
              </w:rPr>
            </w:pPr>
          </w:p>
        </w:tc>
        <w:tc>
          <w:tcPr>
            <w:tcW w:w="4120" w:type="dxa"/>
            <w:vAlign w:val="bottom"/>
            <w:gridSpan w:val="2"/>
          </w:tcPr>
          <w:p>
            <w:pPr>
              <w:jc w:val="center"/>
              <w:ind w:right="1220"/>
              <w:spacing w:after="0"/>
              <w:rPr>
                <w:sz w:val="20"/>
                <w:szCs w:val="20"/>
                <w:color w:val="auto"/>
              </w:rPr>
            </w:pPr>
            <w:r>
              <w:rPr>
                <w:rFonts w:ascii="Arial" w:cs="Arial" w:eastAsia="Arial" w:hAnsi="Arial"/>
                <w:sz w:val="18"/>
                <w:szCs w:val="18"/>
                <w:color w:val="auto"/>
                <w:w w:val="91"/>
              </w:rPr>
              <w:t>Classification Code Number)</w:t>
            </w: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Chief Executive Officer, Chairman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tbl>
      <w:tblPr>
        <w:tblLayout w:type="fixed"/>
        <w:tblInd w:w="4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3780" w:type="dxa"/>
            <w:vAlign w:val="bottom"/>
          </w:tcPr>
          <w:p>
            <w:pPr>
              <w:jc w:val="center"/>
              <w:ind w:right="72"/>
              <w:spacing w:after="0"/>
              <w:rPr>
                <w:sz w:val="20"/>
                <w:szCs w:val="20"/>
                <w:color w:val="auto"/>
              </w:rPr>
            </w:pPr>
            <w:r>
              <w:rPr>
                <w:rFonts w:ascii="Arial" w:cs="Arial" w:eastAsia="Arial" w:hAnsi="Arial"/>
                <w:sz w:val="18"/>
                <w:szCs w:val="18"/>
                <w:b w:val="1"/>
                <w:bCs w:val="1"/>
                <w:i w:val="1"/>
                <w:iCs w:val="1"/>
                <w:color w:val="auto"/>
                <w:w w:val="84"/>
              </w:rPr>
              <w:t>Copies to:</w:t>
            </w:r>
          </w:p>
        </w:tc>
        <w:tc>
          <w:tcPr>
            <w:tcW w:w="3020" w:type="dxa"/>
            <w:vAlign w:val="bottom"/>
          </w:tcPr>
          <w:p>
            <w:pPr>
              <w:spacing w:after="0"/>
              <w:rPr>
                <w:sz w:val="20"/>
                <w:szCs w:val="20"/>
                <w:color w:val="auto"/>
              </w:rPr>
            </w:pPr>
          </w:p>
        </w:tc>
      </w:tr>
      <w:tr>
        <w:trPr>
          <w:trHeight w:val="414"/>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95"/>
              </w:rPr>
              <w:t>Marc D. Mantell, Esq.</w:t>
            </w:r>
          </w:p>
        </w:tc>
        <w:tc>
          <w:tcPr>
            <w:tcW w:w="378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Stephen E. Fox, Esq.</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88"/>
              </w:rPr>
              <w:t>Steven Skolnick, Esq.</w:t>
            </w:r>
          </w:p>
        </w:tc>
      </w:tr>
      <w:tr>
        <w:trPr>
          <w:trHeight w:val="216"/>
        </w:trPr>
        <w:tc>
          <w:tcPr>
            <w:tcW w:w="346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Mintz, Levin, Cohn, Ferris, Glovsky</w:t>
            </w:r>
          </w:p>
        </w:tc>
        <w:tc>
          <w:tcPr>
            <w:tcW w:w="378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Ruskin Moscou Faltischek PC</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Michael Lerner, Esq.</w:t>
            </w:r>
          </w:p>
        </w:tc>
      </w:tr>
      <w:tr>
        <w:trPr>
          <w:trHeight w:val="216"/>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87"/>
              </w:rPr>
              <w:t>and Popeo, P.C.</w:t>
            </w:r>
          </w:p>
        </w:tc>
        <w:tc>
          <w:tcPr>
            <w:tcW w:w="378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1425 RXR Plaza</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Lowenstein Sandler LLP</w:t>
            </w:r>
          </w:p>
        </w:tc>
      </w:tr>
      <w:tr>
        <w:trPr>
          <w:trHeight w:val="221"/>
        </w:trPr>
        <w:tc>
          <w:tcPr>
            <w:tcW w:w="346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One Financial Center</w:t>
            </w:r>
          </w:p>
        </w:tc>
        <w:tc>
          <w:tcPr>
            <w:tcW w:w="3780" w:type="dxa"/>
            <w:vAlign w:val="bottom"/>
          </w:tcPr>
          <w:p>
            <w:pPr>
              <w:jc w:val="center"/>
              <w:ind w:right="32"/>
              <w:spacing w:after="0" w:line="221" w:lineRule="exact"/>
              <w:rPr>
                <w:sz w:val="20"/>
                <w:szCs w:val="20"/>
                <w:color w:val="auto"/>
              </w:rPr>
            </w:pPr>
            <w:r>
              <w:rPr>
                <w:rFonts w:ascii="Arial" w:cs="Arial" w:eastAsia="Arial" w:hAnsi="Arial"/>
                <w:sz w:val="16"/>
                <w:szCs w:val="16"/>
                <w:b w:val="1"/>
                <w:bCs w:val="1"/>
                <w:color w:val="auto"/>
                <w:w w:val="98"/>
              </w:rPr>
              <w:t>15</w:t>
            </w:r>
            <w:r>
              <w:rPr>
                <w:rFonts w:ascii="Arial" w:cs="Arial" w:eastAsia="Arial" w:hAnsi="Arial"/>
                <w:sz w:val="25"/>
                <w:szCs w:val="25"/>
                <w:b w:val="1"/>
                <w:bCs w:val="1"/>
                <w:color w:val="auto"/>
                <w:w w:val="98"/>
                <w:vertAlign w:val="superscript"/>
              </w:rPr>
              <w:t>th</w:t>
            </w:r>
            <w:r>
              <w:rPr>
                <w:rFonts w:ascii="Arial" w:cs="Arial" w:eastAsia="Arial" w:hAnsi="Arial"/>
                <w:sz w:val="16"/>
                <w:szCs w:val="16"/>
                <w:b w:val="1"/>
                <w:bCs w:val="1"/>
                <w:color w:val="auto"/>
                <w:w w:val="98"/>
              </w:rPr>
              <w:t xml:space="preserve"> Floor, East Tower</w:t>
            </w:r>
          </w:p>
        </w:tc>
        <w:tc>
          <w:tcPr>
            <w:tcW w:w="3020" w:type="dxa"/>
            <w:vAlign w:val="bottom"/>
          </w:tcPr>
          <w:p>
            <w:pPr>
              <w:jc w:val="center"/>
              <w:ind w:left="710"/>
              <w:spacing w:after="0"/>
              <w:rPr>
                <w:sz w:val="20"/>
                <w:szCs w:val="20"/>
                <w:color w:val="auto"/>
              </w:rPr>
            </w:pPr>
            <w:r>
              <w:rPr>
                <w:rFonts w:ascii="Arial" w:cs="Arial" w:eastAsia="Arial" w:hAnsi="Arial"/>
                <w:sz w:val="18"/>
                <w:szCs w:val="18"/>
                <w:b w:val="1"/>
                <w:bCs w:val="1"/>
                <w:color w:val="auto"/>
                <w:w w:val="88"/>
              </w:rPr>
              <w:t>1251 Avenue of the Americas</w:t>
            </w:r>
          </w:p>
        </w:tc>
      </w:tr>
      <w:tr>
        <w:trPr>
          <w:trHeight w:val="216"/>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85"/>
              </w:rPr>
              <w:t>Boston, Massachusetts 02111</w:t>
            </w:r>
          </w:p>
        </w:tc>
        <w:tc>
          <w:tcPr>
            <w:tcW w:w="378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Uniondale, New York 11556</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2"/>
              </w:rPr>
              <w:t>New York, NY 10020</w:t>
            </w:r>
          </w:p>
        </w:tc>
      </w:tr>
      <w:tr>
        <w:trPr>
          <w:trHeight w:val="270"/>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90"/>
              </w:rPr>
              <w:t>(617) 542-6000</w:t>
            </w:r>
          </w:p>
        </w:tc>
        <w:tc>
          <w:tcPr>
            <w:tcW w:w="378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(516) 663-6600</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0"/>
              </w:rPr>
              <w:t>(212) 262-6700</w:t>
            </w:r>
          </w:p>
        </w:tc>
      </w:tr>
    </w:tbl>
    <w:p>
      <w:pPr>
        <w:spacing w:after="0" w:line="198"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the effective date of this registration statement.</w:t>
      </w:r>
    </w:p>
    <w:p>
      <w:pPr>
        <w:spacing w:after="0" w:line="252"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(the “Exchange Act”).</w:t>
      </w:r>
    </w:p>
    <w:p>
      <w:pPr>
        <w:sectPr>
          <w:pgSz w:w="11900" w:h="16838" w:orient="portrait"/>
          <w:cols w:equalWidth="0" w:num="1">
            <w:col w:w="11420"/>
          </w:cols>
          <w:pgMar w:left="240" w:top="445" w:right="239" w:bottom="0" w:gutter="0" w:footer="0" w:header="0"/>
        </w:sectPr>
      </w:pPr>
    </w:p>
    <w:p>
      <w:pPr>
        <w:spacing w:after="0" w:line="14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720" w:space="720"/>
            <w:col w:w="3980"/>
          </w:cols>
          <w:pgMar w:left="240" w:top="445" w:right="239" w:bottom="0" w:gutter="0" w:footer="0" w:header="0"/>
          <w:type w:val="continuous"/>
        </w:sectPr>
      </w:pPr>
    </w:p>
    <w:p>
      <w:pPr>
        <w:spacing w:after="0" w:line="3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25" w:lineRule="exact"/>
        <w:rPr>
          <w:sz w:val="24"/>
          <w:szCs w:val="24"/>
          <w:color w:val="auto"/>
        </w:rPr>
      </w:pPr>
    </w:p>
    <w:p>
      <w:pPr>
        <w:spacing w:after="0"/>
        <w:tabs>
          <w:tab w:leader="none" w:pos="7220" w:val="left"/>
          <w:tab w:leader="none" w:pos="9340" w:val="left"/>
        </w:tabs>
        <w:rPr>
          <w:sz w:val="20"/>
          <w:szCs w:val="20"/>
          <w:color w:val="auto"/>
        </w:rPr>
      </w:pPr>
      <w:r>
        <w:rPr>
          <w:rFonts w:ascii="Arial" w:cs="Arial" w:eastAsia="Arial" w:hAnsi="Arial"/>
          <w:sz w:val="18"/>
          <w:szCs w:val="18"/>
          <w:b w:val="1"/>
          <w:bCs w:val="1"/>
          <w:color w:val="auto"/>
        </w:rPr>
        <w:t>Title of Each Class of Securities To Be Registered</w:t>
      </w:r>
      <w:r>
        <w:rPr>
          <w:sz w:val="20"/>
          <w:szCs w:val="20"/>
          <w:color w:val="auto"/>
        </w:rPr>
        <w:tab/>
      </w:r>
      <w:r>
        <w:rPr>
          <w:rFonts w:ascii="Arial" w:cs="Arial" w:eastAsia="Arial" w:hAnsi="Arial"/>
          <w:sz w:val="18"/>
          <w:szCs w:val="18"/>
          <w:b w:val="1"/>
          <w:bCs w:val="1"/>
          <w:color w:val="auto"/>
        </w:rPr>
        <w:t>Proposed Maximum</w:t>
      </w:r>
      <w:r>
        <w:rPr>
          <w:sz w:val="20"/>
          <w:szCs w:val="20"/>
          <w:color w:val="auto"/>
        </w:rPr>
        <w:tab/>
      </w:r>
      <w:r>
        <w:rPr>
          <w:rFonts w:ascii="Arial" w:cs="Arial" w:eastAsia="Arial" w:hAnsi="Arial"/>
          <w:sz w:val="16"/>
          <w:szCs w:val="16"/>
          <w:b w:val="1"/>
          <w:bCs w:val="1"/>
          <w:color w:val="auto"/>
        </w:rPr>
        <w:t>Amount of Registration</w:t>
      </w:r>
    </w:p>
    <w:p>
      <w:pPr>
        <w:sectPr>
          <w:pgSz w:w="11900" w:h="16838" w:orient="portrait"/>
          <w:cols w:equalWidth="0" w:num="1">
            <w:col w:w="11420"/>
          </w:cols>
          <w:pgMar w:left="240" w:top="44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Aggregate Offering</w:t>
            </w:r>
          </w:p>
        </w:tc>
        <w:tc>
          <w:tcPr>
            <w:tcW w:w="380" w:type="dxa"/>
            <w:vAlign w:val="bottom"/>
          </w:tcPr>
          <w:p>
            <w:pPr>
              <w:spacing w:after="0"/>
              <w:rPr>
                <w:sz w:val="18"/>
                <w:szCs w:val="18"/>
                <w:color w:val="auto"/>
              </w:rPr>
            </w:pPr>
          </w:p>
        </w:tc>
        <w:tc>
          <w:tcPr>
            <w:tcW w:w="1720" w:type="dxa"/>
            <w:vAlign w:val="bottom"/>
            <w:gridSpan w:val="2"/>
          </w:tcPr>
          <w:p>
            <w:pPr>
              <w:jc w:val="right"/>
              <w:ind w:right="805"/>
              <w:spacing w:after="0"/>
              <w:rPr>
                <w:sz w:val="20"/>
                <w:szCs w:val="20"/>
                <w:color w:val="auto"/>
              </w:rPr>
            </w:pPr>
            <w:r>
              <w:rPr>
                <w:rFonts w:ascii="Arial" w:cs="Arial" w:eastAsia="Arial" w:hAnsi="Arial"/>
                <w:sz w:val="18"/>
                <w:szCs w:val="18"/>
                <w:b w:val="1"/>
                <w:bCs w:val="1"/>
                <w:color w:val="auto"/>
              </w:rPr>
              <w:t>Fee (2)</w:t>
            </w:r>
          </w:p>
        </w:tc>
      </w:tr>
      <w:tr>
        <w:trPr>
          <w:trHeight w:val="241"/>
        </w:trPr>
        <w:tc>
          <w:tcPr>
            <w:tcW w:w="6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Price (1)(2)</w:t>
            </w: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02"/>
        </w:trPr>
        <w:tc>
          <w:tcPr>
            <w:tcW w:w="68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Units, each unit consisting of one share of common stock, par value $0.01 per share, and one</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3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warrant to purchase one share of common stock (3)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11,500,000</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1,393.80</w:t>
            </w:r>
          </w:p>
        </w:tc>
      </w:tr>
      <w:tr>
        <w:trPr>
          <w:trHeight w:val="216"/>
        </w:trPr>
        <w:tc>
          <w:tcPr>
            <w:tcW w:w="7060" w:type="dxa"/>
            <w:vAlign w:val="bottom"/>
            <w:gridSpan w:val="2"/>
          </w:tcPr>
          <w:p>
            <w:pPr>
              <w:ind w:left="180"/>
              <w:spacing w:after="0"/>
              <w:rPr>
                <w:sz w:val="20"/>
                <w:szCs w:val="20"/>
                <w:color w:val="auto"/>
              </w:rPr>
            </w:pPr>
            <w:r>
              <w:rPr>
                <w:rFonts w:ascii="Arial" w:cs="Arial" w:eastAsia="Arial" w:hAnsi="Arial"/>
                <w:sz w:val="18"/>
                <w:szCs w:val="18"/>
                <w:color w:val="auto"/>
              </w:rPr>
              <w:t>(i) Common stock included in the units (4)</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(ii) Common warrants included in the units (4)</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r>
      <w:tr>
        <w:trPr>
          <w:trHeight w:val="202"/>
        </w:trPr>
        <w:tc>
          <w:tcPr>
            <w:tcW w:w="7060" w:type="dxa"/>
            <w:vAlign w:val="bottom"/>
            <w:gridSpan w:val="2"/>
          </w:tcPr>
          <w:p>
            <w:pPr>
              <w:spacing w:after="0" w:line="201" w:lineRule="exact"/>
              <w:rPr>
                <w:sz w:val="20"/>
                <w:szCs w:val="20"/>
                <w:color w:val="auto"/>
              </w:rPr>
            </w:pPr>
            <w:r>
              <w:rPr>
                <w:rFonts w:ascii="Arial" w:cs="Arial" w:eastAsia="Arial" w:hAnsi="Arial"/>
                <w:sz w:val="18"/>
                <w:szCs w:val="18"/>
                <w:color w:val="auto"/>
                <w:w w:val="95"/>
              </w:rPr>
              <w:t>Pre-funded units, each pre-funded unit consisting of one pre-funded warrant to purchase one</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w w:val="94"/>
              </w:rPr>
              <w:t>share of common stock and one common warrant to purchase one share of common stock (3)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11,385,000</w:t>
            </w:r>
          </w:p>
        </w:tc>
        <w:tc>
          <w:tcPr>
            <w:tcW w:w="220" w:type="dxa"/>
            <w:vAlign w:val="bottom"/>
          </w:tcPr>
          <w:p>
            <w:pPr>
              <w:spacing w:after="0"/>
              <w:rPr>
                <w:sz w:val="20"/>
                <w:szCs w:val="20"/>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105"/>
              <w:spacing w:after="0"/>
              <w:rPr>
                <w:sz w:val="20"/>
                <w:szCs w:val="20"/>
                <w:color w:val="auto"/>
              </w:rPr>
            </w:pPr>
            <w:r>
              <w:rPr>
                <w:rFonts w:ascii="Arial" w:cs="Arial" w:eastAsia="Arial" w:hAnsi="Arial"/>
                <w:sz w:val="18"/>
                <w:szCs w:val="18"/>
                <w:color w:val="auto"/>
              </w:rPr>
              <w:t>1,379.86</w:t>
            </w:r>
          </w:p>
        </w:tc>
      </w:tr>
      <w:tr>
        <w:trPr>
          <w:trHeight w:val="216"/>
        </w:trPr>
        <w:tc>
          <w:tcPr>
            <w:tcW w:w="7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 Pre-funded warrants included in the pre-funded units (4)</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gridSpan w:val="2"/>
          </w:tcPr>
          <w:p>
            <w:pPr>
              <w:ind w:left="180"/>
              <w:spacing w:after="0"/>
              <w:rPr>
                <w:sz w:val="20"/>
                <w:szCs w:val="20"/>
                <w:color w:val="auto"/>
              </w:rPr>
            </w:pPr>
            <w:r>
              <w:rPr>
                <w:rFonts w:ascii="Arial" w:cs="Arial" w:eastAsia="Arial" w:hAnsi="Arial"/>
                <w:sz w:val="18"/>
                <w:szCs w:val="18"/>
                <w:color w:val="auto"/>
              </w:rPr>
              <w:t>(ii) Common warrants included in the pre-funded units (4)</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r>
      <w:tr>
        <w:trPr>
          <w:trHeight w:val="202"/>
        </w:trPr>
        <w:tc>
          <w:tcPr>
            <w:tcW w:w="7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 underlying common warrants included in the units and the pre-</w:t>
            </w: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units (3)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23,000,000</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2,787.60</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w w:val="95"/>
              </w:rPr>
              <w:t>Shares of common stock underlying pre-funded warrants included in the pre-funded units (3)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105"/>
              <w:spacing w:after="0"/>
              <w:rPr>
                <w:sz w:val="20"/>
                <w:szCs w:val="20"/>
                <w:color w:val="auto"/>
              </w:rPr>
            </w:pPr>
            <w:r>
              <w:rPr>
                <w:rFonts w:ascii="Arial" w:cs="Arial" w:eastAsia="Arial" w:hAnsi="Arial"/>
                <w:sz w:val="18"/>
                <w:szCs w:val="18"/>
                <w:color w:val="auto"/>
              </w:rPr>
              <w:t>13.94</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Underwriter’s warrants to purchase common stock (5)</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Common stock issuable upon exercise of the underwriter’s warrants (6)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718,750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105"/>
              <w:spacing w:after="0"/>
              <w:rPr>
                <w:sz w:val="20"/>
                <w:szCs w:val="20"/>
                <w:color w:val="auto"/>
              </w:rPr>
            </w:pPr>
            <w:r>
              <w:rPr>
                <w:rFonts w:ascii="Arial" w:cs="Arial" w:eastAsia="Arial" w:hAnsi="Arial"/>
                <w:sz w:val="18"/>
                <w:szCs w:val="18"/>
                <w:color w:val="auto"/>
              </w:rPr>
              <w:t>87.11</w:t>
            </w:r>
          </w:p>
        </w:tc>
      </w:tr>
      <w:tr>
        <w:trPr>
          <w:trHeight w:val="248"/>
        </w:trPr>
        <w:tc>
          <w:tcPr>
            <w:tcW w:w="70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46,718,750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5,662.31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(7)</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computing the amount of the registration fee pursuant to Rule 457(o) under the Securities Act of 1933, as amended (the “Securities Act”). Includes securities subject to the underwriter’s option to purchase additional securities.</w:t>
      </w:r>
    </w:p>
    <w:p>
      <w:pPr>
        <w:spacing w:after="0" w:line="170"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the shares of common stock registered hereby also include an indeterminate number of additional shares of common stock as may, from time to time, become issuable by reason of stock splits, stock dividends, recapitalizations or other similar transactions.</w:t>
      </w:r>
    </w:p>
    <w:p>
      <w:pPr>
        <w:spacing w:after="0" w:line="123" w:lineRule="exact"/>
        <w:rPr>
          <w:rFonts w:ascii="Arial" w:cs="Arial" w:eastAsia="Arial" w:hAnsi="Arial"/>
          <w:sz w:val="16"/>
          <w:szCs w:val="16"/>
          <w:color w:val="auto"/>
        </w:rPr>
      </w:pPr>
    </w:p>
    <w:p>
      <w:pPr>
        <w:jc w:val="both"/>
        <w:ind w:left="340" w:hanging="332"/>
        <w:spacing w:after="0" w:line="31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proposed maximum aggregate offering price of the units proposed to be sold in the offering will be reduced on a dollar-for-dollar basis based on the offering price of any pre-funded units offered and sold in the offering, and as such the proposed maximum aggregate offering price of the units and pre-funded units (including the common stock issuable upon exercise of the pre-funded warrants included in the pre-funded units), if any, is $11,500,000.</w:t>
      </w:r>
    </w:p>
    <w:p>
      <w:pPr>
        <w:spacing w:after="0" w:line="146"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additional registration fee is payable pursuant to Rule 457(i) under the Securities Act.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additional registration fee is payable pursuant to Rule 457(g) under the Securities Act.</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warrants to purchase a number of shares of common stock equal to 5.0% of the number of shares of common stock (i) included within the units and (ii) issuable upon the exercise of the pre-funded warrants included within the pre-funded units placed in this offering at an exercise price equal to 125% of the offering price per unit (excluding any shares of common stock underlying the common warrants included in the units and the pre-funded units sold in this offering).</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filing fee of $2,961.83 was previously paid with respect to shares of the Registrant’s common stock to be registered pursuant to a Registration Statement on Form S-1 (Registration No. 333-228285) initially filed with the SEC on November 8, 2018 as amended by Amendment No. 1 filed with the SEC on November 19, 2018 and Amendment No. 2 filed with the SEC on December 17, 2018. Accordingly, the Registrant has paid the balance of $2,700.48 in connection with the filing of Amendment No. 3 to Form S-1.</w:t>
      </w:r>
    </w:p>
    <w:p>
      <w:pPr>
        <w:spacing w:after="0" w:line="18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PRELIMINARY PROSPECTUS SUBJECT TO COMPLETION, DATED DECEMBER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154940</wp:posOffset>
            </wp:positionV>
            <wp:extent cx="2143760"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76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 to 6,024,096 Units (each Unit contains one Share of Common Stock and one Common Warrant to purchase one Share of Common Stock)</w:t>
      </w:r>
    </w:p>
    <w:p>
      <w:pPr>
        <w:spacing w:after="0" w:line="237" w:lineRule="exact"/>
        <w:rPr>
          <w:sz w:val="20"/>
          <w:szCs w:val="20"/>
          <w:color w:val="auto"/>
        </w:rPr>
      </w:pPr>
    </w:p>
    <w:p>
      <w:pPr>
        <w:jc w:val="center"/>
        <w:ind w:left="260" w:right="320"/>
        <w:spacing w:after="0" w:line="282" w:lineRule="auto"/>
        <w:rPr>
          <w:sz w:val="20"/>
          <w:szCs w:val="20"/>
          <w:color w:val="auto"/>
        </w:rPr>
      </w:pPr>
      <w:r>
        <w:rPr>
          <w:rFonts w:ascii="Arial" w:cs="Arial" w:eastAsia="Arial" w:hAnsi="Arial"/>
          <w:sz w:val="18"/>
          <w:szCs w:val="18"/>
          <w:b w:val="1"/>
          <w:bCs w:val="1"/>
          <w:color w:val="auto"/>
        </w:rPr>
        <w:t>Up to 6,024,096 Pre-funded Units (each Pre-funded Unit contains one Pre-funded Warrant to purchase one Share of Common Stock and one Common Warrant to purchase one Share of Common Stock)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6,024,096 Shares of Common Stock Underlying the Pre-funded Warrants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6,024,096 Shares of Common Stock Underlying the Common Warrants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offering up to 6,024,096 units (each unit consisting of one share of our common stock and one common warrant to purchase one share of our common stock). Each common warrant contained in a unit will have an assumed exercise price of $1.66 per share (representing 100% of the assumed public offering price per unit to be sold in this offering) (which may be adjusted as set forth in this prospectus). The common warrants contained in the units will be exercisable immediately and will expire five years from the date of issuance. We are also offering the shares of our common stock that are issuable from time to time upon exercise of the common warrants contained in the units.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also offering to each purchaser whose purchase of units in this offering would otherwise result in the purchaser, together with its affiliates and certain related parties, beneficially owning more than 4.99% of our outstanding common stock immediately following the consummation of this offering, the opportunity to purchase, if the purchaser so chooses, pre-funded units (each pre-funded unit consisting of one pre-funded warrant to purchase one share of our common stock and one common warrant to purchase one share of our common stock) in lieu of units that would otherwise result in the purchaser’s beneficial ownership exceeding 4.99% of our outstanding common stock (or at the election of the purchaser, 9.99%). Each pre-funded warrant contained in a pre-funded unit will be exercisable for one share of our common stock. The purchase price of each pre-funded unit will equal the price per unit being sold to the public in this offering minus $0.01, and the exercise price of each pre-funded warrant included in the pre-funded unit will be $0.01 per share. The pre-funded warrants contained in the pre-funded units will be exercisable immediately and may be exercised at any time until the pre-funded warrants are exercised in full. This offering also relates to the shares of common stock issuable upon exercise of any pre-funded warrants contained in the pre-funded units sold in this offering. Each common warrant contained in a pre-funded unit will have an assumed exercise price of $1.66 per share (representing 100% of the assumed public offering price per unit to be sold in this offering) (which may be adjusted as set forth in this prospectus). The common warrants contained in the pre-funded units will be exercisable immediately and will expire five years from the date of issuance. We are also offering the shares of our common stock that are issuable from time to time upon exercise of the common warrants contained in the pre-funded units.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each pre-funded unit we sell, the number of units we are offering will be decreased on a one-for-one basis. Units and the pre-funded units will not be issued or certificated. The shares of common stock or pre-funded warrants, as the case may be, and the common warrants can only be purchased together in this offering but the securities contained in the units or pre-funded units will be issued separately.</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common stock is listed on The Nasdaq Capital Market under the ticker symbol “MBOT”. On December 24, 2018, the closing price of our common stock on The Nasdaq Capital Market was $1.66. We do not intend to apply for listing of the common warrants or pre-funded warrants on any securities exchange or other nationally recognized trading system. There is no established public trading market for the common warrants or pre-funded warrants, and we do not expect a market to develop. Without an active trading market, the liquidity of the common warrants and pre-funded warrants will be limited. We have assumed a public offering price of $1.66 per unit, the closing price for our common stock as reported on The Nasdaq Capital Market on December 24, 2018, and $1.65 per pre-funded unit. The actual offering price per unit or pre-funded unit, as the case may be, will be negotiated between us and the underwriter based on the trading of our common stock prior to the offering, among other things, and may be at a discount to the current market price. Therefore, the assumed public offering price used throughout this prospectus may not be indicative of the final offering price.</w:t>
      </w:r>
    </w:p>
    <w:p>
      <w:pPr>
        <w:spacing w:after="0" w:line="162"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See the section entitled “Risk Factors” beginning on page 7 of this prospectus and in the documents incorporated by reference into this prospectus for a discussion of risks that should be considered in connection with an investment in our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2080" w:type="dxa"/>
            <w:vAlign w:val="bottom"/>
            <w:gridSpan w:val="2"/>
          </w:tcPr>
          <w:p>
            <w:pPr>
              <w:ind w:left="520"/>
              <w:spacing w:after="0"/>
              <w:rPr>
                <w:sz w:val="20"/>
                <w:szCs w:val="20"/>
                <w:color w:val="auto"/>
              </w:rPr>
            </w:pPr>
            <w:r>
              <w:rPr>
                <w:rFonts w:ascii="Arial" w:cs="Arial" w:eastAsia="Arial" w:hAnsi="Arial"/>
                <w:sz w:val="18"/>
                <w:szCs w:val="18"/>
                <w:b w:val="1"/>
                <w:bCs w:val="1"/>
                <w:color w:val="auto"/>
              </w:rPr>
              <w:t>Per Unit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94"/>
              </w:rPr>
              <w:t>Per Pre-Funded Unit</w:t>
            </w:r>
          </w:p>
        </w:tc>
        <w:tc>
          <w:tcPr>
            <w:tcW w:w="340" w:type="dxa"/>
            <w:vAlign w:val="bottom"/>
          </w:tcPr>
          <w:p>
            <w:pPr>
              <w:spacing w:after="0"/>
              <w:rPr>
                <w:sz w:val="20"/>
                <w:szCs w:val="20"/>
                <w:color w:val="auto"/>
              </w:rPr>
            </w:pPr>
          </w:p>
        </w:tc>
        <w:tc>
          <w:tcPr>
            <w:tcW w:w="1800" w:type="dxa"/>
            <w:vAlign w:val="bottom"/>
            <w:gridSpan w:val="2"/>
          </w:tcPr>
          <w:p>
            <w:pPr>
              <w:ind w:left="640"/>
              <w:spacing w:after="0"/>
              <w:rPr>
                <w:sz w:val="20"/>
                <w:szCs w:val="20"/>
                <w:color w:val="auto"/>
              </w:rPr>
            </w:pPr>
            <w:r>
              <w:rPr>
                <w:rFonts w:ascii="Arial" w:cs="Arial" w:eastAsia="Arial" w:hAnsi="Arial"/>
                <w:sz w:val="18"/>
                <w:szCs w:val="18"/>
                <w:b w:val="1"/>
                <w:bCs w:val="1"/>
                <w:color w:val="auto"/>
              </w:rPr>
              <w:t>Total</w:t>
            </w: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20" w:type="dxa"/>
            <w:vAlign w:val="bottom"/>
            <w:tcBorders>
              <w:top w:val="single" w:sz="8" w:color="auto"/>
            </w:tcBorders>
            <w:shd w:val="clear" w:color="auto" w:fill="CCEEFF"/>
          </w:tcPr>
          <w:p>
            <w:pPr>
              <w:jc w:val="right"/>
              <w:ind w:right="156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541"/>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53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720" w:type="dxa"/>
            <w:vAlign w:val="bottom"/>
          </w:tcPr>
          <w:p>
            <w:pPr>
              <w:jc w:val="right"/>
              <w:ind w:right="1561"/>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8"/>
                <w:szCs w:val="18"/>
                <w:color w:val="auto"/>
              </w:rPr>
            </w:pPr>
          </w:p>
        </w:tc>
        <w:tc>
          <w:tcPr>
            <w:tcW w:w="1700" w:type="dxa"/>
            <w:vAlign w:val="bottom"/>
          </w:tcPr>
          <w:p>
            <w:pPr>
              <w:jc w:val="right"/>
              <w:ind w:right="1541"/>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15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720" w:type="dxa"/>
            <w:vAlign w:val="bottom"/>
            <w:shd w:val="clear" w:color="auto" w:fill="CCEEFF"/>
          </w:tcPr>
          <w:p>
            <w:pPr>
              <w:jc w:val="right"/>
              <w:ind w:right="156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541"/>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15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beginning on page 21 of this prospectus for a description of compensation and reimbursement of expenses payable to the underwriter.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offering is being underwritten on a firm commitment basis. We have granted the underwriter an option for a period of 30 days from the date of this</w:t>
      </w:r>
    </w:p>
    <w:p>
      <w:pPr>
        <w:spacing w:after="0" w:line="4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prospectus to purchase up to an additional 903,614 shares of our common stock at a purchase price of $ per share and/or common warrants to purchase up to an aggregate of 903,614 shares of common stock at a purchase price of $0.01 per common warrant with an exercise price of $ per share, less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underwriting discounts and commissions . If the underwriter exercises this option in full, the total underwriting discounts and commissions payable by us will</w:t>
      </w:r>
    </w:p>
    <w:p>
      <w:pPr>
        <w:spacing w:after="0" w:line="32" w:lineRule="exact"/>
        <w:rPr>
          <w:sz w:val="20"/>
          <w:szCs w:val="20"/>
          <w:color w:val="auto"/>
        </w:rPr>
      </w:pPr>
    </w:p>
    <w:p>
      <w:pPr>
        <w:spacing w:after="0"/>
        <w:tabs>
          <w:tab w:leader="none" w:pos="780" w:val="left"/>
          <w:tab w:leader="none" w:pos="5260" w:val="left"/>
        </w:tabs>
        <w:rPr>
          <w:sz w:val="20"/>
          <w:szCs w:val="20"/>
          <w:color w:val="auto"/>
        </w:rPr>
      </w:pPr>
      <w:r>
        <w:rPr>
          <w:rFonts w:ascii="Arial" w:cs="Arial" w:eastAsia="Arial" w:hAnsi="Arial"/>
          <w:sz w:val="18"/>
          <w:szCs w:val="18"/>
          <w:color w:val="auto"/>
        </w:rPr>
        <w:t>be $</w:t>
      </w:r>
      <w:r>
        <w:rPr>
          <w:sz w:val="20"/>
          <w:szCs w:val="20"/>
          <w:color w:val="auto"/>
        </w:rPr>
        <w:tab/>
      </w:r>
      <w:r>
        <w:rPr>
          <w:rFonts w:ascii="Arial" w:cs="Arial" w:eastAsia="Arial" w:hAnsi="Arial"/>
          <w:sz w:val="18"/>
          <w:szCs w:val="18"/>
          <w:color w:val="auto"/>
        </w:rPr>
        <w:t>, and the total proceeds to us, before expenses, will be $</w:t>
      </w:r>
      <w:r>
        <w:rPr>
          <w:sz w:val="20"/>
          <w:szCs w:val="20"/>
          <w:color w:val="auto"/>
        </w:rPr>
        <w:tab/>
      </w:r>
      <w:r>
        <w:rPr>
          <w:rFonts w:ascii="Arial" w:cs="Arial" w:eastAsia="Arial" w:hAnsi="Arial"/>
          <w:sz w:val="14"/>
          <w:szCs w:val="14"/>
          <w:color w:val="auto"/>
        </w:rPr>
        <w:t>.</w:t>
      </w:r>
    </w:p>
    <w:p>
      <w:pPr>
        <w:sectPr>
          <w:pgSz w:w="11900" w:h="16838" w:orient="portrait"/>
          <w:cols w:equalWidth="0" w:num="1">
            <w:col w:w="11420"/>
          </w:cols>
          <w:pgMar w:left="240" w:top="661" w:right="239" w:bottom="0" w:gutter="0" w:footer="0" w:header="0"/>
        </w:sectPr>
      </w:pPr>
    </w:p>
    <w:bookmarkStart w:id="3" w:name="page4"/>
    <w:bookmarkEnd w:id="3"/>
    <w:p>
      <w:pPr>
        <w:ind w:right="20" w:firstLine="3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w w:val="98"/>
              </w:rPr>
              <w:t>Delivery of t he securities to purchasers is expected on or about</w:t>
            </w:r>
          </w:p>
        </w:tc>
        <w:tc>
          <w:tcPr>
            <w:tcW w:w="6020" w:type="dxa"/>
            <w:vAlign w:val="bottom"/>
            <w:gridSpan w:val="2"/>
          </w:tcPr>
          <w:p>
            <w:pPr>
              <w:jc w:val="right"/>
              <w:ind w:right="1510"/>
              <w:spacing w:after="0"/>
              <w:rPr>
                <w:sz w:val="20"/>
                <w:szCs w:val="20"/>
                <w:color w:val="auto"/>
              </w:rPr>
            </w:pPr>
            <w:r>
              <w:rPr>
                <w:rFonts w:ascii="Arial" w:cs="Arial" w:eastAsia="Arial" w:hAnsi="Arial"/>
                <w:sz w:val="18"/>
                <w:szCs w:val="18"/>
                <w:color w:val="auto"/>
              </w:rPr>
              <w:t>, 2018, subject to certain customary closing conditions.</w:t>
            </w:r>
          </w:p>
        </w:tc>
      </w:tr>
      <w:tr>
        <w:trPr>
          <w:trHeight w:val="432"/>
        </w:trPr>
        <w:tc>
          <w:tcPr>
            <w:tcW w:w="6880" w:type="dxa"/>
            <w:vAlign w:val="bottom"/>
            <w:gridSpan w:val="2"/>
          </w:tcPr>
          <w:p>
            <w:pPr>
              <w:jc w:val="center"/>
              <w:ind w:left="4450"/>
              <w:spacing w:after="0"/>
              <w:rPr>
                <w:sz w:val="20"/>
                <w:szCs w:val="20"/>
                <w:color w:val="auto"/>
              </w:rPr>
            </w:pPr>
            <w:r>
              <w:rPr>
                <w:rFonts w:ascii="Arial" w:cs="Arial" w:eastAsia="Arial" w:hAnsi="Arial"/>
                <w:sz w:val="18"/>
                <w:szCs w:val="18"/>
                <w:i w:val="1"/>
                <w:iCs w:val="1"/>
                <w:color w:val="auto"/>
                <w:w w:val="90"/>
              </w:rPr>
              <w:t>Sole Book-Running Manager</w:t>
            </w:r>
          </w:p>
        </w:tc>
        <w:tc>
          <w:tcPr>
            <w:tcW w:w="4540" w:type="dxa"/>
            <w:vAlign w:val="bottom"/>
          </w:tcPr>
          <w:p>
            <w:pPr>
              <w:spacing w:after="0"/>
              <w:rPr>
                <w:sz w:val="24"/>
                <w:szCs w:val="24"/>
                <w:color w:val="auto"/>
              </w:rPr>
            </w:pPr>
          </w:p>
        </w:tc>
      </w:tr>
      <w:tr>
        <w:trPr>
          <w:trHeight w:val="432"/>
        </w:trPr>
        <w:tc>
          <w:tcPr>
            <w:tcW w:w="6880" w:type="dxa"/>
            <w:vAlign w:val="bottom"/>
            <w:gridSpan w:val="2"/>
          </w:tcPr>
          <w:p>
            <w:pPr>
              <w:jc w:val="center"/>
              <w:ind w:left="4450"/>
              <w:spacing w:after="0"/>
              <w:rPr>
                <w:sz w:val="20"/>
                <w:szCs w:val="20"/>
                <w:color w:val="auto"/>
              </w:rPr>
            </w:pPr>
            <w:r>
              <w:rPr>
                <w:rFonts w:ascii="Arial" w:cs="Arial" w:eastAsia="Arial" w:hAnsi="Arial"/>
                <w:sz w:val="18"/>
                <w:szCs w:val="18"/>
                <w:b w:val="1"/>
                <w:bCs w:val="1"/>
                <w:color w:val="auto"/>
                <w:w w:val="95"/>
              </w:rPr>
              <w:t>H.C. Wainwright &amp; Co.</w:t>
            </w:r>
          </w:p>
        </w:tc>
        <w:tc>
          <w:tcPr>
            <w:tcW w:w="4540" w:type="dxa"/>
            <w:vAlign w:val="bottom"/>
          </w:tcPr>
          <w:p>
            <w:pPr>
              <w:spacing w:after="0"/>
              <w:rPr>
                <w:sz w:val="24"/>
                <w:szCs w:val="24"/>
                <w:color w:val="auto"/>
              </w:rPr>
            </w:pPr>
          </w:p>
        </w:tc>
      </w:tr>
      <w:tr>
        <w:trPr>
          <w:trHeight w:val="432"/>
        </w:trPr>
        <w:tc>
          <w:tcPr>
            <w:tcW w:w="6880" w:type="dxa"/>
            <w:vAlign w:val="bottom"/>
            <w:gridSpan w:val="2"/>
          </w:tcPr>
          <w:p>
            <w:pPr>
              <w:ind w:left="3980"/>
              <w:spacing w:after="0"/>
              <w:rPr>
                <w:sz w:val="20"/>
                <w:szCs w:val="20"/>
                <w:color w:val="auto"/>
              </w:rPr>
            </w:pPr>
            <w:r>
              <w:rPr>
                <w:rFonts w:ascii="Arial" w:cs="Arial" w:eastAsia="Arial" w:hAnsi="Arial"/>
                <w:sz w:val="18"/>
                <w:szCs w:val="18"/>
                <w:color w:val="auto"/>
              </w:rPr>
              <w:t>The date of this prospectus is</w:t>
            </w:r>
          </w:p>
        </w:tc>
        <w:tc>
          <w:tcPr>
            <w:tcW w:w="4540" w:type="dxa"/>
            <w:vAlign w:val="bottom"/>
          </w:tcPr>
          <w:p>
            <w:pPr>
              <w:jc w:val="right"/>
              <w:ind w:right="3890"/>
              <w:spacing w:after="0"/>
              <w:rPr>
                <w:sz w:val="20"/>
                <w:szCs w:val="20"/>
                <w:color w:val="auto"/>
              </w:rPr>
            </w:pPr>
            <w:r>
              <w:rPr>
                <w:rFonts w:ascii="Arial" w:cs="Arial" w:eastAsia="Arial" w:hAnsi="Arial"/>
                <w:sz w:val="18"/>
                <w:szCs w:val="18"/>
                <w:color w:val="auto"/>
              </w:rPr>
              <w:t>, 2018</w:t>
            </w:r>
          </w:p>
        </w:tc>
      </w:tr>
      <w:tr>
        <w:trPr>
          <w:trHeight w:val="439"/>
        </w:trPr>
        <w:tc>
          <w:tcPr>
            <w:tcW w:w="5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3"/>
          </w:tcPr>
          <w:p>
            <w:pPr>
              <w:ind w:left="1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b w:val="1"/>
                <w:bCs w:val="1"/>
                <w:color w:val="0000EE"/>
                <w:w w:val="97"/>
              </w:rPr>
            </w:pPr>
            <w:hyperlink w:anchor="page6">
              <w:r>
                <w:rPr>
                  <w:rFonts w:ascii="Arial" w:cs="Arial" w:eastAsia="Arial" w:hAnsi="Arial"/>
                  <w:sz w:val="18"/>
                  <w:szCs w:val="18"/>
                  <w:b w:val="1"/>
                  <w:bCs w:val="1"/>
                  <w:color w:val="0000EE"/>
                  <w:w w:val="97"/>
                </w:rPr>
                <w:t>PROSPECTUS SUMMARY</w:t>
              </w:r>
            </w:hyperlink>
          </w:p>
        </w:tc>
        <w:tc>
          <w:tcPr>
            <w:tcW w:w="858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SPECIAL 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Borders>
              <w:top w:val="single" w:sz="8" w:color="0000EE"/>
            </w:tcBorders>
            <w:gridSpan w:val="16"/>
          </w:tcPr>
          <w:p>
            <w:pPr>
              <w:spacing w:after="0" w:line="17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USE OF PROCEEDS</w:t>
              </w:r>
            </w:hyperlink>
          </w:p>
        </w:tc>
        <w:tc>
          <w:tcPr>
            <w:tcW w:w="51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b w:val="1"/>
                <w:bCs w:val="1"/>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b w:val="1"/>
                <w:bCs w:val="1"/>
                <w:color w:val="0000EE"/>
                <w:w w:val="99"/>
              </w:rPr>
            </w:pPr>
            <w:hyperlink w:anchor="page20">
              <w:r>
                <w:rPr>
                  <w:rFonts w:ascii="Arial" w:cs="Arial" w:eastAsia="Arial" w:hAnsi="Arial"/>
                  <w:sz w:val="18"/>
                  <w:szCs w:val="18"/>
                  <w:b w:val="1"/>
                  <w:bCs w:val="1"/>
                  <w:color w:val="0000EE"/>
                  <w:w w:val="99"/>
                </w:rPr>
                <w:t>PRICE RANGE OF OUR COMMON STOCK</w:t>
              </w:r>
            </w:hyperlink>
          </w:p>
        </w:tc>
        <w:tc>
          <w:tcPr>
            <w:tcW w:w="718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DIVIDEND POLICY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DILUTION</w:t>
              </w:r>
            </w:hyperlink>
          </w:p>
        </w:tc>
        <w:tc>
          <w:tcPr>
            <w:tcW w:w="986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PRINCIPAL STOCKHOLDERS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DESCRIPTION OF CAPITAL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DESCRIPTION OF SECURITIES WE ARE OFFERING</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UNDERWRITING</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LEGAL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5"/>
              </w:rPr>
            </w:pPr>
            <w:hyperlink w:anchor="page33">
              <w:r>
                <w:rPr>
                  <w:rFonts w:ascii="Arial" w:cs="Arial" w:eastAsia="Arial" w:hAnsi="Arial"/>
                  <w:sz w:val="18"/>
                  <w:szCs w:val="18"/>
                  <w:b w:val="1"/>
                  <w:bCs w:val="1"/>
                  <w:color w:val="0000EE"/>
                  <w:w w:val="95"/>
                </w:rPr>
                <w:t>EXPERTS</w:t>
              </w:r>
            </w:hyperlink>
          </w:p>
        </w:tc>
        <w:tc>
          <w:tcPr>
            <w:tcW w:w="994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WHERE YOU CAN FIND ADDITIONAL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INCORPORATION OF CERTAIN INFORMATION BY REFERENCE</w:t>
              </w:r>
            </w:hyperlink>
          </w:p>
        </w:tc>
        <w:tc>
          <w:tcPr>
            <w:tcW w:w="52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26</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2260" w:type="dxa"/>
            <w:vAlign w:val="bottom"/>
            <w:tcBorders>
              <w:bottom w:val="single" w:sz="8" w:color="0000EE"/>
            </w:tcBorders>
            <w:gridSpan w:val="9"/>
          </w:tcPr>
          <w:p>
            <w:pPr>
              <w:spacing w:after="0" w:line="176" w:lineRule="exact"/>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FINANCIAL STATEMENTS</w:t>
              </w:r>
            </w:hyperlink>
          </w:p>
        </w:tc>
        <w:tc>
          <w:tcPr>
            <w:tcW w:w="8500" w:type="dxa"/>
            <w:vAlign w:val="bottom"/>
            <w:gridSpan w:val="8"/>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F-1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and the underwriter has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in this prospectus or in any applicable, authorized free writing prospectus is current only as of its date, and any information in documents incorporated by reference is current only as of the date of the document incorporated by reference, regardless of its time of delivery or any sale of our securities. Our business, financial condition, results of operations and prospects may have changed since that date.</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investors outside the United States: We have not, and the underwriter has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416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2175" cy="8416925"/>
                    </a:xfrm>
                    <a:prstGeom prst="rect">
                      <a:avLst/>
                    </a:prstGeom>
                    <a:noFill/>
                  </pic:spPr>
                </pic:pic>
              </a:graphicData>
            </a:graphic>
          </wp:anchor>
        </w:drawing>
        <w:t>PROSPECTUS SUMMARY</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This summary highlights information contained in other parts of this prospectus or information incorporated by reference into this prospectus from our filings with the Securities and Exchange Commission, or SEC, listed in the section of the prospectus entitled “Incorporation of Certain Information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incorporated by reference into this prospectus, before purchasing our securities in this offering. Unless the context requires otherwise, references in this prospectus to “Microbot,” “we,” “us” and “our” refer to Microbot Medical Inc. together with its wholly owned subsidiaries.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ind w:firstLine="324"/>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TipCAT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Microbot has a patent portfolio of 30 issued/allowed patents and 18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combination of a guidewire and microcatheter, technologies that are broadly used for surgery within a</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tubular organ or structure such as a blood vessel or duct.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a unique guidewire delivery system with steering and stiffness control capabilities which when developed is expected to give the physician the ability to control the tip curvature, to adjust tip load to varying</w:t>
      </w:r>
    </w:p>
    <w:p>
      <w:pPr>
        <w:jc w:val="both"/>
        <w:spacing w:after="0" w:line="234" w:lineRule="auto"/>
        <w:rPr>
          <w:sz w:val="20"/>
          <w:szCs w:val="20"/>
          <w:color w:val="auto"/>
        </w:rPr>
      </w:pPr>
      <w:r>
        <w:rPr>
          <w:rFonts w:ascii="Arial" w:cs="Arial" w:eastAsia="Arial" w:hAnsi="Arial"/>
          <w:sz w:val="16"/>
          <w:szCs w:val="16"/>
          <w:color w:val="auto"/>
        </w:rPr>
        <w:t>degrees of stiffness in a gradually continuous manner.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was originally developed to support interventional cardiologists in crossing chronic total occlusions (CTO) during percutaneous coronary intervention (PCI) procedures and has the potential to be used in other spaces and</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applications, such as peripheral intervention, and neurosurgery.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a device based on the technology has successfully completed pre-clinical testing.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highlight w:val="white"/>
        </w:rPr>
        <w:t>TipCAT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7439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2175" cy="7439660"/>
                    </a:xfrm>
                    <a:prstGeom prst="rect">
                      <a:avLst/>
                    </a:prstGeom>
                    <a:noFill/>
                  </pic:spPr>
                </pic:pic>
              </a:graphicData>
            </a:graphic>
          </wp:anchor>
        </w:drawing>
        <w:t>Industry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CSF Management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converted to a cerebral shunt, a fully internalized, long-term treatment for hydrocephalus.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6067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2175" cy="6067425"/>
                    </a:xfrm>
                    <a:prstGeom prst="rect">
                      <a:avLst/>
                    </a:prstGeom>
                    <a:noFill/>
                  </pic:spPr>
                </pic:pic>
              </a:graphicData>
            </a:graphic>
          </wp:anchor>
        </w:drawing>
        <w:t>Minimally Invasive Endovascular Neurosurgery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market is expected to exceed $50 billion by 2019, with a CAGR of over 20% through 2023. MIS involves three major category of devices: surgical, monitoring and visualization, and endoscopy. The market for surgical devices, including ablation, electrosurgery and medical robotic systems, accounts for the largest share of revenue and is also expected to show the highest rate of growth.</w:t>
      </w:r>
    </w:p>
    <w:p>
      <w:pPr>
        <w:spacing w:after="0" w:line="1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subset of MIS, endovascular neurosurgery refers to surgeries performed by using devices that pass through the blood vessels to diagnose and treat neurological diseases and conditions such as stroke, arteriovenous malformations, aneurysms and atherosclerosis, rather than using open surgery.</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global neurovascular device market was valued at $1.62 billion in 2015 and is expected to reach a value of $2.92 billion by 2024, growing at a CAGR of 6.5%. Increases in the geriatric population and a rise in the number of patients suffering from neurovascular disorders, implementation of advanced technological platforms, and favorable reimbursement policies across established markets are expected to drive this market’s growth. On the other hand, the high cost of the endovascular devices and scarcity of neurovascular surgeons may impede such growth.</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Stroke is a devastating condition, affecting 33 million people worldwide every year. In the United States alone, there are nearly 800,000 instances of stroke yearly, with about three in four being first-time strokes. This number is expected to increase to one million annually in 2021. Stroke is the fifth leading cause of death in the United States and is a leading cause of long-term disability, with related care costs estimated at $70 billion annually.</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Mechanical thrombectomy has only been approved as a first-line treatment for ischemic stroke since 2016. Prior to such approval, chemical thrombolysis using tissue plasminogen activators was the only first-line treatment available, limiting the therapeutic window for ischemic stroke patients to as little as 3-4 hours from the onset of symptoms. With mechanical thrombectomy, treatment can be started within 6-24 hours of the time the patient was last known to be well. The US mechanical thrombectomy market is projected to grow at a CAGR of 23.9% between 2014-2020, to reach a value over $350 million.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According to the Brain Aneurysm Foundation, an estimated 6 million people in the United States have an unruptured brain aneurysm, or 1 in 50 people. The annual rate of rupture is approximately 8 – 10 per 100,000 people, or about 30,000 people in the United States annually. Embolic coiling is the established gold-standard treatment for aneurysms, and the most established product line in the neurovascular market – it is a strong but relatively stagnant market, projected to grow at a CAGR of 1.7% between 2014-2020, to reach a value of over $800 million. New devices that improve treatment of complex aneurysms, such as embolization-enabling stents, bifurcations stents, flow-diversion stents, liquid embolics and intrasaccular devices, are expected to boost market growth.</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 companies in the field of neurovascular devices include Stryker Corporation, Medtronic Plc., Cerenovus (Johnson &amp; Johnson), Terumo Corporation and Penumbra, Inc. Neurovascular access devices are the means for delivering neurovascular treatment tools and devices from an opening in the femoral or radial arteries into the brain vasculature. Such access devices include sheaths, guidewires and microcatheters. Wires and catheters account for 18.6% of the overall neurovascular market.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8" w:right="399" w:bottom="1440" w:gutter="0" w:footer="0" w:header="0"/>
        </w:sectPr>
      </w:pPr>
    </w:p>
    <w:bookmarkStart w:id="8" w:name="page9"/>
    <w:bookmarkEnd w:id="8"/>
    <w:p>
      <w:pPr>
        <w:jc w:val="both"/>
        <w:ind w:firstLine="3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7876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2175" cy="7876540"/>
                    </a:xfrm>
                    <a:prstGeom prst="rect">
                      <a:avLst/>
                    </a:prstGeom>
                    <a:noFill/>
                  </pic:spPr>
                </pic:pic>
              </a:graphicData>
            </a:graphic>
          </wp:anchor>
        </w:drawing>
        <w:t>Microbot believes that with its portfolio of technologies specifically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TipCAT, it is well-positioned to explore and develop such technologies as neurovascular access devices, with a focus on improving the ease and access and enhancing the safety of endovascular neurosurgery.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Self-Cleaning Shunt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Microbot has completed the development of an SCS prototype and is currently completing the safety testing, general proof of concept testing and performance testing for the device, which Microbot began in mid-2013. In May 2018, Microbot announced the results of two pre-clinical studies assessing the SCS, an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study and a small animal study. The in-vitro study, which was performed at Wayne State University by Dr. Carolyn Harris, supports the SCS’s potential 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 and </w:t>
      </w:r>
      <w:r>
        <w:rPr>
          <w:rFonts w:ascii="Arial" w:cs="Arial" w:eastAsia="Arial" w:hAnsi="Arial"/>
          <w:sz w:val="16"/>
          <w:szCs w:val="16"/>
          <w:i w:val="1"/>
          <w:iCs w:val="1"/>
          <w:color w:val="auto"/>
        </w:rPr>
        <w:t>in-vivo</w:t>
      </w:r>
      <w:r>
        <w:rPr>
          <w:rFonts w:ascii="Arial" w:cs="Arial" w:eastAsia="Arial" w:hAnsi="Arial"/>
          <w:sz w:val="16"/>
          <w:szCs w:val="16"/>
          <w:color w:val="auto"/>
        </w:rPr>
        <w:t xml:space="preserve">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 Microbot believes that the animal study results of its first generation SCS device should be available during the second half of 2019 and we expect to submit that data to the FDA either in a regulatory submission or as part of a pre-submission meeting request, depending on the final results of this ongoing studies. The proposed indication for use of the SCS device would be for the treatment of hydrocephalus as a component of a shunt system when draining or shunting of CSF is indicated. It continues to be possible that the FDA could require us to conduct a human clinical study to support the safety and efficacy of the SCS and that such clinical data would need to be submitted as part of a 510(k) notification to authorize marketing of the medical device in the U.S.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Microbot is no longer pursuing the development of the TipCAT as a colonoscopy tool but is currently exploring the use of the TipCAT for minimally invasive endovascular neurosurgical applications.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12"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536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2175" cy="8536940"/>
                    </a:xfrm>
                    <a:prstGeom prst="rect">
                      <a:avLst/>
                    </a:prstGeom>
                    <a:noFill/>
                  </pic:spPr>
                </pic:pic>
              </a:graphicData>
            </a:graphic>
          </wp:anchor>
        </w:drawing>
        <w:t>Risks Associated with Our Business and this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and our ability to implement our business strategy are subject to numerous risks, as more fully described in the section of this prospectus entitled “Risk Factors” and under similarly titled headings of the documents incorporated herein by reference. You should read these risks before you invest in our securities. We may be unable, for many reasons, including those that are beyond our control, to implement our business strategy. In particular, risks associated with our business include:</w:t>
      </w:r>
    </w:p>
    <w:p>
      <w:pPr>
        <w:spacing w:after="0" w:line="187" w:lineRule="exact"/>
        <w:rPr>
          <w:sz w:val="20"/>
          <w:szCs w:val="20"/>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to raise significant additional capital to support our operations.</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 and our future profitability is uncertain.</w:t>
      </w:r>
    </w:p>
    <w:p>
      <w:pPr>
        <w:spacing w:after="0" w:line="170" w:lineRule="exact"/>
        <w:rPr>
          <w:rFonts w:ascii="Arial" w:cs="Arial" w:eastAsia="Arial" w:hAnsi="Arial"/>
          <w:sz w:val="18"/>
          <w:szCs w:val="18"/>
          <w:color w:val="auto"/>
        </w:rPr>
      </w:pPr>
    </w:p>
    <w:p>
      <w:pPr>
        <w:ind w:left="660" w:hanging="331"/>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product candidates must undergo rigorous clinical testing, such clinical testing may fail to demonstrate safety and efficacy and any of our product candidates could cause undesirable side effects, which would substantially delay or prevent regulatory approval or commercialization.</w:t>
      </w:r>
    </w:p>
    <w:p>
      <w:pPr>
        <w:spacing w:after="0" w:line="123" w:lineRule="exact"/>
        <w:rPr>
          <w:rFonts w:ascii="Arial" w:cs="Arial" w:eastAsia="Arial" w:hAnsi="Arial"/>
          <w:sz w:val="16"/>
          <w:szCs w:val="16"/>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competitors are able to develop and market products that are more effective, safer or more affordable than ours, or obtain marketing approval before we do, our commercial opportunities may be limited.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you purchase our securities in this offering, you will incur immediate and substantial dilution.</w:t>
      </w:r>
    </w:p>
    <w:p>
      <w:pPr>
        <w:spacing w:after="0" w:line="225"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have broad discretion in the use of the net proceeds from this offering and may not use them effectively.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83"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prospectus that occurred prior to these reverse splits have been adjusted to give retrospective effect to the reverse splits.</w:t>
      </w:r>
    </w:p>
    <w:p>
      <w:pPr>
        <w:spacing w:after="0" w:line="14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25 Recreation Park Drive, Unit 108, Hingham, MA 02043. The telephone number at our principal executive office is (781) 875-3605. Our website address is </w:t>
      </w:r>
      <w:r>
        <w:rPr>
          <w:rFonts w:ascii="Arial" w:cs="Arial" w:eastAsia="Arial" w:hAnsi="Arial"/>
          <w:sz w:val="17"/>
          <w:szCs w:val="17"/>
          <w:i w:val="1"/>
          <w:iCs w:val="1"/>
          <w:color w:val="auto"/>
        </w:rPr>
        <w:t>www.microbotmedical.com</w:t>
      </w:r>
      <w:r>
        <w:rPr>
          <w:rFonts w:ascii="Arial" w:cs="Arial" w:eastAsia="Arial" w:hAnsi="Arial"/>
          <w:sz w:val="17"/>
          <w:szCs w:val="17"/>
          <w:color w:val="auto"/>
        </w:rPr>
        <w:t>.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 in this offering.</w:t>
      </w:r>
    </w:p>
    <w:p>
      <w:pPr>
        <w:spacing w:after="0" w:line="17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prospectus contains references to our trademarks and to trademarks and trade names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20" w:type="dxa"/>
            <w:vAlign w:val="bottom"/>
          </w:tcPr>
          <w:p>
            <w:pPr>
              <w:ind w:left="1200"/>
              <w:spacing w:after="0"/>
              <w:rPr>
                <w:sz w:val="20"/>
                <w:szCs w:val="20"/>
                <w:color w:val="auto"/>
              </w:rPr>
            </w:pPr>
            <w:r>
              <w:rPr>
                <w:rFonts w:ascii="Arial" w:cs="Arial" w:eastAsia="Arial" w:hAnsi="Arial"/>
                <w:sz w:val="18"/>
                <w:szCs w:val="18"/>
                <w:b w:val="1"/>
                <w:bCs w:val="1"/>
                <w:color w:val="auto"/>
              </w:rPr>
              <w:t>The Offering</w:t>
            </w:r>
          </w:p>
        </w:tc>
        <w:tc>
          <w:tcPr>
            <w:tcW w:w="2220" w:type="dxa"/>
            <w:vAlign w:val="bottom"/>
          </w:tcPr>
          <w:p>
            <w:pPr>
              <w:spacing w:after="0"/>
              <w:rPr>
                <w:sz w:val="20"/>
                <w:szCs w:val="20"/>
                <w:color w:val="auto"/>
              </w:rPr>
            </w:pPr>
          </w:p>
        </w:tc>
      </w:tr>
      <w:tr>
        <w:trPr>
          <w:trHeight w:val="634"/>
        </w:trPr>
        <w:tc>
          <w:tcPr>
            <w:tcW w:w="2580" w:type="dxa"/>
            <w:vAlign w:val="bottom"/>
          </w:tcPr>
          <w:p>
            <w:pPr>
              <w:spacing w:after="0"/>
              <w:rPr>
                <w:sz w:val="20"/>
                <w:szCs w:val="20"/>
                <w:color w:val="auto"/>
              </w:rPr>
            </w:pPr>
            <w:r>
              <w:rPr>
                <w:rFonts w:ascii="Arial" w:cs="Arial" w:eastAsia="Arial" w:hAnsi="Arial"/>
                <w:sz w:val="18"/>
                <w:szCs w:val="18"/>
                <w:b w:val="1"/>
                <w:bCs w:val="1"/>
                <w:color w:val="auto"/>
              </w:rPr>
              <w:t>Units offered by us</w:t>
            </w: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0"/>
              </w:rPr>
              <w:t>Up to 6,024,096 units, each consisting of one share of our common stock and one common warrant to purchase one</w:t>
            </w:r>
          </w:p>
        </w:tc>
      </w:tr>
      <w:tr>
        <w:trPr>
          <w:trHeight w:val="230"/>
        </w:trPr>
        <w:tc>
          <w:tcPr>
            <w:tcW w:w="2580" w:type="dxa"/>
            <w:vAlign w:val="bottom"/>
          </w:tcPr>
          <w:p>
            <w:pPr>
              <w:spacing w:after="0"/>
              <w:rPr>
                <w:sz w:val="20"/>
                <w:szCs w:val="20"/>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share of our common stock.</w:t>
            </w:r>
          </w:p>
        </w:tc>
        <w:tc>
          <w:tcPr>
            <w:tcW w:w="2220" w:type="dxa"/>
            <w:vAlign w:val="bottom"/>
          </w:tcPr>
          <w:p>
            <w:pPr>
              <w:spacing w:after="0"/>
              <w:rPr>
                <w:sz w:val="20"/>
                <w:szCs w:val="20"/>
                <w:color w:val="auto"/>
              </w:rPr>
            </w:pPr>
          </w:p>
        </w:tc>
      </w:tr>
      <w:tr>
        <w:trPr>
          <w:trHeight w:val="445"/>
        </w:trPr>
        <w:tc>
          <w:tcPr>
            <w:tcW w:w="2580" w:type="dxa"/>
            <w:vAlign w:val="bottom"/>
          </w:tcPr>
          <w:p>
            <w:pPr>
              <w:spacing w:after="0"/>
              <w:rPr>
                <w:sz w:val="20"/>
                <w:szCs w:val="20"/>
                <w:color w:val="auto"/>
              </w:rPr>
            </w:pPr>
            <w:r>
              <w:rPr>
                <w:rFonts w:ascii="Arial" w:cs="Arial" w:eastAsia="Arial" w:hAnsi="Arial"/>
                <w:sz w:val="18"/>
                <w:szCs w:val="18"/>
                <w:b w:val="1"/>
                <w:bCs w:val="1"/>
                <w:color w:val="auto"/>
                <w:w w:val="98"/>
              </w:rPr>
              <w:t>Pre-funded units offered by us</w:t>
            </w: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7"/>
              </w:rPr>
              <w:t>We are also offering to each purchaser whose purchase of units in this offering would otherwise result in the</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8"/>
              </w:rPr>
              <w:t>purchaser, together with its affiliates and certain related parties, beneficially owning more than 4.99% of our</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2"/>
              </w:rPr>
              <w:t>outstanding common stock immediately following the consummation of this offering, the opportunity to purchase, if</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1"/>
              </w:rPr>
              <w:t>the purchaser so chooses, pre-funded units (each pre-funded unit consisting of one pre-funded warrant to purchase</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3"/>
              </w:rPr>
              <w:t>one share of our common stock and one common warrant to purchase one share of our common stock) in lieu of</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7"/>
              </w:rPr>
              <w:t>units that would otherwise result in the purchaser’s beneficial ownership exceeding 4.99% of our outstanding</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3"/>
              </w:rPr>
              <w:t>common stock (or, at the election of the purchaser, 9.99%). The purchase price of each pre-funded unit will equal</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2"/>
              </w:rPr>
              <w:t>the price at which the units are being sold to the public in this offering, minus $0.01, and the exercise price of each</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7"/>
              </w:rPr>
              <w:t>pre-funded warrant included in each pre-funded unit will be $0.01 per share. The pre-funded warrants will be</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2"/>
              </w:rPr>
              <w:t>immediately exercisable and may be exercised at any time until the pre-funded warrants are exercised in full. This</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2"/>
              </w:rPr>
              <w:t>offering also relates to the shares of common stock issuable upon exercise of any pre-funded warrants sold in this</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3"/>
              </w:rPr>
              <w:t>offering. For each pre-funded unit we sell, the number of units we are offering will be decreased on a one-for-one</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5"/>
              </w:rPr>
              <w:t>basis. Because we will issue a common warrant as part of each unit or pre-funded unit, the number of common</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5"/>
              </w:rPr>
              <w:t>warrants sold in this offering will not change as a result of a change in the mix of the units and pre-funded units</w:t>
            </w:r>
          </w:p>
        </w:tc>
      </w:tr>
      <w:tr>
        <w:trPr>
          <w:trHeight w:val="230"/>
        </w:trPr>
        <w:tc>
          <w:tcPr>
            <w:tcW w:w="2580" w:type="dxa"/>
            <w:vAlign w:val="bottom"/>
          </w:tcPr>
          <w:p>
            <w:pPr>
              <w:spacing w:after="0"/>
              <w:rPr>
                <w:sz w:val="20"/>
                <w:szCs w:val="20"/>
                <w:color w:val="auto"/>
              </w:rPr>
            </w:pPr>
          </w:p>
        </w:tc>
        <w:tc>
          <w:tcPr>
            <w:tcW w:w="1280" w:type="dxa"/>
            <w:vAlign w:val="bottom"/>
          </w:tcPr>
          <w:p>
            <w:pPr>
              <w:ind w:left="100"/>
              <w:spacing w:after="0"/>
              <w:rPr>
                <w:sz w:val="20"/>
                <w:szCs w:val="20"/>
                <w:color w:val="auto"/>
              </w:rPr>
            </w:pPr>
            <w:r>
              <w:rPr>
                <w:rFonts w:ascii="Arial" w:cs="Arial" w:eastAsia="Arial" w:hAnsi="Arial"/>
                <w:sz w:val="18"/>
                <w:szCs w:val="18"/>
                <w:color w:val="auto"/>
              </w:rPr>
              <w:t>sold.</w:t>
            </w:r>
          </w:p>
        </w:tc>
        <w:tc>
          <w:tcPr>
            <w:tcW w:w="50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45"/>
        </w:trPr>
        <w:tc>
          <w:tcPr>
            <w:tcW w:w="2580" w:type="dxa"/>
            <w:vAlign w:val="bottom"/>
          </w:tcPr>
          <w:p>
            <w:pPr>
              <w:spacing w:after="0"/>
              <w:rPr>
                <w:sz w:val="20"/>
                <w:szCs w:val="20"/>
                <w:color w:val="auto"/>
              </w:rPr>
            </w:pPr>
            <w:r>
              <w:rPr>
                <w:rFonts w:ascii="Arial" w:cs="Arial" w:eastAsia="Arial" w:hAnsi="Arial"/>
                <w:sz w:val="18"/>
                <w:szCs w:val="18"/>
                <w:b w:val="1"/>
                <w:bCs w:val="1"/>
                <w:color w:val="auto"/>
                <w:w w:val="92"/>
              </w:rPr>
              <w:t>Common warrants offered by us</w:t>
            </w: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3"/>
              </w:rPr>
              <w:t>Common warrants to purchase an aggregate of 6,024,096 shares of our common stock. Each unit and each pre-</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4"/>
              </w:rPr>
              <w:t>funded unit includes a common warrant to purchase one share of our common stock. Each common warrant will</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0"/>
              </w:rPr>
              <w:t>have an assumed exercise price of $1.66 per share (representing 100% of the assumed public offering price per unit</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4"/>
              </w:rPr>
              <w:t>to be sold in this offering) (which may be adjusted as set forth in this prospectus), will be immediately separable</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2"/>
              </w:rPr>
              <w:t>from the common stock or pre-funded warrant, as the case may be, will be immediately exercisable and will expire</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4"/>
              </w:rPr>
              <w:t>on the fifth anniversary of the original issuance date. This prospectus also relates to the offering of the shares of</w:t>
            </w:r>
          </w:p>
        </w:tc>
      </w:tr>
      <w:tr>
        <w:trPr>
          <w:trHeight w:val="230"/>
        </w:trPr>
        <w:tc>
          <w:tcPr>
            <w:tcW w:w="2580" w:type="dxa"/>
            <w:vAlign w:val="bottom"/>
          </w:tcPr>
          <w:p>
            <w:pPr>
              <w:spacing w:after="0"/>
              <w:rPr>
                <w:sz w:val="20"/>
                <w:szCs w:val="20"/>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common stock issuable upon exercise of the common warrants.</w:t>
            </w:r>
          </w:p>
        </w:tc>
        <w:tc>
          <w:tcPr>
            <w:tcW w:w="2220" w:type="dxa"/>
            <w:vAlign w:val="bottom"/>
          </w:tcPr>
          <w:p>
            <w:pPr>
              <w:spacing w:after="0"/>
              <w:rPr>
                <w:sz w:val="20"/>
                <w:szCs w:val="20"/>
                <w:color w:val="auto"/>
              </w:rPr>
            </w:pPr>
          </w:p>
        </w:tc>
      </w:tr>
      <w:tr>
        <w:trPr>
          <w:trHeight w:val="441"/>
        </w:trPr>
        <w:tc>
          <w:tcPr>
            <w:tcW w:w="2580" w:type="dxa"/>
            <w:vAlign w:val="bottom"/>
          </w:tcPr>
          <w:p>
            <w:pPr>
              <w:spacing w:after="0"/>
              <w:rPr>
                <w:sz w:val="20"/>
                <w:szCs w:val="20"/>
                <w:color w:val="auto"/>
              </w:rPr>
            </w:pPr>
            <w:r>
              <w:rPr>
                <w:rFonts w:ascii="Arial" w:cs="Arial" w:eastAsia="Arial" w:hAnsi="Arial"/>
                <w:sz w:val="18"/>
                <w:szCs w:val="18"/>
                <w:b w:val="1"/>
                <w:bCs w:val="1"/>
                <w:color w:val="auto"/>
              </w:rPr>
              <w:t>Option to purchase additional</w:t>
            </w: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2"/>
              </w:rPr>
              <w:t>The underwriter has the option to purchase up to an additional 903,614 shares of our common stock at a purchase</w:t>
            </w:r>
          </w:p>
        </w:tc>
      </w:tr>
      <w:tr>
        <w:trPr>
          <w:trHeight w:val="220"/>
        </w:trPr>
        <w:tc>
          <w:tcPr>
            <w:tcW w:w="258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1280" w:type="dxa"/>
            <w:vAlign w:val="bottom"/>
          </w:tcPr>
          <w:p>
            <w:pPr>
              <w:ind w:left="100"/>
              <w:spacing w:after="0"/>
              <w:rPr>
                <w:sz w:val="20"/>
                <w:szCs w:val="20"/>
                <w:color w:val="auto"/>
              </w:rPr>
            </w:pPr>
            <w:r>
              <w:rPr>
                <w:rFonts w:ascii="Arial" w:cs="Arial" w:eastAsia="Arial" w:hAnsi="Arial"/>
                <w:sz w:val="18"/>
                <w:szCs w:val="18"/>
                <w:color w:val="auto"/>
              </w:rPr>
              <w:t>price of $</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w w:val="91"/>
              </w:rPr>
              <w:t>per share and/or common warrants to purchase up to an aggregate of 903,614 shares of common</w:t>
            </w:r>
          </w:p>
        </w:tc>
      </w:tr>
      <w:tr>
        <w:trPr>
          <w:trHeight w:val="216"/>
        </w:trPr>
        <w:tc>
          <w:tcPr>
            <w:tcW w:w="2580" w:type="dxa"/>
            <w:vAlign w:val="bottom"/>
          </w:tcPr>
          <w:p>
            <w:pPr>
              <w:spacing w:after="0"/>
              <w:rPr>
                <w:sz w:val="18"/>
                <w:szCs w:val="18"/>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w w:val="94"/>
              </w:rPr>
              <w:t>stock at a purchase price of $0.01 per common warrant with an exercise price of $</w:t>
            </w:r>
          </w:p>
        </w:tc>
        <w:tc>
          <w:tcPr>
            <w:tcW w:w="2220" w:type="dxa"/>
            <w:vAlign w:val="bottom"/>
          </w:tcPr>
          <w:p>
            <w:pPr>
              <w:ind w:left="180"/>
              <w:spacing w:after="0"/>
              <w:rPr>
                <w:sz w:val="20"/>
                <w:szCs w:val="20"/>
                <w:color w:val="auto"/>
              </w:rPr>
            </w:pPr>
            <w:r>
              <w:rPr>
                <w:rFonts w:ascii="Arial" w:cs="Arial" w:eastAsia="Arial" w:hAnsi="Arial"/>
                <w:sz w:val="18"/>
                <w:szCs w:val="18"/>
                <w:color w:val="auto"/>
                <w:w w:val="91"/>
              </w:rPr>
              <w:t>per share, less underwriting</w:t>
            </w:r>
          </w:p>
        </w:tc>
      </w:tr>
      <w:tr>
        <w:trPr>
          <w:trHeight w:val="216"/>
        </w:trPr>
        <w:tc>
          <w:tcPr>
            <w:tcW w:w="2580" w:type="dxa"/>
            <w:vAlign w:val="bottom"/>
          </w:tcPr>
          <w:p>
            <w:pPr>
              <w:spacing w:after="0"/>
              <w:rPr>
                <w:sz w:val="18"/>
                <w:szCs w:val="18"/>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w w:val="94"/>
              </w:rPr>
              <w:t>discounts and commissions. The underwriter can exercise this option at any time within 30 days from the date of</w:t>
            </w:r>
          </w:p>
        </w:tc>
      </w:tr>
      <w:tr>
        <w:trPr>
          <w:trHeight w:val="230"/>
        </w:trPr>
        <w:tc>
          <w:tcPr>
            <w:tcW w:w="2580" w:type="dxa"/>
            <w:vAlign w:val="bottom"/>
          </w:tcPr>
          <w:p>
            <w:pPr>
              <w:spacing w:after="0"/>
              <w:rPr>
                <w:sz w:val="20"/>
                <w:szCs w:val="20"/>
                <w:color w:val="auto"/>
              </w:rPr>
            </w:pPr>
          </w:p>
        </w:tc>
        <w:tc>
          <w:tcPr>
            <w:tcW w:w="1280" w:type="dxa"/>
            <w:vAlign w:val="bottom"/>
          </w:tcPr>
          <w:p>
            <w:pPr>
              <w:ind w:left="100"/>
              <w:spacing w:after="0"/>
              <w:rPr>
                <w:sz w:val="20"/>
                <w:szCs w:val="20"/>
                <w:color w:val="auto"/>
              </w:rPr>
            </w:pPr>
            <w:r>
              <w:rPr>
                <w:rFonts w:ascii="Arial" w:cs="Arial" w:eastAsia="Arial" w:hAnsi="Arial"/>
                <w:sz w:val="18"/>
                <w:szCs w:val="18"/>
                <w:color w:val="auto"/>
                <w:w w:val="91"/>
              </w:rPr>
              <w:t>this prospectus.</w:t>
            </w:r>
          </w:p>
        </w:tc>
        <w:tc>
          <w:tcPr>
            <w:tcW w:w="502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100"/>
          </w:cols>
          <w:pgMar w:left="400" w:top="904" w:right="399" w:bottom="0" w:gutter="0" w:footer="0" w:header="0"/>
        </w:sectPr>
      </w:pPr>
      <w:r>
        <w:rPr>
          <w:sz w:val="20"/>
          <w:szCs w:val="20"/>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10170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2175" cy="10170160"/>
                    </a:xfrm>
                    <a:prstGeom prst="rect">
                      <a:avLst/>
                    </a:prstGeom>
                    <a:noFill/>
                  </pic:spPr>
                </pic:pic>
              </a:graphicData>
            </a:graphic>
          </wp:anchor>
        </w:drawing>
      </w:r>
    </w:p>
    <w:p>
      <w:pPr>
        <w:spacing w:after="0" w:line="225" w:lineRule="exact"/>
        <w:rPr>
          <w:sz w:val="20"/>
          <w:szCs w:val="20"/>
          <w:color w:val="auto"/>
        </w:rPr>
      </w:pPr>
    </w:p>
    <w:p>
      <w:pPr>
        <w:spacing w:after="0" w:line="313" w:lineRule="auto"/>
        <w:rPr>
          <w:sz w:val="20"/>
          <w:szCs w:val="20"/>
          <w:color w:val="auto"/>
        </w:rPr>
      </w:pPr>
      <w:r>
        <w:rPr>
          <w:rFonts w:ascii="Arial" w:cs="Arial" w:eastAsia="Arial" w:hAnsi="Arial"/>
          <w:sz w:val="15"/>
          <w:szCs w:val="15"/>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9,036,439 shares (assuming no exercise of the underwriter’s option to purchase additional securities, assuming no sale of any pre-funded units and assuming none of the common warrants issued in this offering are exercised).</w:t>
      </w:r>
    </w:p>
    <w:p>
      <w:pPr>
        <w:spacing w:after="0" w:line="1" w:lineRule="exact"/>
        <w:rPr>
          <w:sz w:val="20"/>
          <w:szCs w:val="20"/>
          <w:color w:val="auto"/>
        </w:rPr>
      </w:pPr>
    </w:p>
    <w:p>
      <w:pPr>
        <w:sectPr>
          <w:pgSz w:w="11900" w:h="16838" w:orient="portrait"/>
          <w:cols w:equalWidth="0" w:num="2">
            <w:col w:w="2540" w:space="140"/>
            <w:col w:w="8420"/>
          </w:cols>
          <w:pgMar w:left="400" w:top="904" w:right="399" w:bottom="0" w:gutter="0" w:footer="0" w:header="0"/>
          <w:type w:val="continuous"/>
        </w:sectPr>
      </w:pPr>
    </w:p>
    <w:p>
      <w:pPr>
        <w:spacing w:after="0"/>
        <w:rPr>
          <w:sz w:val="20"/>
          <w:szCs w:val="20"/>
          <w:color w:val="auto"/>
        </w:rPr>
      </w:pPr>
      <w:r>
        <w:rPr>
          <w:rFonts w:ascii="Arial" w:cs="Arial" w:eastAsia="Arial" w:hAnsi="Arial"/>
          <w:sz w:val="15"/>
          <w:szCs w:val="15"/>
          <w:b w:val="1"/>
          <w:bCs w:val="1"/>
          <w:color w:val="auto"/>
        </w:rPr>
        <w:t>(1)</w:t>
      </w:r>
    </w:p>
    <w:p>
      <w:pPr>
        <w:spacing w:after="0" w:line="255"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b w:val="1"/>
          <w:bCs w:val="1"/>
          <w:color w:val="auto"/>
        </w:rPr>
        <w:t>Public offering price</w:t>
      </w:r>
      <w:r>
        <w:rPr>
          <w:sz w:val="20"/>
          <w:szCs w:val="20"/>
          <w:color w:val="auto"/>
        </w:rPr>
        <w:tab/>
      </w:r>
      <w:r>
        <w:rPr>
          <w:rFonts w:ascii="Arial" w:cs="Arial" w:eastAsia="Arial" w:hAnsi="Arial"/>
          <w:sz w:val="17"/>
          <w:szCs w:val="17"/>
          <w:color w:val="auto"/>
        </w:rPr>
        <w:t>The assumed public offering price is $1.66 per unit and $1.65 per pre-funded unit, which is based on the closing</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price for our common stock as reported on The Nasdaq Capital Market on December 24, 2018. The actual offering</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price per each unit and pre-funded unit will be negotiated between us and the underwriter based on the trading of</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our common stock prior to the offering, among other things, and may be at a discount to the current market price.</w:t>
      </w:r>
    </w:p>
    <w:p>
      <w:pPr>
        <w:spacing w:after="0" w:line="257"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intend to use the net proceeds from this offering for attaining regulatory approvals for our SCS device for the</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treatment of hydrocephalus and NPH; expanding and developing the applications of our existing ViRob and SCS IP</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prototypes into other areas of CSF management, such as EVD, through regulatory submission; developing the</w:t>
      </w:r>
    </w:p>
    <w:p>
      <w:pPr>
        <w:ind w:left="2680"/>
        <w:spacing w:after="0" w:line="214"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including the potential addition of complementary assets to the CardioSert portfolio either</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through internal development or acquisition, for neurovascular disorders from proof of concept to pre-clinical</w:t>
      </w:r>
    </w:p>
    <w:p>
      <w:pPr>
        <w:spacing w:after="0" w:line="1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studies; and for working capital and other general corporate purposes. See “Use of Proceeds.”</w:t>
      </w:r>
    </w:p>
    <w:p>
      <w:pPr>
        <w:spacing w:after="0" w:line="207"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7"/>
          <w:szCs w:val="17"/>
          <w:color w:val="auto"/>
        </w:rPr>
        <w:t>An investment in our securities involves a high degree of risk. See “Risk Factors” beginning on page 7 of this</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prospectus and the similarly titled sections in the documents incorporated by reference into this prospectus.</w:t>
      </w:r>
    </w:p>
    <w:p>
      <w:pPr>
        <w:spacing w:after="0" w:line="218"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b w:val="1"/>
          <w:bCs w:val="1"/>
          <w:color w:val="auto"/>
        </w:rPr>
        <w:t>Nasdaq Capital Market trading</w:t>
      </w:r>
      <w:r>
        <w:rPr>
          <w:sz w:val="20"/>
          <w:szCs w:val="20"/>
          <w:color w:val="auto"/>
        </w:rPr>
        <w:tab/>
      </w:r>
      <w:r>
        <w:rPr>
          <w:rFonts w:ascii="Arial" w:cs="Arial" w:eastAsia="Arial" w:hAnsi="Arial"/>
          <w:sz w:val="16"/>
          <w:szCs w:val="16"/>
          <w:color w:val="auto"/>
        </w:rPr>
        <w:t>Our common stock is listed on The Nasdaq Capital Market under the symbol “MBOT.” We do not intend to apply</w:t>
      </w:r>
    </w:p>
    <w:p>
      <w:pPr>
        <w:spacing w:after="0" w:line="27"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auto"/>
        </w:rPr>
        <w:t>symbol</w:t>
      </w:r>
      <w:r>
        <w:rPr>
          <w:sz w:val="20"/>
          <w:szCs w:val="20"/>
          <w:color w:val="auto"/>
        </w:rPr>
        <w:tab/>
      </w:r>
      <w:r>
        <w:rPr>
          <w:rFonts w:ascii="Arial" w:cs="Arial" w:eastAsia="Arial" w:hAnsi="Arial"/>
          <w:sz w:val="16"/>
          <w:szCs w:val="16"/>
          <w:color w:val="auto"/>
        </w:rPr>
        <w:t>for listing of the common warrants or pre-funded warrants on any securities exchange or other nationally recognized</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trading system. There is no established public trading market for the common warrants or pre-funded warrants, and</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we do not expect a market to develop. Without an active trading market, the liquidity of the common warrants and</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pre-funded warrants will be limited.</w:t>
      </w:r>
    </w:p>
    <w:p>
      <w:pPr>
        <w:spacing w:after="0" w:line="211" w:lineRule="exact"/>
        <w:rPr>
          <w:sz w:val="20"/>
          <w:szCs w:val="20"/>
          <w:color w:val="auto"/>
        </w:rPr>
      </w:pPr>
    </w:p>
    <w:p>
      <w:pPr>
        <w:ind w:left="660" w:right="2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of our common stock to be outstanding after this offering is based on 3,012,343 shares of common stock outstanding as of December 24 , 2018, and excludes, as of December 24 , 2018:</w:t>
      </w:r>
    </w:p>
    <w:p>
      <w:pPr>
        <w:spacing w:after="0" w:line="170" w:lineRule="exact"/>
        <w:rPr>
          <w:sz w:val="20"/>
          <w:szCs w:val="20"/>
          <w:color w:val="auto"/>
        </w:rPr>
      </w:pPr>
    </w:p>
    <w:p>
      <w:pPr>
        <w:ind w:left="660" w:right="2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422,478 shares of our common stock issuable upon the exercise of outstanding stock options, with exercise prices ranging from $0 to $19.35 and having a weighted-average exercise price of $11.70 per share;</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211,239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7,531 shares of our common stock issuable upon the exercise of outstanding warrants, with exercise prices ranging from approximately $40.00 to $2,885 per share and having a weighted-average exercise price of $1,697 per share;</w:t>
      </w:r>
    </w:p>
    <w:p>
      <w:pPr>
        <w:sectPr>
          <w:pgSz w:w="11900" w:h="16838" w:orient="portrait"/>
          <w:cols w:equalWidth="0" w:num="1">
            <w:col w:w="11100"/>
          </w:cols>
          <w:pgMar w:left="400" w:top="904" w:right="399" w:bottom="0" w:gutter="0" w:footer="0" w:header="0"/>
          <w:type w:val="continuous"/>
        </w:sectPr>
      </w:pPr>
    </w:p>
    <w:bookmarkStart w:id="11" w:name="page12"/>
    <w:bookmarkEnd w:id="11"/>
    <w:p>
      <w:pPr>
        <w:ind w:left="660" w:hanging="331"/>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6,024,096 shares of common stock issuable upon the exercise of common warrants to be issued to investors in this offering at an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-107315</wp:posOffset>
            </wp:positionV>
            <wp:extent cx="7242175" cy="1833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2175" cy="1833245"/>
                    </a:xfrm>
                    <a:prstGeom prst="rect">
                      <a:avLst/>
                    </a:prstGeom>
                    <a:noFill/>
                  </pic:spPr>
                </pic:pic>
              </a:graphicData>
            </a:graphic>
          </wp:anchor>
        </w:drawing>
      </w:r>
    </w:p>
    <w:p>
      <w:pPr>
        <w:spacing w:after="0" w:line="26"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5"/>
          <w:szCs w:val="15"/>
          <w:color w:val="auto"/>
        </w:rPr>
        <w:t>per share; and</w:t>
      </w:r>
    </w:p>
    <w:p>
      <w:pPr>
        <w:spacing w:after="0" w:line="211" w:lineRule="exact"/>
        <w:rPr>
          <w:sz w:val="20"/>
          <w:szCs w:val="20"/>
          <w:color w:val="auto"/>
        </w:rPr>
      </w:pPr>
    </w:p>
    <w:p>
      <w:pPr>
        <w:ind w:left="660" w:right="20" w:hanging="331"/>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301,204 shares (or 346,385 shares if the underwriter’s option to purchase additional securities is exercised in full) of our common stock issuable upon exercise of the warrants being issued to the underwriter in connection with this offering.</w:t>
      </w:r>
    </w:p>
    <w:p>
      <w:pPr>
        <w:spacing w:after="0" w:line="1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Except as otherwise indicated herein, all information in this prospectus, including the number of shares that will be outstanding after this offering, does not assume or give effect to the exercise of options or warrants outstanding as of December 24, 2018 and assumes no sale of any pre-funded units in this offering.</w:t>
      </w:r>
    </w:p>
    <w:p>
      <w:pPr>
        <w:spacing w:after="0" w:line="174"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2"/>
          <w:szCs w:val="22"/>
          <w:color w:val="auto"/>
        </w:rPr>
        <w:t>Unless otherwise indicated, all information contained in this prospectus assumes no exercise by the underwriter of its option to purchase additional securities.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125" w:right="3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Investing in our securities involves a high degree of risk. You should consider carefully the risks described below, together with all of the other information included or incorporated by reference in this prospectus, including the risks and uncertainties discussed under “Risk Factors” in our Annual Report on Form 10-K for the fiscal year ended December 31, 2017 and in our Quarterly Report on Form 10-Q for the fiscal quarter ended September 30, 2018, before deciding whether to purchase our securities in this offering. All of these risk factors are incorporated herein in their entirety. The risks described below and incorporated by reference are material risks currently known, expected or reasonably foreseeable by us. However, the risks described below or that we incorporate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common stock and the value of the warrants to decline, resulting in a loss of all or part of your investment.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lead product candidate, the SCS. If Microbot is unable to commercialize the SCS or experiences significant delays in doing so, Microbot’s business will be materially harmed.</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January 27, 2017, Microbot entered into a research agreement with Washington University in St. Louis to develop the protocol for and to execute the necessary animal study to determine the effectiveness of the Microbot’s SCS prototype. The initial research was completed in 2017 with a comprehensive study expected to be completed in 2019. Upon the completion of animal studies, Microbot may conduct clinical trials if they are requested by the FDA or if Microbot decides that the data from such trials would improve the marketability of the product candidate. After all necessary clinical and performance data supporting the safety and effectiveness of SCS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in the treatment of hydrocephalus. The success of commercializing SCS will depend on a number of factors, including the following:</w:t>
      </w:r>
    </w:p>
    <w:p>
      <w:pPr>
        <w:spacing w:after="0" w:line="17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generating commercial sales of SCS, if and when approved, whether alone or in collaboration with other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acceptance of SCS, if and when commercially launched, by the medical community, patients and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effectively competing with existing shunt and endoscope products on the market and any new competing products that may enter the market;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SCS following clearance or approval.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Microbot does not achieve one or more of these factors in a timely manner or at all, it could experience significant delays or an inability to successfully commercialize SCS, which would materially harm its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ability to expand our technology platforms for other uses, including endovascular neurosurgery other than for the treatment of hydrocephalus, may be limited.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spending time working with experts in the field, Microbot has recently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competitors that have developed or are developing endoluminal robotics surgical systems include Corindus Vascular Robotics, Inc., Hansen Medical, Inc. Auris Health, Inc., Stereotaxis, Inc., Medrobotics Corporation and others. 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and products that it is seeking to develop or commercialize with respect to its other product candidates in the future.</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4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Microbot anticipates that its lead product candidate, the SCS, will be classified by the FDA as Class II and thus be eligible for marketing pursuant to a cleared 510(k) notification. However, there is no guarantee that the FDA will agree with the Company’s determination or that the FDA would accept the predicate device that Microbot intends to submit in its 510(k) notification in order to establish that its new device product is substantially equivalent to one or more predicate devices. The FDA also may request additional data in response to a 510(k) notification, or require Microbot to conduct further testing or compile more data in support of its 510(k) submission.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ind w:firstLine="324"/>
        <w:spacing w:after="0" w:line="302" w:lineRule="auto"/>
        <w:rPr>
          <w:sz w:val="20"/>
          <w:szCs w:val="20"/>
          <w:color w:val="auto"/>
        </w:rPr>
      </w:pPr>
      <w:r>
        <w:rPr>
          <w:rFonts w:ascii="Arial" w:cs="Arial" w:eastAsia="Arial" w:hAnsi="Arial"/>
          <w:sz w:val="16"/>
          <w:szCs w:val="16"/>
          <w:color w:val="auto"/>
        </w:rPr>
        <w:t>Thus, the addition of one or more mandatory clinical trials to the development timeline for the SCS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depending on their nature, scope and applicability. Microbot and its business, financial condition and operating results could be materially and adversely affected as a result of any such costs, delays or uncertainty.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 if you purchase securities in this offering.</w:t>
      </w:r>
    </w:p>
    <w:p>
      <w:pPr>
        <w:spacing w:after="0" w:line="225"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7"/>
          <w:szCs w:val="17"/>
          <w:color w:val="auto"/>
        </w:rPr>
        <w:t>As of September 30, 2018, our net tangible book value was approximately $6,566,000 , or $2.2066 per share. You will not suffer any dilution if you purchase securities in this offering with respect to the net tangible book value of the common stock included in the units or issuable upon the exercise of the common warrants or the pre-funded warrants issued in this offering, based on the assumed public offering price of $1.66 per unit being sold in this offering (the closing price of our common stock on The Nasdaq Capital Market on December 24, 2018) and our net tangible book value per share as of September 30, 2018. However, upon certain circumstances such as increases in the actual public offering price per share in this offering, you can suffer immediate and substantial dilution per share with respect to the net tangible book value of the common stock included in the units or issuable upon the exercise of the common warrants or the pre-funded warrants issued in this offering. See the section entitled “Dilution” for a more detailed discussion of the dilution, if any, you will incur if you purchase units in this offering. The discussion above assumes (i) no sale of common warrants or the pre-funded warrants, which, if sold, would reduce the number of shares of common stock that we are offering on a one-for-one basis until such warrants are exercised and (ii) no exercise by the underwriter of the Underwriter’s Warrants.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is no public market for the common warrants or the pre-funded warrants being offered in this offering.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is no established public trading market for the common warrants or the pre-funded warrants being offered in this offering, and we do not expect a market to develop. In addition, we do not intend to apply to list the common warrants or the pre-funded warrants on any securities exchange or nationally recognized trading system, including The Nasdaq Capital Market. Without an active market, the liquidity of the common warrants and the pre-funded warrants will be limited.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lawsuit that could adversely affect our business and our use of proceeds from this offering.</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named as the defendant in a lawsuit, which we refer to as the Matter, captioned Sabby Healthcare Master Fund Ltd. and Sabby Volatility Warrant Master Fund Ltd., Plaintiffs, against Microbot Medical Inc., Defendant, pending in the Supreme Court of the State of New York, County of New York (the “Court”) (Index No. 654581/2017). The complaint alleges, among other things, that we breached multiple representations and warranties contained in the Securities Purchase Agreement (the “SPA”) related to our June 8, 2017 equity financing, or the Financing, of which the Plaintiffs participated. The complaint seeks rescission of the SPA and return of the Plaintiffs’ $3,375,000 purchase price with respect to the Financing, and damages in an amount to be determined at trial, but alleged to exceed $1 million. On August 3, 2018, both Plaintiffs and Defendant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our motion for summary judgment regarding Plaintiffs’ claim for monetary damages and denying our motion for summary judgment on Plaintiffs’ claim for rescission, finding that there were material questions of fact that would need to be resolved at trial. A trial date has been set for February 11, 2019.</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ind w:firstLine="324"/>
        <w:spacing w:after="0" w:line="273" w:lineRule="auto"/>
        <w:rPr>
          <w:sz w:val="20"/>
          <w:szCs w:val="20"/>
          <w:color w:val="auto"/>
        </w:rPr>
      </w:pPr>
      <w:r>
        <w:rPr>
          <w:rFonts w:ascii="Arial" w:cs="Arial" w:eastAsia="Arial" w:hAnsi="Arial"/>
          <w:sz w:val="17"/>
          <w:szCs w:val="17"/>
          <w:color w:val="auto"/>
        </w:rPr>
        <w:t>We believe that the claims are without merit and have been and intend to continue to defend the action vigorously. However, management is unable to assess the likelihood of the claim and the amount of potential damages, if any, to be awarded. Accordingly, no assurance can be given that any adverse outcome would not be material to our consolidated financial position. Additionally, in the event the court holds for the Plaintiffs in the Matter and we lose our appeals, we will likely be required to use the proceeds from this offering or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be future sales of our securities or other dilution of our equity, which may adversely affect the market price of our common stock.</w:t>
      </w:r>
    </w:p>
    <w:p>
      <w:pPr>
        <w:spacing w:after="0" w:line="23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generally not restricted from issuing additional common stock, including any securities that are convertible into or exchangeable for, or that represent the right to receive, common stock.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common warrants and pre-funded warrants purchased in this offering will have no rights as common stockholders until such holders exercise their respective warrants and acquire our common stock.</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Until holders of common warrants and pre-funded warrants acquire shares of our common stock upon exercise of their respective warrants, holders of such warrants will have no rights with respect to the shares of our common stock underlying such warrants. Upon exercise of such warrants, the holders will be entitled to exercise the rights of a common stockholder only as to matters for which the record date occurs after the applicable exercise date.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capital in the future to continue operations, which may not be available on acceptable terms, or at all. Failure to obtain this necessary capital when needed may force us to delay, limit or terminate our product development efforts or other operations.</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As of September 30, 2018, we had cash and cash equivalents of approximately $6.7 million. We estimate that we will receive net proceeds of approximately $8.7 million from the sale of the securities offered by us in this offering, based on the assumed public offering price of $1.66 per unit (the closing price of our common stock on The Nasdaq Capital Market on December 24 , 2018) and after deducting the estimated underwriting discounts and commissions and estimated offering expenses payable by us, and excluding the proceeds, if any, from the exercise of the common warrants and the pre-funded warrants issued pursuant to this offering. In the event of a decrease in the net proceeds to us from this offering as a result of a decrease in the assumed public offering price or the number of units offered by us, if the Plaintiffs succeed in the Matter or if our use of proceeds changes from our plans as described under “Use of Proceeds”, we may need to raise additional capital sooner than we anticipate. In addition, we cannot provide assurances that our plans will not change or that changed circumstances will not result in the depletion of our capital resources more rapidly than we currently anticipate.</w:t>
      </w:r>
    </w:p>
    <w:p>
      <w:pPr>
        <w:spacing w:after="0" w:line="1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common warrants and the pre-funded warrants in this offering are speculative in nature.</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Neither the common warrants nor the pre-funded warrants in this offering confer any rights of common stock ownership on its holders, such as voting rights or the right to receive dividends, but rather merely represent the right to acquire shares of common stock at a fixed price and, with respect to the common warrants, during a fixed period of time. Specifically, commencing on the date of issuance, holders of the common warrants may exercise their right</w:t>
      </w:r>
    </w:p>
    <w:p>
      <w:pPr>
        <w:jc w:val="both"/>
        <w:spacing w:after="0" w:line="268" w:lineRule="auto"/>
        <w:rPr>
          <w:sz w:val="20"/>
          <w:szCs w:val="20"/>
          <w:color w:val="auto"/>
        </w:rPr>
      </w:pPr>
      <w:r>
        <w:rPr>
          <w:rFonts w:ascii="Arial" w:cs="Arial" w:eastAsia="Arial" w:hAnsi="Arial"/>
          <w:sz w:val="17"/>
          <w:szCs w:val="17"/>
          <w:color w:val="auto"/>
        </w:rPr>
        <w:t>to acquire the common stock and pay an exercise price of $ per share, subject to certain adjustments, prior to the expiration of the common warrants on the fifth anniversary of the original issuance date. Commencing on the date of issuance, holders of the pre-funded warrants may exercise their right to acquire the common stock and pay an exercise price of $0.01 per share, subject to certain adjustments, at any time until the pre-funded warrants are exercised in full. Moreover, following this offering, the market value of the common warrants and the pre-funded warrants, if any, is uncertain and there can be no assurance that the market value of the common warrants or the pre-funded warrants will equal or exceed their imputed offering price. Neither the common warrants nor the pre-funded warrants will be listed or quoted for trading on any market or exchange. There can also be no assurance that the market price of the common stock will ever equal or exceed the exercise price of the common warrants, and consequently, whether it will ever be profitable for holders of the common warrants to exercise the common warrants.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The forward-looking statements are contained principally in the sections entitled “Prospectus Summary,” “Risk Factors,” “Management’s Discussion and Analysis of Financial Condition and Results of Operations” and “Business” in this prospectus or the documents incorporated herein by reference.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9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estimates regarding anticipated operating losses, capital requirements and needs for additional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 when needed and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manufacture, or otherwise secure the manufacture of, sufficient amounts of our product candidates for our preclinical studies and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find and develop applications for our technologies for other neurosurgical conditions besides hydrocephalus;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clinical development and other research and development plans and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regulatory pathways for our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complete preclinical and clinical development of, and obtain regulatory approval of our product candidates and commercialize any approved products on our expected timeframes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content and timing of submissions to and decisions made by the U.S. Food and Drug Administration and other regulatory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leverage the experience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keep management and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capacities and performance of our suppliers, manufacturers and other third parties over whom we have limited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actions of our competitors and success of competing products that are or may become available;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expectations with respect to future growth and investments in our infrastructure, and our ability to effectively manage any such growth;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size and potential growth of the markets for any of our product candidates, and our ability to capture share in or impact the size of those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benefits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any litigation in which we or any of our officers or directors may be involved, including with respect to the Matter;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government regulation and regulatory developments, and our ability and the ability of the third parties with whom we engage to comply with applicable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revenues, capital requirements and need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future planned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achieve and maintain effective internal control over financial reporting in accordance with Section 404 of the Sarbanes-Oxley Act;</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maintain and successfully enforce adequate patent and other intellectual property protection of any of our products and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expected use of the net proceeds from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some cases, you can identify these statements by terms such as “anticipate,” “believe,” “could,” “estimate,” “expect,” “intend,” “may,” “plan,” “potential,” “predict,” “project,” “should,” “will,” “would” or the negative of those terms, and similar expressions that convey uncertainty of future events or outcomes. These forward-looking statements reflect our management’s beliefs and views with respect to future events and are based on estimates and assumptions as of the date of this prospectus and are subject to risks and uncertainties. We discuss many of these risks in greater detail in the documents incorporated by reference herein, usually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w:t>
      </w:r>
    </w:p>
    <w:p>
      <w:pPr>
        <w:sectPr>
          <w:pgSz w:w="11900" w:h="16838" w:orient="portrait"/>
          <w:cols w:equalWidth="0" w:num="1">
            <w:col w:w="11420"/>
          </w:cols>
          <w:pgMar w:left="240" w:top="661" w:right="239" w:bottom="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review of, all potentially available relevant information. These statements are inherently uncertain. Given these uncertainties, you should not place undue reliance on these forward-looking statements.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read this prospectus, the documents that we incorporate by reference into this prospectus and the documents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estimate that we will receive net proceeds of approximately $8.7 million (or approximately $ 10.1 million if the underwriter’s over-allotment option is exercised in full) from the sale of the securities offered by us in this offering, based on the assumed public offering price of $ 1.66 per unit (the closing price of our common stock on The Nasdaq Capital Market on December 24 , 2018), and after deducting the estimated underwriting discounts and commissions and estimated offering expenses payable by us, and excluding the proceeds, if any, from the exercise of any common warrants and pre-funded warrants issued pursuant to this offering.</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 $0.25 increase (decrease) in the assumed public offering price of $ 1.66 per unit would increase (decrease) the expected net proceeds to us from this offering by approximately $ 1.4 million, assuming that the number of units offered by us, as set forth on the cover page of this prospectus, remains the same and after deducting the estimated underwriting discounts and commissions and estimated offering expenses payable by us and excluding the proceeds, if any, from the exercise of the common warrants and the pre-funded warrants issued pursuant to this offering.</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Similarly, a one million share increase in the number of units offered by us, as set forth on the cover page of this prospectus, would increase the net proceeds to us by approximately $1.5 million, and a one million share decrease in the number of units offered by us, as set forth on the cover page of this prospectus, would decrease the net proceeds to us by approximately $1.5 million, in each case assuming the assumed public offering price of $1.66 per unit remains the same, and after deducting estimated underwriting discounts and commissions and estimated offering expenses payable by us and excluding the proceeds, if any, from the exercise of the common warrants and the pre-funded warrants issued pursuant to this offering.</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currently intend to use the net proceeds from this offering for attaining regulatory approvals for our SCS device for the treatment of hydrocephalus and NPH; expanding and developing the applications of our existing ViRob and SCS IP and prototypes into other areas of CSF management, such as EVD,</w:t>
      </w:r>
    </w:p>
    <w:p>
      <w:pPr>
        <w:jc w:val="both"/>
        <w:spacing w:after="0" w:line="244" w:lineRule="auto"/>
        <w:rPr>
          <w:sz w:val="20"/>
          <w:szCs w:val="20"/>
          <w:color w:val="auto"/>
        </w:rPr>
      </w:pPr>
      <w:r>
        <w:rPr>
          <w:rFonts w:ascii="Arial" w:cs="Arial" w:eastAsia="Arial" w:hAnsi="Arial"/>
          <w:sz w:val="17"/>
          <w:szCs w:val="17"/>
          <w:color w:val="auto"/>
        </w:rPr>
        <w:t>through regulatory submission; developing the CardioSert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technology, including the potential addition of complementary assets to the CardioSert portfolio either through internal development or acquisition, for neurovascular disorders from proof of concept to pre-clinical studies; and for working capital and other general corporate purposes. See “Risk Factors” for a discussion of certain risks that may affect our intended use of the net proceeds from this offering, including with respect to the Matter. We may also use a portion of the net proceeds from this offering to in-license, acquire, or invest in complementary businesses, technologies, products or assets. However, we have no current commitments or obligations to do so.</w:t>
      </w:r>
    </w:p>
    <w:p>
      <w:pPr>
        <w:spacing w:after="0" w:line="20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currently anticipate that our existing resources, together with the expected net proceeds from this offering, will be sufficient to fund our planned operations until December 2020.</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 As of the date of this prospectus, we cannot currently allocate specific percentages of the net proceeds that we may use for the purposes specified above, and we cannot predict with 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our ability to obtain additional financing, the progress, cost and results of our preclinical and clinical development programs and whether we are able to enter into future licensing or collaboration arrangements. We may find it necessary or advisable to use the net proceeds for other purposes, and our management will have broad discretion in the application of the net proceeds, and investors will be relying on our judgment regarding the application of the net proceeds from this offering.</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Pending the use of the net proceeds from this offering, we intend to invest the net proceeds in investment-grade, interest-bearing instruments.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PRICE RANGE OF OUR COMMON STOCK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common stock is listed on The Nasdaq Capital Market under the symbol “MBOT.” On December 24 , 2018, the closing price for our common stock as reported on The Nasdaq Capital Market was $1.66 per share. The following table sets forth the ranges of high and low sales prices per share of our common stock as reported on The Nasdaq Capital Market for the period indicated. Such quotations represent inter-dealer prices without retail markup, markdown or commission and may not necessarily represent actual transactions.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High(1)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Low(1)</w:t>
            </w:r>
          </w:p>
        </w:tc>
      </w:tr>
      <w:tr>
        <w:trPr>
          <w:trHeight w:val="216"/>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1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First Quarter</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149.10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Third Quarter</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23.25</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Year Ending December 31, 2018</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Second Quarter</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Fourth Quarter (through December 24 , 2018)</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128270</wp:posOffset>
            </wp:positionV>
            <wp:extent cx="21437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3760" cy="17145"/>
                    </a:xfrm>
                    <a:prstGeom prst="rect">
                      <a:avLst/>
                    </a:prstGeom>
                    <a:noFill/>
                  </pic:spPr>
                </pic:pic>
              </a:graphicData>
            </a:graphic>
          </wp:anchor>
        </w:drawing>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Adjusted for our one-for-fifteen reverse stock split on September 4, 2018.</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24 , 2018, there were approximately 176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you invest in our securities in this offering, your ownership interest will be diluted immediately to the extent of the difference between the effective public offering price per share of our common stock included in the units or issuable upon exercise of the pre-funded warrants and the as adjusted net tangible book value per share of our common stock after this offering.</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historical net tangible book value as of September 30, 2018 was approximately $6,566,000 , or $2.2066 per share of common stock. Our historical net tangible book value is the amount of our total tangible assets less our liabilities. Historical net tangible book value per common share is our historical net tangible book value divided by the number of shares of common stock outstanding as of September 30, 2018.</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After giving effect to the sale of the units in this offering at the assumed public offering price of $1.66 per unit (the closing price of our common stock on The Nasdaq Capital Market on December 24 , 2018), assuming no sale of any pre-funded units in this offering and after deducting the estimated underwriting discounts and commissions and estimated offering expenses payable by us, and excluding the proceeds, if any, from the exercise of any common warrants issued pursuant to this offering, our as adjusted net tangible book value as of September 30, 2018 would have been approximately $15.3 million, or $1.6952 per share of common stock. This represents an immediate decrease in as adjusted net tangible book value of $0.5114 per share to our existing stockholders, and new investors purchasing units in this offering will not be subject to dilution at the assumed public offering price.</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on a per unit basis:</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unit</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Historical net tangible book value per share as of September 30, 2018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2.2066</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decrease in net tangible book value per share attributable to</w:t>
            </w: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investors in this offering</w:t>
            </w:r>
          </w:p>
        </w:tc>
        <w:tc>
          <w:tcPr>
            <w:tcW w:w="1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0.5114</w:t>
            </w: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6240" w:type="dxa"/>
            <w:vAlign w:val="bottom"/>
          </w:tcPr>
          <w:p>
            <w:pPr>
              <w:spacing w:after="0" w:line="203" w:lineRule="exact"/>
              <w:rPr>
                <w:sz w:val="20"/>
                <w:szCs w:val="20"/>
                <w:color w:val="auto"/>
              </w:rPr>
            </w:pPr>
            <w:r>
              <w:rPr>
                <w:rFonts w:ascii="Arial" w:cs="Arial" w:eastAsia="Arial" w:hAnsi="Arial"/>
                <w:sz w:val="18"/>
                <w:szCs w:val="18"/>
                <w:color w:val="auto"/>
              </w:rPr>
              <w:t>As adjusted net tangible book value per share after this offering</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1.6952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(0.0352)</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underwriter exercises its option to purchase additional securities in full, and assuming no sale of any pre-funded units in this offering, the as adjusted net tangible book value per share after this offering would be $1.6798 per share, the decrease in net tangible book value per share to existing stockholders would be $0.5267 per share and new investors purchasing units in this offering will not be subject to dilution at the assumed public offering price.</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Each $0.25 increase (decrease) in the assumed public offering price of $1.66 per unit would increase (decrease) the as adjusted net tangible book value by 0.1540 per share of common stock and the dilution to new investors by 0.0960 per share, assuming that the number of units offered by us, as set forth on the cover page of this prospectus, remains the same, after deducting the estimated offering expenses payable by us.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also increase or decrease the number of units we are offering. An increase of 1,000,000 units offered by us, as set forth on the cover page of this prospectus, would increase our as adjusted net tangible book value by approximately $1.5 million, or a decrease of approximately $0.0168 per share of common stock, and increase the dilution per share to investors in this offering by approximately $0.0168 per share, assuming that the assumed public offering price per unit remains the same, and after deducting the estimated offering expenses payable by us. Similarly, a decrease of 1,000,000 units offered by us, as set forth on the cover page of this prospectus, would decrease our as adjusted net tangible book value by approximately $1.5 million, or an increase of approximately $0.0210 per share, and decrease the dilution per share to investors in this offering by approximately $0.0210 per share, assuming that the assumed public offering price per unit remains the same, and after deducting the estimated offering expenses payable by us. The information discussed above is illustrative only and will adjust based on the actual public offering price, the actual number of shares of common stock that we offer in this offering, our actual expenses, and other terms of this offering determined at pricing.</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discussion and table are based on 2,975,676 shares of common stock outstanding as of September 30, 2018, and excludes, as of September 30, 2018:</w:t>
      </w:r>
    </w:p>
    <w:p>
      <w:pPr>
        <w:spacing w:after="0" w:line="170"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422,478 shares of our common stock issuable upon the exercise of outstanding stock options, with exercise prices ranging from $0 to $19.35 and having a weighted-average exercise price of $11.70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211,239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7,531 shares of our common stock issuable upon the exercise of outstanding warrants, with exercise prices ranging from approximately $40.00 to $2,885 per share and having a weighted-average exercise price of $1,967 per share;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aggregate of approximately 36,667 shares of our common stock issuable upon the conversion of 550 shares of our Series A Convertible Preferred Stock, all of which were converted subsequent to September 30, 2018 ;</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6,024,096 shares of common stock issuable upon the exercise of common warrants to be issued to investors in this offering at an exercise price of</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per share; and</w:t>
      </w:r>
    </w:p>
    <w:p>
      <w:pPr>
        <w:spacing w:after="0" w:line="210"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301,204 shares (or 346,385 shares if the underwriter’s option to purchase additional securities is exercised in full) of our common stock issuable upon exercise of the warrants being issued to the underwriter in connection with this offering.</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options, warrants or other convertible securities outstanding as of September 30, 2018 have been or may be exercised, converted or other shares issued, investors purchasing securities in this offering may experience further dilution. In addition, we may seek to raise additional capital in the future through the sale of equity or convertible debt securities. To the extent that additional capital is raised through the sale of equity or convertible debt securities, the issuance of these securities could result in further dilution to our stockholders.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94"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as of December 24 , 2018, by:</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those known by us to be to a beneficial owner of more than 5% of the Company’s common stock.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general, “beneficial ownership” refers to shares that an individual or entity has the power to vote or dispose of, and any rights to acquire common stock that are currently exercisable or will become exercisable within 60 days of December 24 , 2018. We calculated percentage ownership in accordance with the rules of the SEC. The percentage of common stock beneficially owned is based on 3,012,343 shares outstanding as of December 24 , 2018. In addition, shares issuable pursuant to options or other convertible securities that may be acquired within 60 days of December 24 , 2018 are deemed to be issued and outstanding and have been treated as outstanding in calculating and determining the beneficial ownership and percentage ownership of those persons possessing those securities, but not for any other persons.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table is based on information supplied by each prospective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 of the Company listed is: c/o Microbot Medical Inc., 25 Recreation Park Drive, Unit 108, Hingham, MA 02043.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Percentage of Common Stock</w:t>
            </w:r>
          </w:p>
        </w:tc>
      </w:tr>
      <w:tr>
        <w:trPr>
          <w:trHeight w:val="241"/>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Number of Shares</w:t>
            </w:r>
          </w:p>
        </w:tc>
        <w:tc>
          <w:tcPr>
            <w:tcW w:w="3940" w:type="dxa"/>
            <w:vAlign w:val="bottom"/>
            <w:gridSpan w:val="4"/>
          </w:tcPr>
          <w:p>
            <w:pPr>
              <w:jc w:val="right"/>
              <w:ind w:right="1300"/>
              <w:spacing w:after="0"/>
              <w:rPr>
                <w:sz w:val="20"/>
                <w:szCs w:val="20"/>
                <w:color w:val="auto"/>
              </w:rPr>
            </w:pPr>
            <w:r>
              <w:rPr>
                <w:rFonts w:ascii="Arial" w:cs="Arial" w:eastAsia="Arial" w:hAnsi="Arial"/>
                <w:sz w:val="18"/>
                <w:szCs w:val="18"/>
                <w:b w:val="1"/>
                <w:bCs w:val="1"/>
                <w:color w:val="auto"/>
              </w:rPr>
              <w:t>Beneficially Owned</w:t>
            </w:r>
          </w:p>
        </w:tc>
      </w:tr>
      <w:tr>
        <w:trPr>
          <w:trHeight w:val="237"/>
        </w:trPr>
        <w:tc>
          <w:tcPr>
            <w:tcW w:w="5220" w:type="dxa"/>
            <w:vAlign w:val="bottom"/>
            <w:gridSpan w:val="2"/>
          </w:tcPr>
          <w:p>
            <w:pPr>
              <w:ind w:left="1840"/>
              <w:spacing w:after="0"/>
              <w:rPr>
                <w:sz w:val="20"/>
                <w:szCs w:val="20"/>
                <w:color w:val="auto"/>
              </w:rPr>
            </w:pPr>
            <w:r>
              <w:rPr>
                <w:rFonts w:ascii="Arial" w:cs="Arial" w:eastAsia="Arial" w:hAnsi="Arial"/>
                <w:sz w:val="18"/>
                <w:szCs w:val="18"/>
                <w:b w:val="1"/>
                <w:bCs w:val="1"/>
                <w:color w:val="auto"/>
              </w:rPr>
              <w:t>Beneficial Owner</w:t>
            </w:r>
          </w:p>
        </w:tc>
        <w:tc>
          <w:tcPr>
            <w:tcW w:w="2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Beneficially Owned</w:t>
            </w:r>
          </w:p>
        </w:tc>
        <w:tc>
          <w:tcPr>
            <w:tcW w:w="208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Before Offering</w:t>
            </w:r>
          </w:p>
        </w:tc>
        <w:tc>
          <w:tcPr>
            <w:tcW w:w="17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After Offering(1)</w:t>
            </w:r>
          </w:p>
        </w:tc>
        <w:tc>
          <w:tcPr>
            <w:tcW w:w="160" w:type="dxa"/>
            <w:vAlign w:val="bottom"/>
          </w:tcPr>
          <w:p>
            <w:pPr>
              <w:spacing w:after="0"/>
              <w:rPr>
                <w:sz w:val="20"/>
                <w:szCs w:val="20"/>
                <w:color w:val="auto"/>
              </w:rPr>
            </w:pPr>
          </w:p>
        </w:tc>
      </w:tr>
      <w:tr>
        <w:trPr>
          <w:trHeight w:val="216"/>
        </w:trPr>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(2)</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303,384</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9.67%</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3. 31%</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Yoav Waizer</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2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(4)</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299,710</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9.95%</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3. 32%</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2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(3)</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1,016</w:t>
            </w: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Ben Naim</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2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Yehezkel (Hezi) Himelfarb</w:t>
            </w:r>
            <w:r>
              <w:rPr>
                <w:rFonts w:ascii="Arial" w:cs="Arial" w:eastAsia="Arial" w:hAnsi="Arial"/>
                <w:sz w:val="29"/>
                <w:szCs w:val="29"/>
                <w:color w:val="auto"/>
                <w:vertAlign w:val="superscript"/>
              </w:rPr>
              <w:t>(3)</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29,004</w:t>
            </w: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2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w w:val="95"/>
              </w:rPr>
              <w:t>All current directors and executive officers as a group (8 persons)</w:t>
            </w:r>
            <w:r>
              <w:rPr>
                <w:rFonts w:ascii="Arial" w:cs="Arial" w:eastAsia="Arial" w:hAnsi="Arial"/>
                <w:sz w:val="29"/>
                <w:szCs w:val="29"/>
                <w:color w:val="auto"/>
                <w:w w:val="95"/>
                <w:vertAlign w:val="superscript"/>
              </w:rPr>
              <w:t>(5)</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638,162</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20.10%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Shareholders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LSA - Life Science Accelerator Ltd.</w:t>
            </w:r>
            <w:r>
              <w:rPr>
                <w:rFonts w:ascii="Arial" w:cs="Arial" w:eastAsia="Arial" w:hAnsi="Arial"/>
                <w:sz w:val="29"/>
                <w:szCs w:val="29"/>
                <w:color w:val="auto"/>
                <w:vertAlign w:val="superscript"/>
              </w:rPr>
              <w:t>(4)</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299,710</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9.95%</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3. 32%</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MEDX Ventures Group LLC</w:t>
            </w:r>
            <w:r>
              <w:rPr>
                <w:rFonts w:ascii="Arial" w:cs="Arial" w:eastAsia="Arial" w:hAnsi="Arial"/>
                <w:sz w:val="29"/>
                <w:szCs w:val="29"/>
                <w:color w:val="auto"/>
                <w:vertAlign w:val="superscript"/>
              </w:rPr>
              <w:t>(6)</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254,711</w:t>
            </w: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8.24%</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Saber Holding GmbH</w:t>
            </w:r>
            <w:r>
              <w:rPr>
                <w:rFonts w:ascii="Arial" w:cs="Arial" w:eastAsia="Arial" w:hAnsi="Arial"/>
                <w:sz w:val="29"/>
                <w:szCs w:val="29"/>
                <w:color w:val="auto"/>
                <w:vertAlign w:val="superscript"/>
              </w:rPr>
              <w:t>(7)</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287,134</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9.53%</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3. 18%</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Moshe Shoham</w:t>
            </w:r>
            <w:r>
              <w:rPr>
                <w:rFonts w:ascii="Arial" w:cs="Arial" w:eastAsia="Arial" w:hAnsi="Arial"/>
                <w:sz w:val="29"/>
                <w:szCs w:val="29"/>
                <w:color w:val="auto"/>
                <w:vertAlign w:val="superscript"/>
              </w:rPr>
              <w:t>(8)</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159,636</w:t>
            </w: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the sale of 6,024,096 shares of our common stock and common stock underlying pre-funded warrants offered by us in this offering and does not include any shares of our common stock underlying the common warrants, the underwriter’s option to cover over-allotments, or underlying the Underwriter’s Warrants.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and 48,673 shares of our common stock issuable upon the exercise of options granted to Mr. Gadot. All of such shares and 77,864 options are held by MEDX Ventures Group LLC, which is beneficially owned by Mr. Gadot. See Note 6 below.</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representations and other information made or provided to the Company by Mr. Bornstein, Mr. Bornstein is the CEO and Director of LSA and of Shizim, and Mr. Bornstein is the majority equity owner of Shizim. Shizim is the majority equity owner of LSA. Accordingly, Mr. Bornstein may be deemed to share voting and investment power over the shares beneficially owned by these entities and has an address of 16 Iris Street, Rosh-Ha’Ayin Israel 4858022. Includes 1,016 shares of our common stock issuable upon exercise of options.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(1), (2) and (3).</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Mr. Gadot is the Chief Executive Officer, Company Group Chairman and majority equity owner of MEDX Venture Group and thus may be deemed to share voting and investment power over the shares beneficially owned by this entity. Does not include 48,673 shares of our common stock issuable upon the exercise of options granted to Mr. Gadot directly. See Note 1 above.</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a Schedule 13D/A-2 filed on June 20, 2017, Mrs. Sandra Berkson owns 100% of the equity of Saber Holding GmbH. Mr. Avram Berkson and Mrs. Sandra Berkson have shared power with Saber to vote or direct the vote, and to dispose or direct the disposition, of such shares. Saber’s address is Krummbaumgasse 10/20, 1020 Wein, Austria.</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55,743 shares of our common stock issuable upon the exercise of options.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505"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the date of this prospectus, we are authorized to issue up to 221,000,000 shares of capital stock, par value $0.01 per share, divided into two classes designated, respectively, “common stock” and undesignated “preferred stock.” Of such shares authorized, 220,000,000 shares are designated as common stock, and 1,000,000 shares are designated as undesignated preferred stock.</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is a summary of the material terms of our capital stock and certain provisions of our restated certificate of incorporation and amended and restated bylaws. Since the terms of our certificate of incorporation and bylaws, and Delaware law, are more detailed than the general information provided below, you should only rely on the actual provisions of those documents and Delaware law. If you would like to read those documents, they are on file with the SEC, as described under the heading “Where You Can Find Additional Information” below. The summary below is also qualified by provisions of applicable law.</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September 4, 2018, we filed a Certificate of Amendment (the “Amendment”) to our Restated Certificate of Incorporation to implement a 1-for-15 reverse split of our common stock (the “Reverse Stock Split”). As a result of the Reverse Stock Split, each fifteen shares of our issued and outstanding common stock were automatically combined and converted into one issued and outstanding share of common stock. The Reverse Stock Split affected all issued and outstanding shares of the Company’s common stock and preferred stock, as well as common stock underlying stock options, preferred stock and warrants outstanding immediately prior to the effectiveness of the Reverse Stock Split. The Amendment did not decrease the number of authorized shares of the Company’s common stock, nor did it alter the par value of common stock, which remained at $0.01 per share, or modify any voting rights or other terms of our common stock or preferred stock. Unless otherwise indicated, all information set forth in this prospectus gives effect to the Reverse Stock Split.</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24 , 2018, there were 3,012,343 shares of common stock outstanding that were held of record by approximately 176 stockholders, although we believe that there is a significantly larger number of beneficial owners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authority to issue up to 1,000,000 shares of preferred stock, par value $0.01 per share. There are currently no shares of preferred stock issued or outstanding.</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7"/>
          <w:szCs w:val="17"/>
          <w:color w:val="auto"/>
        </w:rPr>
        <w:t>If we issue a specific series of preferred stock, we will file a copy of the certificate establishing the terms of the preferred stock with the Secretary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 of the State of Delaware and with the SEC. To the extent required, this description will include:</w:t>
      </w: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2018, we had outstanding:</w:t>
      </w:r>
    </w:p>
    <w:p>
      <w:pPr>
        <w:spacing w:after="0" w:line="225"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approximately 2,770 shares of our common stock at an exercise price of approximately $40.00 per share, which are exercisable through March 14, 2022, and which are subject to “full ratchet” price-based anti-dilution adjustments;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approximately 683 shares of our common stock at an exercise price of approximately $1,363 per share, which are exercisable through April 30, 2020;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approximately 183 shares of our common stock at an exercise price of approximately $2,725 per share, which are exercisable through April 9,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Capital Market under the symbol “MBOT.”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firstLine="360"/>
        <w:spacing w:after="0" w:line="280"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Meidinger Tower, 462 South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Louisville, KY 40202.</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DESCRIPTION OF SECURITIES WE ARE OFFERING</w:t>
      </w:r>
    </w:p>
    <w:p>
      <w:pPr>
        <w:spacing w:after="0" w:line="229"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We are offering (i) up to 6,024,096 units, each unit consisting of one share of our common stock and one common warrant to purchase one share of our common stock, or (ii) up to 6,024,096 pre-funded units, each pre-funded unit consisting of one pre-funded warrant to purchase one share of our common stock and one common warrant to purchase one share of our common stock. For each pre-funded unit we sell, the number of units we are offering will be decreased on a one-for-one basis. The share of common stock and accompanying common warrant included in each unit will be issued separately, but cannot be purchased separately, and the pre-funded warrant to purchase one share of common stock and the accompanying common warrant included in each pre-funded unit will be issued separately, but cannot be purchased separately. Units or pre-funded units will not be issued or certificated. We are also registering the shares of common stock included in the units and the shares of common stock issuable from time to time upon exercise of the pre-funded warrants included in pre-funded units and common warrants included in the units and the pre-funded units offered hereby.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material terms and provisions of our common stock and each other class of our securities which qualifies or limits our common stock are described under the caption “Description of Capital Stock” in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Warrants</w:t>
      </w:r>
    </w:p>
    <w:p>
      <w:pPr>
        <w:spacing w:after="0" w:line="22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The following is a summary of all material terms and provisions of the common warrants that are being offered hereby, the form of which has been filed as an exhibit to the registration statement of which this prospectus is a part. Prospective investors should carefully review the terms and provisions of the form of common warrant for a complete description of the terms and conditions of the common warrants.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Duration and Exercise Price. </w:t>
      </w:r>
      <w:r>
        <w:rPr>
          <w:rFonts w:ascii="Arial" w:cs="Arial" w:eastAsia="Arial" w:hAnsi="Arial"/>
          <w:sz w:val="17"/>
          <w:szCs w:val="17"/>
          <w:color w:val="auto"/>
        </w:rPr>
        <w:t>Each common warrant offered hereby will have an exercise price equal to $ . The common warrants will be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exercisable and may be exercised until the fifth anniversary of the issuance date. The exercise price and number of shares of common stock issuable upon exercise is subject to appropriate adjustment in the event of stock dividends, stock splits, reorganizations or similar events affecting our common stock and the exercise price. The common warrants will be issued separately from the common stock or pre-funded warrants sold as part of the units or pre-funded units, respectively, and may be transferred separately immediately thereafter. Common warrants will be issued in certificated form only.</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The common warrants will be exercisable, at the option of each holder, in whole or in part, by delivering to us a duly executed exercise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accompanied by payment in full for the number of shares of our common stock purchased upon such exercise (except in the case of a cashless exercise as discussed below). A holder (together with its affiliates) may not exercise any portion of such holder’s common warrants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common warrants up to 9.99% of the number of shares of our common stock outstanding immediately after giving effect to the exercise, as such percentage ownership is determined in accordance with the terms of the common warrants.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Cashless Exercise. </w:t>
      </w:r>
      <w:r>
        <w:rPr>
          <w:rFonts w:ascii="Arial" w:cs="Arial" w:eastAsia="Arial" w:hAnsi="Arial"/>
          <w:sz w:val="16"/>
          <w:szCs w:val="16"/>
          <w:color w:val="auto"/>
        </w:rPr>
        <w:t>If, at the time a holder exercises its common warrants, a registration statement registering the issuance of the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the common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common warrant.</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Fundamental Transactions. </w:t>
      </w:r>
      <w:r>
        <w:rPr>
          <w:rFonts w:ascii="Arial" w:cs="Arial" w:eastAsia="Arial" w:hAnsi="Arial"/>
          <w:sz w:val="17"/>
          <w:szCs w:val="17"/>
          <w:color w:val="auto"/>
        </w:rPr>
        <w:t>In the event of a fundamental transaction, as described in the common warrants and generally including any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common warrants will be entitled to receive upon exercise of the common warrants the kind and amount of securities, cash or other property that the holders would have received had they exercised the common warrants immediately prior to such fundamental transaction.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Subject to applicable laws and a standard legend with regard to restriction on transfer only in compliance with a public offering or an</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exemption therefrom, the common warrants may be transferred at the option of the holder upon surrender of the common warrants to us together with the appropriate instruments of transfer.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Fractional Shares. </w:t>
      </w:r>
      <w:r>
        <w:rPr>
          <w:rFonts w:ascii="Arial" w:cs="Arial" w:eastAsia="Arial" w:hAnsi="Arial"/>
          <w:sz w:val="18"/>
          <w:szCs w:val="18"/>
          <w:color w:val="auto"/>
        </w:rPr>
        <w:t>No fractional shares of common stock will be issued upon the exercise of the common warrants. Rather, the number of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to be issued will, at our election, either be rounded up to the nearest whole number or we will pay a cash adjustment in respect of such final fraction in an amount equal to such fraction multiplied by the exercise price.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Trading Market. </w:t>
      </w:r>
      <w:r>
        <w:rPr>
          <w:rFonts w:ascii="Arial" w:cs="Arial" w:eastAsia="Arial" w:hAnsi="Arial"/>
          <w:sz w:val="18"/>
          <w:szCs w:val="18"/>
          <w:color w:val="auto"/>
        </w:rPr>
        <w:t>There is no established trading market for the common warrants, and we do not expect an active trading market to develop. We do not intend</w:t>
      </w:r>
      <w:r>
        <w:rPr>
          <w:rFonts w:ascii="Arial" w:cs="Arial" w:eastAsia="Arial" w:hAnsi="Arial"/>
          <w:sz w:val="18"/>
          <w:szCs w:val="18"/>
          <w:i w:val="1"/>
          <w:iCs w:val="1"/>
          <w:color w:val="auto"/>
        </w:rPr>
        <w:t xml:space="preserve"> </w:t>
      </w:r>
      <w:r>
        <w:rPr>
          <w:rFonts w:ascii="Arial" w:cs="Arial" w:eastAsia="Arial" w:hAnsi="Arial"/>
          <w:sz w:val="18"/>
          <w:szCs w:val="18"/>
          <w:color w:val="auto"/>
        </w:rPr>
        <w:t>to apply to list the common warrants on any securities exchange or other trading market. Without a trading market, the liquidity of the common warrants will be extremely limited.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Right as a Stockholder. </w:t>
      </w:r>
      <w:r>
        <w:rPr>
          <w:rFonts w:ascii="Arial" w:cs="Arial" w:eastAsia="Arial" w:hAnsi="Arial"/>
          <w:sz w:val="18"/>
          <w:szCs w:val="18"/>
          <w:color w:val="auto"/>
        </w:rPr>
        <w:t>Except as otherwise provided in the common warrants or by virtue of the holder’s ownership of shares of our common stock,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common warrants do not have the rights or privileges of holders of our common stock, including any voting rights, until such holders exercise their common warrants.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Waivers and Amendments. </w:t>
      </w:r>
      <w:r>
        <w:rPr>
          <w:rFonts w:ascii="Arial" w:cs="Arial" w:eastAsia="Arial" w:hAnsi="Arial"/>
          <w:sz w:val="17"/>
          <w:szCs w:val="17"/>
          <w:color w:val="auto"/>
        </w:rPr>
        <w:t>No term of the common warrants may be amended or waived without the written consent of the holder of such warrant.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1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Duration and Exercise Price. </w:t>
      </w:r>
      <w:r>
        <w:rPr>
          <w:rFonts w:ascii="Arial" w:cs="Arial" w:eastAsia="Arial" w:hAnsi="Arial"/>
          <w:sz w:val="18"/>
          <w:szCs w:val="18"/>
          <w:color w:val="auto"/>
        </w:rPr>
        <w:t>Each pre-funded warrant offered hereby will have an initial exercise price per share equal to $0.01. The pre-funded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 The Pre-funded warrants will be issued separately from the accompanying common warrants included in the pre-funded units, and may be transferred separately thereafter.</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The pre-funded warrants will be exercisable, at the option of each holder, in whole or in part, by delivering to us a duly executed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accompanied by payment in full for the number of shares of our common stock purchased upon such exercise (except in the case of a cashless exercise as discussed below). A holder (together with its affiliates) may not exercise any portion of the pre-funded warrant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units in this offering may also elect prior to the issuance of the pre-funded warrants to have the initial exercise limitation set at 9.99% of our outstanding common stock.</w:t>
      </w:r>
    </w:p>
    <w:p>
      <w:pPr>
        <w:spacing w:after="0" w:line="1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Cashless Exercise. </w:t>
      </w:r>
      <w:r>
        <w:rPr>
          <w:rFonts w:ascii="Arial" w:cs="Arial" w:eastAsia="Arial" w:hAnsi="Arial"/>
          <w:sz w:val="16"/>
          <w:szCs w:val="16"/>
          <w:color w:val="auto"/>
        </w:rPr>
        <w:t>If, at the time a holder exercises its pre-funded warrants, a registration statement registering the issuance of the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underlying the pre-funded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Fundamental Transaction</w:t>
      </w:r>
      <w:r>
        <w:rPr>
          <w:rFonts w:ascii="Arial" w:cs="Arial" w:eastAsia="Arial" w:hAnsi="Arial"/>
          <w:sz w:val="17"/>
          <w:szCs w:val="17"/>
          <w:color w:val="auto"/>
        </w:rPr>
        <w:t>. In the event of a fundamental transaction, as described in the pre-funded warrants and generally including any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Subject to applicable laws, a pre-funded warrant may be transferred at the option of the holder upon surrender of the pre-funded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to us together with the appropriate instruments of transfer.</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Fractional Shares. </w:t>
      </w:r>
      <w:r>
        <w:rPr>
          <w:rFonts w:ascii="Arial" w:cs="Arial" w:eastAsia="Arial" w:hAnsi="Arial"/>
          <w:sz w:val="18"/>
          <w:szCs w:val="18"/>
          <w:color w:val="auto"/>
        </w:rPr>
        <w:t>No fractional shares of common stock will be issued upon the exercise of the pre-funded warrants. Rather, the number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to be issued will, at our election, either be rounded up to the nearest whole number or we will pay a cash adjustment in respect of such final fraction in an amount equal to such fraction multiplied by the exercise price.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Trading Market </w:t>
      </w:r>
      <w:r>
        <w:rPr>
          <w:rFonts w:ascii="Arial" w:cs="Arial" w:eastAsia="Arial" w:hAnsi="Arial"/>
          <w:sz w:val="16"/>
          <w:szCs w:val="16"/>
          <w:color w:val="auto"/>
        </w:rPr>
        <w:t>. There is no trading market available for the pre-funded warrants on any securities exchange or nationally recognized trading system.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intend to list the pre-funded warrants on any securities exchange or nationally recognized trading system.</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Right as a Stockholder. </w:t>
      </w:r>
      <w:r>
        <w:rPr>
          <w:rFonts w:ascii="Arial" w:cs="Arial" w:eastAsia="Arial" w:hAnsi="Arial"/>
          <w:sz w:val="18"/>
          <w:szCs w:val="18"/>
          <w:color w:val="auto"/>
        </w:rPr>
        <w:t>Except as otherwise provided in the pre-funded warrants or by virtue of such holder’s ownership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the pre-funded warrants do not have the rights or privileges of holders of our common stock, including any voting rights, until they exercise their pre-funded warrants.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660"/>
        <w:spacing w:after="0"/>
        <w:tabs>
          <w:tab w:leader="none" w:pos="5580" w:val="left"/>
        </w:tabs>
        <w:rPr>
          <w:sz w:val="20"/>
          <w:szCs w:val="20"/>
          <w:color w:val="auto"/>
        </w:rPr>
      </w:pPr>
      <w:r>
        <w:rPr>
          <w:rFonts w:ascii="Arial" w:cs="Arial" w:eastAsia="Arial" w:hAnsi="Arial"/>
          <w:sz w:val="18"/>
          <w:szCs w:val="18"/>
          <w:color w:val="auto"/>
        </w:rPr>
        <w:t>We have entered into an underwriting agreement dated</w:t>
      </w:r>
      <w:r>
        <w:rPr>
          <w:sz w:val="20"/>
          <w:szCs w:val="20"/>
          <w:color w:val="auto"/>
        </w:rPr>
        <w:tab/>
      </w:r>
      <w:r>
        <w:rPr>
          <w:rFonts w:ascii="Arial" w:cs="Arial" w:eastAsia="Arial" w:hAnsi="Arial"/>
          <w:sz w:val="17"/>
          <w:szCs w:val="17"/>
          <w:color w:val="auto"/>
        </w:rPr>
        <w:t>, 2018 with H.C. Wainwright &amp; Co., LLC, as underwriter, with respect to the</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securities being offered hereby. Subject to the terms and conditions of the underwriting agreement, we have agreed to sell to the underwriter and the underwriter has agreed to purchase from us, at the public offering price less the underwriting discounts and commissions set forth on the cover page of this</w:t>
      </w:r>
    </w:p>
    <w:p>
      <w:pPr>
        <w:spacing w:after="0" w:line="1" w:lineRule="exact"/>
        <w:rPr>
          <w:sz w:val="20"/>
          <w:szCs w:val="20"/>
          <w:color w:val="auto"/>
        </w:rPr>
      </w:pPr>
    </w:p>
    <w:p>
      <w:pPr>
        <w:spacing w:after="0"/>
        <w:tabs>
          <w:tab w:leader="none" w:pos="1260" w:val="left"/>
          <w:tab w:leader="none" w:pos="2400" w:val="left"/>
        </w:tabs>
        <w:rPr>
          <w:sz w:val="20"/>
          <w:szCs w:val="20"/>
          <w:color w:val="auto"/>
        </w:rPr>
      </w:pPr>
      <w:r>
        <w:rPr>
          <w:rFonts w:ascii="Arial" w:cs="Arial" w:eastAsia="Arial" w:hAnsi="Arial"/>
          <w:sz w:val="18"/>
          <w:szCs w:val="18"/>
          <w:color w:val="auto"/>
        </w:rPr>
        <w:t>prospectus,</w:t>
      </w:r>
      <w:r>
        <w:rPr>
          <w:sz w:val="20"/>
          <w:szCs w:val="20"/>
          <w:color w:val="auto"/>
        </w:rPr>
        <w:tab/>
      </w:r>
      <w:r>
        <w:rPr>
          <w:rFonts w:ascii="Arial" w:cs="Arial" w:eastAsia="Arial" w:hAnsi="Arial"/>
          <w:sz w:val="18"/>
          <w:szCs w:val="18"/>
          <w:color w:val="auto"/>
        </w:rPr>
        <w:t>Units and</w:t>
      </w:r>
      <w:r>
        <w:rPr>
          <w:sz w:val="20"/>
          <w:szCs w:val="20"/>
          <w:color w:val="auto"/>
        </w:rPr>
        <w:tab/>
      </w:r>
      <w:r>
        <w:rPr>
          <w:rFonts w:ascii="Arial" w:cs="Arial" w:eastAsia="Arial" w:hAnsi="Arial"/>
          <w:sz w:val="16"/>
          <w:szCs w:val="16"/>
          <w:color w:val="auto"/>
        </w:rPr>
        <w:t>pre-funded units.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the terms and subject to the conditions contained in the underwriting agreement, we have agreed to sell to the underwriter named below, and the underwriter has agreed to purchase from us, the respective number of units and pre-funded units set forth opposite its name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 Pre- F</w:t>
            </w:r>
          </w:p>
        </w:tc>
      </w:tr>
      <w:tr>
        <w:trPr>
          <w:trHeight w:val="189"/>
        </w:trPr>
        <w:tc>
          <w:tcPr>
            <w:tcW w:w="4260" w:type="dxa"/>
            <w:vAlign w:val="bottom"/>
          </w:tcPr>
          <w:p>
            <w:pPr>
              <w:spacing w:after="0"/>
              <w:rPr>
                <w:sz w:val="16"/>
                <w:szCs w:val="16"/>
                <w:color w:val="auto"/>
              </w:rPr>
            </w:pPr>
          </w:p>
        </w:tc>
        <w:tc>
          <w:tcPr>
            <w:tcW w:w="3160" w:type="dxa"/>
            <w:vAlign w:val="bottom"/>
          </w:tcPr>
          <w:p>
            <w:pPr>
              <w:jc w:val="center"/>
              <w:ind w:left="1810"/>
              <w:spacing w:after="0" w:line="189" w:lineRule="exact"/>
              <w:rPr>
                <w:sz w:val="20"/>
                <w:szCs w:val="20"/>
                <w:color w:val="auto"/>
              </w:rPr>
            </w:pPr>
            <w:r>
              <w:rPr>
                <w:rFonts w:ascii="Arial" w:cs="Arial" w:eastAsia="Arial" w:hAnsi="Arial"/>
                <w:sz w:val="18"/>
                <w:szCs w:val="18"/>
                <w:b w:val="1"/>
                <w:bCs w:val="1"/>
                <w:color w:val="auto"/>
                <w:w w:val="91"/>
              </w:rPr>
              <w:t>Number of</w:t>
            </w:r>
          </w:p>
        </w:tc>
        <w:tc>
          <w:tcPr>
            <w:tcW w:w="17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unded</w:t>
            </w:r>
          </w:p>
        </w:tc>
      </w:tr>
      <w:tr>
        <w:trPr>
          <w:trHeight w:val="228"/>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3160" w:type="dxa"/>
            <w:vAlign w:val="bottom"/>
            <w:tcBorders>
              <w:bottom w:val="single" w:sz="8" w:color="auto"/>
            </w:tcBorders>
          </w:tcPr>
          <w:p>
            <w:pPr>
              <w:jc w:val="center"/>
              <w:ind w:left="1810"/>
              <w:spacing w:after="0"/>
              <w:rPr>
                <w:sz w:val="20"/>
                <w:szCs w:val="20"/>
                <w:color w:val="auto"/>
              </w:rPr>
            </w:pPr>
            <w:r>
              <w:rPr>
                <w:rFonts w:ascii="Arial" w:cs="Arial" w:eastAsia="Arial" w:hAnsi="Arial"/>
                <w:sz w:val="18"/>
                <w:szCs w:val="18"/>
                <w:b w:val="1"/>
                <w:bCs w:val="1"/>
                <w:color w:val="auto"/>
                <w:w w:val="93"/>
              </w:rPr>
              <w:t>Units</w:t>
            </w:r>
          </w:p>
        </w:tc>
        <w:tc>
          <w:tcPr>
            <w:tcW w:w="17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Units</w:t>
            </w:r>
          </w:p>
        </w:tc>
      </w:tr>
      <w:tr>
        <w:trPr>
          <w:trHeight w:val="189"/>
        </w:trPr>
        <w:tc>
          <w:tcPr>
            <w:tcW w:w="4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H.C. Wainwright &amp; Co., LLC</w:t>
            </w:r>
          </w:p>
        </w:tc>
        <w:tc>
          <w:tcPr>
            <w:tcW w:w="3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The underwriting agreement provides that the obligation of the underwriter to purchase the units and/or pre-funded units offered by this prospectus is subject to certain conditions. The underwriter is obligated to purchase all of the units and/or pre-funded units if any of the securities are purchased, other than those shares of common stock and/or common warrants covered by the option to purchase additional securities described below. Delivery of the securities to</w:t>
      </w:r>
    </w:p>
    <w:p>
      <w:pPr>
        <w:spacing w:after="0"/>
        <w:tabs>
          <w:tab w:leader="none" w:pos="3060" w:val="left"/>
        </w:tabs>
        <w:rPr>
          <w:sz w:val="20"/>
          <w:szCs w:val="20"/>
          <w:color w:val="auto"/>
        </w:rPr>
      </w:pPr>
      <w:r>
        <w:rPr>
          <w:rFonts w:ascii="Arial" w:cs="Arial" w:eastAsia="Arial" w:hAnsi="Arial"/>
          <w:sz w:val="18"/>
          <w:szCs w:val="18"/>
          <w:color w:val="auto"/>
        </w:rPr>
        <w:t>purchasers is expected on or about</w:t>
      </w:r>
      <w:r>
        <w:rPr>
          <w:sz w:val="20"/>
          <w:szCs w:val="20"/>
          <w:color w:val="auto"/>
        </w:rPr>
        <w:tab/>
      </w:r>
      <w:r>
        <w:rPr>
          <w:rFonts w:ascii="Arial" w:cs="Arial" w:eastAsia="Arial" w:hAnsi="Arial"/>
          <w:sz w:val="16"/>
          <w:szCs w:val="16"/>
          <w:color w:val="auto"/>
        </w:rPr>
        <w:t>, 2018, subject to certain customary closing conditions.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 proposes to offer the units and/or pre-funded units purchased pursuant to the underwriting agreement to the public at the public offering</w:t>
      </w:r>
    </w:p>
    <w:p>
      <w:pPr>
        <w:spacing w:after="0" w:line="46" w:lineRule="exact"/>
        <w:rPr>
          <w:sz w:val="20"/>
          <w:szCs w:val="20"/>
          <w:color w:val="auto"/>
        </w:rPr>
      </w:pPr>
    </w:p>
    <w:p>
      <w:pPr>
        <w:spacing w:after="0"/>
        <w:tabs>
          <w:tab w:leader="none" w:pos="9200" w:val="left"/>
        </w:tabs>
        <w:rPr>
          <w:sz w:val="20"/>
          <w:szCs w:val="20"/>
          <w:color w:val="auto"/>
        </w:rPr>
      </w:pPr>
      <w:r>
        <w:rPr>
          <w:rFonts w:ascii="Arial" w:cs="Arial" w:eastAsia="Arial" w:hAnsi="Arial"/>
          <w:sz w:val="18"/>
          <w:szCs w:val="18"/>
          <w:color w:val="auto"/>
        </w:rPr>
        <w:t>price set forth on the cover page of this prospectus and to certain dealers at that price less a concession not in excess of $</w:t>
      </w:r>
      <w:r>
        <w:rPr>
          <w:sz w:val="20"/>
          <w:szCs w:val="20"/>
          <w:color w:val="auto"/>
        </w:rPr>
        <w:tab/>
      </w:r>
      <w:r>
        <w:rPr>
          <w:rFonts w:ascii="Arial" w:cs="Arial" w:eastAsia="Arial" w:hAnsi="Arial"/>
          <w:sz w:val="16"/>
          <w:szCs w:val="16"/>
          <w:color w:val="auto"/>
        </w:rPr>
        <w:t>per unit or per pre-funded unit</w:t>
      </w:r>
    </w:p>
    <w:p>
      <w:pPr>
        <w:spacing w:after="0" w:line="9" w:lineRule="exact"/>
        <w:rPr>
          <w:sz w:val="20"/>
          <w:szCs w:val="20"/>
          <w:color w:val="auto"/>
        </w:rPr>
      </w:pPr>
    </w:p>
    <w:p>
      <w:pPr>
        <w:ind w:firstLine="8"/>
        <w:spacing w:after="0" w:line="261" w:lineRule="auto"/>
        <w:tabs>
          <w:tab w:leader="none" w:pos="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this offering, the public offering price and concession may be changed by the underwriter. No such change shall change the amount of proceeds to be received by us as set forth on the cover page of this prospectus.</w:t>
      </w:r>
    </w:p>
    <w:p>
      <w:pPr>
        <w:spacing w:after="0" w:line="184"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connection with the sale of the units and/or pre-funded units to be purchased by the underwriter, the underwriter will be deemed to have received compensation in the form of underwriting commissions and discounts. The underwriter’s commissions and discounts will be 7% (or 3.5% under certain</w:t>
      </w:r>
    </w:p>
    <w:p>
      <w:pPr>
        <w:spacing w:after="0"/>
        <w:tabs>
          <w:tab w:leader="none" w:pos="8960" w:val="left"/>
        </w:tabs>
        <w:rPr>
          <w:sz w:val="20"/>
          <w:szCs w:val="20"/>
          <w:color w:val="auto"/>
        </w:rPr>
      </w:pPr>
      <w:r>
        <w:rPr>
          <w:rFonts w:ascii="Arial" w:cs="Arial" w:eastAsia="Arial" w:hAnsi="Arial"/>
          <w:sz w:val="18"/>
          <w:szCs w:val="18"/>
          <w:color w:val="auto"/>
        </w:rPr>
        <w:t>circumstances as set forth in the Engagement Letter (as defined below)) of the gross proceeds of this offering, or $</w:t>
      </w:r>
      <w:r>
        <w:rPr>
          <w:sz w:val="20"/>
          <w:szCs w:val="20"/>
          <w:color w:val="auto"/>
        </w:rPr>
        <w:tab/>
      </w:r>
      <w:r>
        <w:rPr>
          <w:rFonts w:ascii="Arial" w:cs="Arial" w:eastAsia="Arial" w:hAnsi="Arial"/>
          <w:sz w:val="16"/>
          <w:szCs w:val="16"/>
          <w:color w:val="auto"/>
        </w:rPr>
        <w:t>per unit or per pre-funded unit or</w:t>
      </w:r>
    </w:p>
    <w:p>
      <w:pPr>
        <w:spacing w:after="0" w:line="9" w:lineRule="exact"/>
        <w:rPr>
          <w:sz w:val="20"/>
          <w:szCs w:val="20"/>
          <w:color w:val="auto"/>
        </w:rPr>
      </w:pPr>
    </w:p>
    <w:p>
      <w:pPr>
        <w:ind w:left="600" w:hanging="59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 unit or per pre-funded unit,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 Commissions and Expenses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These amounts are shown assuming both no exercise and full exercise of the underwriter’s option to purchase additional securities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20" w:type="dxa"/>
            <w:vAlign w:val="bottom"/>
            <w:gridSpan w:val="4"/>
          </w:tcPr>
          <w:p>
            <w:pPr>
              <w:ind w:left="180"/>
              <w:spacing w:after="0"/>
              <w:rPr>
                <w:sz w:val="20"/>
                <w:szCs w:val="20"/>
                <w:color w:val="auto"/>
              </w:rPr>
            </w:pPr>
            <w:r>
              <w:rPr>
                <w:rFonts w:ascii="Arial" w:cs="Arial" w:eastAsia="Arial" w:hAnsi="Arial"/>
                <w:sz w:val="18"/>
                <w:szCs w:val="18"/>
                <w:b w:val="1"/>
                <w:bCs w:val="1"/>
                <w:color w:val="auto"/>
              </w:rPr>
              <w:t>Total</w:t>
            </w:r>
          </w:p>
        </w:tc>
      </w:tr>
      <w:tr>
        <w:trPr>
          <w:trHeight w:val="198"/>
        </w:trPr>
        <w:tc>
          <w:tcPr>
            <w:tcW w:w="4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217"/>
              <w:spacing w:after="0" w:line="198" w:lineRule="exact"/>
              <w:rPr>
                <w:sz w:val="20"/>
                <w:szCs w:val="20"/>
                <w:color w:val="auto"/>
              </w:rPr>
            </w:pPr>
            <w:r>
              <w:rPr>
                <w:rFonts w:ascii="Arial" w:cs="Arial" w:eastAsia="Arial" w:hAnsi="Arial"/>
                <w:sz w:val="18"/>
                <w:szCs w:val="18"/>
                <w:b w:val="1"/>
                <w:bCs w:val="1"/>
                <w:color w:val="auto"/>
              </w:rPr>
              <w:t>Per Pre-</w:t>
            </w:r>
          </w:p>
        </w:tc>
        <w:tc>
          <w:tcPr>
            <w:tcW w:w="340" w:type="dxa"/>
            <w:vAlign w:val="bottom"/>
          </w:tcPr>
          <w:p>
            <w:pPr>
              <w:spacing w:after="0"/>
              <w:rPr>
                <w:sz w:val="17"/>
                <w:szCs w:val="17"/>
                <w:color w:val="auto"/>
              </w:rPr>
            </w:pPr>
          </w:p>
        </w:tc>
        <w:tc>
          <w:tcPr>
            <w:tcW w:w="1260" w:type="dxa"/>
            <w:vAlign w:val="bottom"/>
            <w:tcBorders>
              <w:top w:val="single" w:sz="8" w:color="auto"/>
            </w:tcBorders>
          </w:tcPr>
          <w:p>
            <w:pPr>
              <w:jc w:val="center"/>
              <w:ind w:left="130"/>
              <w:spacing w:after="0" w:line="198" w:lineRule="exact"/>
              <w:rPr>
                <w:sz w:val="20"/>
                <w:szCs w:val="20"/>
                <w:color w:val="auto"/>
              </w:rPr>
            </w:pPr>
            <w:r>
              <w:rPr>
                <w:rFonts w:ascii="Arial" w:cs="Arial" w:eastAsia="Arial" w:hAnsi="Arial"/>
                <w:sz w:val="18"/>
                <w:szCs w:val="18"/>
                <w:b w:val="1"/>
                <w:bCs w:val="1"/>
                <w:color w:val="auto"/>
                <w:w w:val="95"/>
              </w:rPr>
              <w:t>Without</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7"/>
                <w:szCs w:val="17"/>
                <w:color w:val="auto"/>
              </w:rPr>
            </w:pPr>
          </w:p>
        </w:tc>
      </w:tr>
      <w:tr>
        <w:trPr>
          <w:trHeight w:val="216"/>
        </w:trPr>
        <w:tc>
          <w:tcPr>
            <w:tcW w:w="4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237"/>
              <w:spacing w:after="0"/>
              <w:rPr>
                <w:sz w:val="20"/>
                <w:szCs w:val="20"/>
                <w:color w:val="auto"/>
              </w:rPr>
            </w:pPr>
            <w:r>
              <w:rPr>
                <w:rFonts w:ascii="Arial" w:cs="Arial" w:eastAsia="Arial" w:hAnsi="Arial"/>
                <w:sz w:val="18"/>
                <w:szCs w:val="18"/>
                <w:b w:val="1"/>
                <w:bCs w:val="1"/>
                <w:color w:val="auto"/>
              </w:rPr>
              <w:t>F unded</w:t>
            </w:r>
          </w:p>
        </w:tc>
        <w:tc>
          <w:tcPr>
            <w:tcW w:w="340" w:type="dxa"/>
            <w:vAlign w:val="bottom"/>
          </w:tcPr>
          <w:p>
            <w:pPr>
              <w:spacing w:after="0"/>
              <w:rPr>
                <w:sz w:val="18"/>
                <w:szCs w:val="18"/>
                <w:color w:val="auto"/>
              </w:rPr>
            </w:pPr>
          </w:p>
        </w:tc>
        <w:tc>
          <w:tcPr>
            <w:tcW w:w="126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Option</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r>
      <w:tr>
        <w:trPr>
          <w:trHeight w:val="241"/>
        </w:trPr>
        <w:tc>
          <w:tcPr>
            <w:tcW w:w="4820" w:type="dxa"/>
            <w:vAlign w:val="bottom"/>
          </w:tcPr>
          <w:p>
            <w:pPr>
              <w:spacing w:after="0"/>
              <w:rPr>
                <w:sz w:val="20"/>
                <w:szCs w:val="20"/>
                <w:color w:val="auto"/>
              </w:rPr>
            </w:pPr>
          </w:p>
        </w:tc>
        <w:tc>
          <w:tcPr>
            <w:tcW w:w="162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 Unit</w:t>
            </w:r>
          </w:p>
        </w:tc>
        <w:tc>
          <w:tcPr>
            <w:tcW w:w="1260" w:type="dxa"/>
            <w:vAlign w:val="bottom"/>
          </w:tcPr>
          <w:p>
            <w:pPr>
              <w:jc w:val="right"/>
              <w:ind w:right="337"/>
              <w:spacing w:after="0"/>
              <w:rPr>
                <w:sz w:val="20"/>
                <w:szCs w:val="20"/>
                <w:color w:val="auto"/>
              </w:rPr>
            </w:pPr>
            <w:r>
              <w:rPr>
                <w:rFonts w:ascii="Arial" w:cs="Arial" w:eastAsia="Arial" w:hAnsi="Arial"/>
                <w:sz w:val="18"/>
                <w:szCs w:val="18"/>
                <w:b w:val="1"/>
                <w:bCs w:val="1"/>
                <w:color w:val="auto"/>
              </w:rPr>
              <w:t>Unit</w:t>
            </w:r>
          </w:p>
        </w:tc>
        <w:tc>
          <w:tcPr>
            <w:tcW w:w="340" w:type="dxa"/>
            <w:vAlign w:val="bottom"/>
          </w:tcPr>
          <w:p>
            <w:pPr>
              <w:spacing w:after="0"/>
              <w:rPr>
                <w:sz w:val="20"/>
                <w:szCs w:val="20"/>
                <w:color w:val="auto"/>
              </w:rPr>
            </w:pPr>
          </w:p>
        </w:tc>
        <w:tc>
          <w:tcPr>
            <w:tcW w:w="1260" w:type="dxa"/>
            <w:vAlign w:val="bottom"/>
          </w:tcPr>
          <w:p>
            <w:pPr>
              <w:jc w:val="center"/>
              <w:ind w:left="130"/>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Exercise</w:t>
            </w: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60" w:type="dxa"/>
            <w:vAlign w:val="bottom"/>
            <w:tcBorders>
              <w:top w:val="single" w:sz="8" w:color="auto"/>
            </w:tcBorders>
            <w:shd w:val="clear" w:color="auto" w:fill="CCEEFF"/>
          </w:tcPr>
          <w:p>
            <w:pPr>
              <w:jc w:val="right"/>
              <w:ind w:right="110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314"/>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260" w:type="dxa"/>
            <w:vAlign w:val="bottom"/>
          </w:tcPr>
          <w:p>
            <w:pPr>
              <w:jc w:val="right"/>
              <w:ind w:right="1101"/>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8"/>
                <w:szCs w:val="18"/>
                <w:color w:val="auto"/>
              </w:rPr>
            </w:pPr>
          </w:p>
        </w:tc>
        <w:tc>
          <w:tcPr>
            <w:tcW w:w="1260" w:type="dxa"/>
            <w:vAlign w:val="bottom"/>
          </w:tcPr>
          <w:p>
            <w:pPr>
              <w:jc w:val="right"/>
              <w:ind w:right="109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13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p>
        </w:tc>
        <w:tc>
          <w:tcPr>
            <w:tcW w:w="1260" w:type="dxa"/>
            <w:vAlign w:val="bottom"/>
            <w:shd w:val="clear" w:color="auto" w:fill="CCEEFF"/>
          </w:tcPr>
          <w:p>
            <w:pPr>
              <w:jc w:val="right"/>
              <w:ind w:right="110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13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also agreed to pay to the underwriter a management fee equal to 1% of the aggregate gross proceeds raised in this offering. We estimate the total expenses payable by us for this offering, excluding the underwriting discounts and commissions, to be approximately $510,000, which includes (i) a $35,000 non-accountable expense allowance payable to the underwriter, (ii) reimbursement of the accountable expenses of the underwriter up to $125,000, including the legal fees of the underwriter, inclusive of the Advance (as defined below), (iii) if applicable, reimbursement of documented costs of clearing agent settlement up to $10,000 and (iv) other estimated expenses, which include legal, accounting, printing costs and various fees associated with the registration and listing of our securities sold in this offering in a total estimated amount of $340,000.</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paid an advance of $35,000 to the underwriter, which will be applied against accountable expenses that will be paid by us to the underwriter in connection with the offering, which advance will be refunded to us to the extent not actually incurred by the underwriter in the event this offering is terminated (the “Advance”).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jc w:val="both"/>
        <w:ind w:firstLine="648"/>
        <w:spacing w:after="0" w:line="257" w:lineRule="auto"/>
        <w:rPr>
          <w:sz w:val="20"/>
          <w:szCs w:val="20"/>
          <w:color w:val="auto"/>
        </w:rPr>
      </w:pPr>
      <w:r>
        <w:rPr>
          <w:rFonts w:ascii="Arial" w:cs="Arial" w:eastAsia="Arial" w:hAnsi="Arial"/>
          <w:sz w:val="18"/>
          <w:szCs w:val="18"/>
          <w:color w:val="auto"/>
        </w:rPr>
        <w:t>We have also agreed to pay the underwriter a tail fee equal to the cash and warrant compensation in this offering if any investor which the underwriter contacted or introduced us to during the term of the underwriter’s engagement (other than investors who have a pre-existing relationship with us) provides us with further capital in a public or private offering or capital raising transaction and such offering or transaction is consummated during the six-month period following termination or expiration of that certain engagement letter, dated October 12, 2018, entered into between us and the underwriter (the “Engagement L etter”).</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agreed to issue to the underwriter warrants (the “Underwriter’s Warrants”) to purchase a number of shares of our common stock equal to 5.0% of the aggregate number of shares of common stock (i) included within the units, (ii) issuable upon the exercise of the pre-funded warrants included within the pre-funded units sold in this offering and (iii) included in the option to purchase additional securities. The underwriter warrants will be exercisable immediately and will have a term of five years from the effective date of the registration statement of which this prospectus is a part and an exercise price per share equal to 125% of the public offering price for the shares sold in this offering. Pursuant to FINRA Rule 5110(g), the Underwriter’s Warrants and any shares issued upon exercise of the Underwriter’s Warrants shall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this offering, except the transfer of any security: (i) by operation of law or by reason of our reorganization; (ii) to any FINRA member firm participating in the offering and the officers or partners thereof, if all securities so transferred remain subject to the lock-up restriction set forth above for the remainder of the time period; (iii) if the aggregate amount of our securities held by the underwriter or related persons do not exceed 1% of the securities being offered; (iv)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granted to the underwriter an option, exercisable not later than 30 days after the date of this prospectus, to purchase up to an additional</w:t>
      </w:r>
    </w:p>
    <w:p>
      <w:pPr>
        <w:spacing w:after="0" w:line="46" w:lineRule="exact"/>
        <w:rPr>
          <w:sz w:val="20"/>
          <w:szCs w:val="20"/>
          <w:color w:val="auto"/>
        </w:rPr>
      </w:pPr>
    </w:p>
    <w:p>
      <w:pPr>
        <w:spacing w:after="0"/>
        <w:tabs>
          <w:tab w:leader="none" w:pos="4920" w:val="left"/>
        </w:tabs>
        <w:rPr>
          <w:sz w:val="20"/>
          <w:szCs w:val="20"/>
          <w:color w:val="auto"/>
        </w:rPr>
      </w:pPr>
      <w:r>
        <w:rPr>
          <w:rFonts w:ascii="Arial" w:cs="Arial" w:eastAsia="Arial" w:hAnsi="Arial"/>
          <w:sz w:val="18"/>
          <w:szCs w:val="18"/>
          <w:color w:val="auto"/>
        </w:rPr>
        <w:t>903,614 shares of our common stock at a purchase price of $</w:t>
      </w:r>
      <w:r>
        <w:rPr>
          <w:sz w:val="20"/>
          <w:szCs w:val="20"/>
          <w:color w:val="auto"/>
        </w:rPr>
        <w:tab/>
      </w:r>
      <w:r>
        <w:rPr>
          <w:rFonts w:ascii="Arial" w:cs="Arial" w:eastAsia="Arial" w:hAnsi="Arial"/>
          <w:sz w:val="16"/>
          <w:szCs w:val="16"/>
          <w:color w:val="auto"/>
        </w:rPr>
        <w:t>per share and/or common warrants to purchase up to an aggregate of 903,614 shares of</w:t>
      </w:r>
    </w:p>
    <w:p>
      <w:pPr>
        <w:spacing w:after="0" w:line="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common stock at a purchase price of $0.01 per common warrant with an exercise price of $ per share, less the underwriting discounts and commissions, set forth on the cover page of this prospectus. If any additional securities are purchased pursuant to such option, the underwriter will offer these securities on the same terms as those on which the securities are being offered hereby.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granted the underwriter a right of first refusal for a period of twelve months following the closing of this offering to act as sole book-running manager, sole underwriter or sole placement agent for each and every future public offering or private placement of equity or debt securities by us or any of our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Section 16 (under the Exchange Act) officers and directors have agreed with the underwriter to be subject to a lock-up period of 90 days following the date of this prospectus. This means that, during the applicable lock-up period, such persons may not offer for sale, contract to sell, sell, distribute, grant any option, right or warrant to purchase, pledge, hypothecate or otherwise dispose of, directly or indirectly, any of our shares of common stock or any securities convertible into, or exercisable or exchangeable for, shares of common stock. Certain limited transfers are permitted during the lock-up period if the transferee agrees to these lock-up restrictions.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agreed, in the underwriting agreement, to similar lock-up restrictions on the issuance and sale of our shares of common stock, or any securities convertible into, or exercisable or exchangeable for, shares of common stock, for 90 days following the closing of this offering, subject to certain exceptions.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 may, in its sole discretion and without notice, waive the terms of any of these lock-up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 may engage in syndicate covering transactions, stabilizing transactions and penalty bids or purchases for the purpose of pegging, fixing or maintaining the price of our common stock:</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securities in the open market after the distribution has been completed in order to cover syndicate short positions. Such a naked short position would be closed out by buying securities in the open market. A naked short position is more likely to be created if the underwriter is concerned that there could be downward pressure on the price of the securities in the open market after pricing that could adversely affect investors who purchase in the offering.</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specific maximum.</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Penalty bids permit the underwriter to reclaim a selling concession from a syndicate member when the securities originally sold by the syndicate member are purchased in a stabilizing or syndicate covering transaction to cover syndicate short positions.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both"/>
        <w:ind w:firstLine="648"/>
        <w:spacing w:after="0" w:line="276" w:lineRule="auto"/>
        <w:rPr>
          <w:sz w:val="20"/>
          <w:szCs w:val="20"/>
          <w:color w:val="auto"/>
        </w:rPr>
      </w:pPr>
      <w:r>
        <w:rPr>
          <w:rFonts w:ascii="Arial" w:cs="Arial" w:eastAsia="Arial" w:hAnsi="Arial"/>
          <w:sz w:val="17"/>
          <w:szCs w:val="17"/>
          <w:color w:val="auto"/>
        </w:rPr>
        <w:t>These syndicate covering transactions, stabilizing transactions and penalty bids may have the effect of raising or maintaining the market prices of our securities or preventing or retarding a decline in the market prices of our securities. As a result, the price of our common stock may be higher than the price that might otherwise exist in the open market. Neither we nor the underwriter make any representation or prediction as to the effect that the transactions described above may have on the price of our common stock. These transactions may be effected on the Nasdaq Capital Market, in the over-the-counter market or on any other trading market and, if commenced, may be discontinued at any time.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this offering, the underwriter also may engage in passive market making transactions in our common stock in accordance with Regulation M during a period before the commencement of offers or sales of our securities in this offering and extending through the completion of the distribution. In general, a passive market maker must display its bid at a price not in excess of the highest independent bid for that security. However, if all independent bids are lowered below the passive market maker’s bid that bid must then be lowered when specific purchase limits are exceeded. Passive market making may stabilize the market price of the securities at a level above that which might otherwise prevail in the open market and, if commenced, may be discontinued at any time.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we nor the underwriter make any representation or prediction as to the direction or magnitude of any effect that the transactions described above may have on the prices of our securities. In addition, neither we nor the underwriter make any representation that the underwriter will engage in these transactions or that any transactions, once commenced, will not be discontinued without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certain liabilities arising under the Securities Act, or to contribute to payments that the underwriter may be required to make for these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actual offering price of the securities we are offering will be negotiated between us and the underwriter based on the trading of our common stock prior to the offering, among other things, and may be at a discount to the current market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prospectus in electronic format may be made available on the websites maintained by the underwriter, if any, participating in this offering and the underwriter may distribute prospectuses electronically. Other than the prospectus in electronic format, the information on these websites is not part of this prospectus or the registration statement of which this prospectus form a part, has not been approved or endorsed by us or the underwriter, and should not be relied upon by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 and its respective affiliates may in the future engage in investment banking and other commercial dealings in the ordinary course of business with us or our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“MBOT.” We do not plan to list the pre-funded warrants , the common warrants or the Underwriter’s Warrants on The Nasdaq Capital Market or any other securities exchange or trading market.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Belgium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offering is exclusively conducted under applicable private placement exemptions and therefore it has not been and will not be notified to, and this document or any other offering material relating to the securities has not been and will not be approved by, the Belgian Banking, Finance and Insurance Commission (“Commission bancaire, financière et des assurances/Commissie voor het Bank, Financie en Assurantiewezen”). Any representation to the contrary is unlawful.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ind w:firstLine="648"/>
        <w:spacing w:after="0" w:line="291" w:lineRule="auto"/>
        <w:rPr>
          <w:sz w:val="20"/>
          <w:szCs w:val="20"/>
          <w:color w:val="auto"/>
        </w:rPr>
      </w:pPr>
      <w:r>
        <w:rPr>
          <w:rFonts w:ascii="Arial" w:cs="Arial" w:eastAsia="Arial" w:hAnsi="Arial"/>
          <w:sz w:val="16"/>
          <w:szCs w:val="16"/>
          <w:color w:val="auto"/>
        </w:rPr>
        <w:t>The underwriter has undertaken not to offer sell, resell, transfer or deliver directly or indirectly, any units, or to take any steps relating/ancillary thereto, and not to distribute or publish this document or any other material relating to the units or to the offering in a manner which would be construed as:</w:t>
      </w:r>
    </w:p>
    <w:p>
      <w:pPr>
        <w:jc w:val="both"/>
        <w:ind w:firstLine="8"/>
        <w:spacing w:after="0" w:line="255" w:lineRule="auto"/>
        <w:tabs>
          <w:tab w:leader="none" w:pos="2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public offering under the Belgian Royal Decree of 7 July 1999 on the public character of financial transactions; or (b) an offering of securities to the public under Directive 2003/71/EC which triggers an obligation to publish a prospectus in Belgium. Any action contrary to these restrictions will cause the recipient and the Company to be in violation of the Belgian securities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Neither this prospectus nor any other offering material relating to the securities has been submitted to the clearance procedures of the Autorité des marchés financiers in France. The securities have not been offered or sold and will not be offered or sold, directly or indirectly, to the public in France. Neither this prospectus nor any other offering material relating to the securities has been or will be: (a) released, issued, distributed or caused to be released, issued or distributed to the public in France; or (b) used in connection with any offer for subscription or sale of the securities to the public in France. Such offers, sales and distributions will be made in France only: (i) to qualified investors (investisseurs qualifiés) and/or to a restricted circle of investors (cercle restreint d’investisseurs), in each case investing for their own account, all as defined in and in accordance with Articles L.411-2, D.411-1, D.411-2, D.734-1,D.744-1, D.754-1 and D.764-1 of the French Code monétaire et financier; (ii) to investment services providers authorised to engage in portfolio management on behalf of third parties; or (iii) in a transaction that, in accordance with article L.411-2-II-1°-or-2°-or 3° of the French Code monétaire et financier and article 211-2 of the General Regulations (Règlement Général) of the Autorité des marchés financiers, does not constitute a public offer (appel public à l’épargne). Such securities may be resold only in compliance with Articles L.411-1, L.411-2, L.412-1 and L.621-8 through L.621-8-3 of the French Code monétaire et financier.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Kingdom/Germany/Norway/The Netherlands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securities which are the subject of the offering contemplated by this prospectus may not be made in that Relevant Member State other than the offers contemplated in this prospectus in name(s) of Member State(s) where prospectus will be approved or passported for the purposes of a non-exempt offer once this prospectus has been approved by the competent authority in such Member State and published and passported in accordance with the Prospectus Directive as implemented in name(s) of relevant Member State(s) except that an offer to the public in that Relevant Member State of any security may be made at any time under the following exemptions under the Prospectus Directive, if they have been implemented in that Relevant Member State:</w:t>
      </w:r>
    </w:p>
    <w:p>
      <w:pPr>
        <w:spacing w:after="0" w:line="189" w:lineRule="exact"/>
        <w:rPr>
          <w:sz w:val="20"/>
          <w:szCs w:val="20"/>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the representative to fewer than 100 natural or legal persons (other than qualified investors as defined in the Prospectus Directive); or</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units shall result in a requirement for the publication by the company or any underwriter of a prospectus pursuant to Article 3 of the Prospectus Directive.</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the purposes of this provision, the expression an “offer to the public” in relation to any units in any Relevant Member State means the communication in any form and by any means of sufficient information on the terms of the offer and any units to be offered so as to enable an investor to decide to purchase any units,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 has represented, warranted and agreed that:</w:t>
      </w:r>
    </w:p>
    <w:p>
      <w:pPr>
        <w:spacing w:after="0" w:line="225" w:lineRule="exact"/>
        <w:rPr>
          <w:sz w:val="20"/>
          <w:szCs w:val="20"/>
          <w:color w:val="auto"/>
        </w:rPr>
      </w:pPr>
    </w:p>
    <w:p>
      <w:pPr>
        <w:jc w:val="both"/>
        <w:ind w:left="340" w:hanging="332"/>
        <w:spacing w:after="0" w:line="286"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units in circumstances in which section 21(1) of the FSMA does not apply to the company; and</w:t>
      </w:r>
    </w:p>
    <w:p>
      <w:pPr>
        <w:spacing w:after="0" w:line="165"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Israel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qualified investors. Qualified investors will be required to submit written confirmation that they fall within the scope of the Addendum.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Italy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offering of the securities offered hereby in Italy has not been registered with the Commissione Nazionale per la Società e la Borsa (“CONSOB”) pursuant to Italian securities legislation and, accordingly, the securities offered hereby cannot be offered, sold or delivered in the Republic of Italy (“Italy”) nor may any copy of this prospectus or any other document relating to the securities offered hereby be distributed in Italy other than to professional investors (operatori qualificati) as defined in Article 31, second paragraph, of CONSOB Regulation No. 11522 of 1 July, 1998 as subsequently amended. Any offer, sale or delivery of the securities offered hereby or distribution of copies of this prospectus or any other document relating to the securities offered hereby in Italy must be made:</w:t>
      </w:r>
    </w:p>
    <w:p>
      <w:pPr>
        <w:spacing w:after="0" w:line="193" w:lineRule="exact"/>
        <w:rPr>
          <w:sz w:val="20"/>
          <w:szCs w:val="20"/>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an investment firm, bank or intermediary permitted to conduct such activities in Italy in accordance with Legislative Decree No. 58 of 24 February 1998 and Legislative Decree No. 385 of 1 September 1993 (the “Banking Act”);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compliance with Article 129 of the Banking Act and the implementing guidelines of the Bank of Italy;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compliance with any other applicable laws and regulations and other possible requirements or limitations which may be imposed by Italian authorities.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Sweden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prospectus has not been nor will it be registered with or approved by Finansinspektionen (the Swedish Financial Supervisory Authority). Accordingly, this prospectus may not be made available, nor may the securities offered hereunder be marketed and offered for sale in Sweden, other than under circumstances which are deemed not to require a prospectus under the Financial Instruments Trading Act (1991: 980).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securities offered pursuant to this prospectus will not be offered, directly or indirectly, to the public in Switzerland and this prospectus does not constitute a public offering prospectus as that term is understood pursuant to art. 652a or art. 1156 of the Swiss Federal Code of Obligations. The company has not applied for a listing of the securities being offered pursuant to this prospectus on the SWX Swiss Exchange or on any other regulated securities market, and consequently, the information presented in this prospectus does not necessarily comply with the information standards set out in the relevant listing rules. The securities being offered pursuant to this prospectus have not been registered with the Swiss Federal Banking Commission as foreign investment funds, and the investor protection afforded to acquirers of investment fund certificates does not extend to acquirers of securities.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Investors are advised to contact their legal, financial or tax advisers to obtain an independent assessment of the financial and tax consequences of an investment in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validity of the securities being offered by this prospectus will be passed upon for us by Mintz, Levin, Cohn, Ferris, Glovsky and Popeo P.C., Boston, Massachusetts. The underwriter is being represented by Lowenstein Sandler,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2017, have been audited by Brightman Almagor Zohar &amp; Co., a Member of Deloitte Touche Tohmatsu Limited,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You can read our SEC filings, including the registration statement, over the Internet at the SEC’s website at www.sec.gov.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 You may also request a copy of these filings, at no cost, by writing us at 25 Recreation Park Drive, Unit 108 Hingham, Massachusetts 02043 or telephoning us at (781) 875-3605.</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the information and periodic reporting requirements of the Exchange Act, and we file periodic reports, proxy statements and other information with the SEC. These periodic reports, proxy statements and other information are available for inspection and copying at the public reference room and website of the SEC referred to above. We maintain a website at www.microbotmedical.com.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incorporated by reference in, and is not part of, this prospectus.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6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with the SEC on April 2, 2018;</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June 30, 2018 and September 30, 2018, filed with the SEC on May 15, 2018, August 14, 2018, and November 14, 2018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July 27, 2018;</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reports on Form 8-K and any amendments thereto on Form 8-K/A, filed with the SEC on January 8, 2018; January 31, 2018; March 28, 2018; April 5, 2018; April 16, 2018; September 4, 2018, October 1, 2018, November 19, 2018, November 30, 2018 and December 12, 2018 (in each case, except for information contained therein which is furnished rather than filed);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both"/>
        <w:ind w:right="20" w:firstLine="324"/>
        <w:spacing w:after="0" w:line="308" w:lineRule="auto"/>
        <w:rPr>
          <w:sz w:val="20"/>
          <w:szCs w:val="20"/>
          <w:color w:val="auto"/>
        </w:rPr>
      </w:pPr>
      <w:r>
        <w:rPr>
          <w:rFonts w:ascii="Arial" w:cs="Arial" w:eastAsia="Arial" w:hAnsi="Arial"/>
          <w:sz w:val="17"/>
          <w:szCs w:val="17"/>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4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provide to each person, including any beneficial owners, to whom a prospectus is delivered, a copy of any or all of the reports or documents that have been incorporated by reference in the prospectus contained in the registration statement but not delivered with the prospectus. We will provide these reports or documents upon written or oral request at no cost to the requester. You should direct any written requests for documents to Microbot Medical Inc. Attn: Chief Financial Officer, 25 Recreation Park Drive, Unit 108, Hingham, Massachusetts 02043. You may also telephone us at (781) 875-3605.</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60" w:type="dxa"/>
            <w:vAlign w:val="bottom"/>
            <w:gridSpan w:val="9"/>
          </w:tcPr>
          <w:p>
            <w:pPr>
              <w:jc w:val="center"/>
              <w:ind w:right="3580"/>
              <w:spacing w:after="0"/>
              <w:rPr>
                <w:sz w:val="20"/>
                <w:szCs w:val="20"/>
                <w:color w:val="auto"/>
              </w:rPr>
            </w:pPr>
            <w:r>
              <w:rPr>
                <w:rFonts w:ascii="Arial" w:cs="Arial" w:eastAsia="Arial" w:hAnsi="Arial"/>
                <w:sz w:val="18"/>
                <w:szCs w:val="18"/>
                <w:b w:val="1"/>
                <w:bCs w:val="1"/>
                <w:color w:val="auto"/>
              </w:rPr>
              <w:t>MICROBOT MEDICAL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40" w:type="dxa"/>
            <w:vAlign w:val="bottom"/>
            <w:gridSpan w:val="12"/>
          </w:tcPr>
          <w:p>
            <w:pPr>
              <w:jc w:val="center"/>
              <w:ind w:right="180"/>
              <w:spacing w:after="0"/>
              <w:rPr>
                <w:sz w:val="20"/>
                <w:szCs w:val="20"/>
                <w:color w:val="auto"/>
              </w:rPr>
            </w:pPr>
            <w:r>
              <w:rPr>
                <w:rFonts w:ascii="Arial" w:cs="Arial" w:eastAsia="Arial" w:hAnsi="Arial"/>
                <w:sz w:val="18"/>
                <w:szCs w:val="18"/>
                <w:b w:val="1"/>
                <w:bCs w:val="1"/>
                <w:color w:val="auto"/>
              </w:rPr>
              <w:t>INDEX TO CONSOLIDATED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Report of Independent Registered Public Accounting Firm</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Balance Sheets as of December 31, 2017, and 2016</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Consolidated Statements of Comprehensive Loss for the years ended December 31, 2017 and 2016</w:t>
              </w:r>
            </w:hyperlink>
          </w:p>
        </w:tc>
        <w:tc>
          <w:tcPr>
            <w:tcW w:w="36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Shareholders’ Equity (Deficit) for the years ended December 31, 2017 and 2016</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Cash Flows for the years ended December 31, 2017 and 2016</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Notes to the Consolidated Financial Statements</w:t>
              </w:r>
            </w:hyperlink>
          </w:p>
        </w:tc>
        <w:tc>
          <w:tcPr>
            <w:tcW w:w="43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Interim Consolidated Balance Sheets as of September 30, 2018 (unaudited) and December 31, 2017</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1"/>
              </w:rPr>
              <w:t>F-29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Interim Consolidated Statements of Comprehensive Loss for the three and nine months ended September 30, 2018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Interim Consolidated Statements of Shareholders’ Equity for the year ended December 31, 2018 and the nine months ended September 30, 2018</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4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(unaudited)</w:t>
              </w:r>
            </w:hyperlink>
          </w:p>
        </w:tc>
        <w:tc>
          <w:tcPr>
            <w:tcW w:w="38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1"/>
              </w:rPr>
              <w:t>F-31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Interim Consolidated Statements of Cash Flows for the three and nine months ended September 30, 2018 and 2017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Notes to the Interim Consolidated Financial Statements</w:t>
              </w:r>
            </w:hyperlink>
          </w:p>
        </w:tc>
        <w:tc>
          <w:tcPr>
            <w:tcW w:w="162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1"/>
              </w:rPr>
              <w:t>F-33</w:t>
            </w:r>
          </w:p>
        </w:tc>
        <w:tc>
          <w:tcPr>
            <w:tcW w:w="0" w:type="dxa"/>
            <w:vAlign w:val="bottom"/>
          </w:tcPr>
          <w:p>
            <w:pPr>
              <w:spacing w:after="0"/>
              <w:rPr>
                <w:sz w:val="1"/>
                <w:szCs w:val="1"/>
                <w:color w:val="auto"/>
              </w:rPr>
            </w:pPr>
          </w:p>
        </w:tc>
      </w:tr>
      <w:tr>
        <w:trPr>
          <w:trHeight w:val="460"/>
        </w:trPr>
        <w:tc>
          <w:tcPr>
            <w:tcW w:w="20" w:type="dxa"/>
            <w:vAlign w:val="bottom"/>
            <w:tcBorders>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25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5" w:name="page36"/>
    <w:bookmarkEnd w:id="35"/>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2143760" cy="471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143760" cy="471805"/>
                    </a:xfrm>
                    <a:prstGeom prst="rect">
                      <a:avLst/>
                    </a:prstGeom>
                    <a:noFill/>
                  </pic:spPr>
                </pic:pic>
              </a:graphicData>
            </a:graphic>
          </wp:anchor>
        </w:drawing>
      </w:r>
    </w:p>
    <w:p>
      <w:pPr>
        <w:ind w:right="5260"/>
        <w:spacing w:after="0" w:line="266"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Stockholders of MICROBOT MEDICAL,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Microbot Medical, Inc. and its subsidiary (the “Company”) as of December 31, 2017 and 2016 and the related consolidated statements of comprehensive loss, stockholders’ equity and cash flows for each of the two years in the period ended December 31, 2017, and the related notes (collectively referred to as the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 Limited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2018, except Note 1D, as to which the date is November 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402580" cy="1526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0258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10,787</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bottom w:val="single" w:sz="8" w:color="CCEEFF"/>
            </w:tcBorders>
            <w:gridSpan w:val="2"/>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2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8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450</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Convertible notes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204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32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556</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Temporary equity:</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of $0.01 par value; issued and outstanding: 721,107 shares as</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 December 31, 2017 and 2016</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tcPr>
          <w:p>
            <w:pPr>
              <w:spacing w:after="0" w:line="201" w:lineRule="exact"/>
              <w:rPr>
                <w:sz w:val="20"/>
                <w:szCs w:val="20"/>
                <w:color w:val="auto"/>
              </w:rPr>
            </w:pPr>
            <w:r>
              <w:rPr>
                <w:rFonts w:ascii="Arial" w:cs="Arial" w:eastAsia="Arial" w:hAnsi="Arial"/>
                <w:sz w:val="18"/>
                <w:szCs w:val="18"/>
                <w:color w:val="auto"/>
              </w:rPr>
              <w:t>Preferred stock of $0.01 par value; Authorized: 1,000,000 shares as of</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4"/>
          </w:tcPr>
          <w:p>
            <w:pPr>
              <w:spacing w:after="0"/>
              <w:rPr>
                <w:sz w:val="20"/>
                <w:szCs w:val="20"/>
                <w:color w:val="auto"/>
              </w:rPr>
            </w:pPr>
            <w:r>
              <w:rPr>
                <w:rFonts w:ascii="Arial" w:cs="Arial" w:eastAsia="Arial" w:hAnsi="Arial"/>
                <w:sz w:val="18"/>
                <w:szCs w:val="18"/>
                <w:color w:val="auto"/>
                <w:w w:val="94"/>
              </w:rPr>
              <w:t>December 31, 2017 and 2016;issued and outstanding: 4,001 and 9,736 shares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4"/>
          </w:tcPr>
          <w:p>
            <w:pPr>
              <w:spacing w:after="0"/>
              <w:rPr>
                <w:sz w:val="20"/>
                <w:szCs w:val="20"/>
                <w:color w:val="auto"/>
              </w:rPr>
            </w:pPr>
            <w:r>
              <w:rPr>
                <w:rFonts w:ascii="Arial" w:cs="Arial" w:eastAsia="Arial" w:hAnsi="Arial"/>
                <w:sz w:val="18"/>
                <w:szCs w:val="18"/>
                <w:color w:val="auto"/>
              </w:rPr>
              <w:t>as of December 31, 2017 and 2016, respectively</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of $0.01 par value; Authorized: 220,000,000 as of December</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 2017 and 2016; issued and outstanding (**): 2,013,193 and 1,067,777</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as of December 31, 2017, and December 31, 2016, respectively</w:t>
            </w: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30,561</w:t>
            </w:r>
          </w:p>
        </w:tc>
        <w:tc>
          <w:tcPr>
            <w:tcW w:w="6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(20,624)</w:t>
            </w:r>
          </w:p>
        </w:tc>
        <w:tc>
          <w:tcPr>
            <w:tcW w:w="6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 w:type="dxa"/>
            <w:vAlign w:val="bottom"/>
            <w:tcBorders>
              <w:top w:val="single" w:sz="8" w:color="CCEEFF"/>
              <w:bottom w:val="single" w:sz="8" w:color="CCEEFF"/>
            </w:tcBorders>
          </w:tcPr>
          <w:p>
            <w:pPr>
              <w:spacing w:after="0"/>
              <w:rPr>
                <w:sz w:val="22"/>
                <w:szCs w:val="22"/>
                <w:color w:val="auto"/>
              </w:rPr>
            </w:pPr>
          </w:p>
        </w:tc>
        <w:tc>
          <w:tcPr>
            <w:tcW w:w="3240" w:type="dxa"/>
            <w:vAlign w:val="bottom"/>
            <w:tcBorders>
              <w:top w:val="single" w:sz="8" w:color="CCEEFF"/>
              <w:bottom w:val="single" w:sz="8" w:color="CCEEFF"/>
            </w:tcBorders>
          </w:tcPr>
          <w:p>
            <w:pPr>
              <w:spacing w:after="0"/>
              <w:rPr>
                <w:sz w:val="22"/>
                <w:szCs w:val="22"/>
                <w:color w:val="auto"/>
              </w:rPr>
            </w:pPr>
          </w:p>
        </w:tc>
        <w:tc>
          <w:tcPr>
            <w:tcW w:w="204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9,964</w:t>
            </w:r>
          </w:p>
        </w:tc>
        <w:tc>
          <w:tcPr>
            <w:tcW w:w="320" w:type="dxa"/>
            <w:vAlign w:val="bottom"/>
            <w:tcBorders>
              <w:top w:val="single" w:sz="8" w:color="CCEEFF"/>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11,020</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firstLine="8"/>
        <w:spacing w:after="0" w:line="261" w:lineRule="auto"/>
        <w:tabs>
          <w:tab w:leader="none" w:pos="3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 as discussed in Note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Years ended</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4,167</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 net</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(7,589)</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Weighted-average number of common shares outstanding, basic and</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t>
            </w: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2,201,992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 as discussed in Note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8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Preferred A Shares –</w:t>
            </w:r>
          </w:p>
        </w:tc>
        <w:tc>
          <w:tcPr>
            <w:tcW w:w="60" w:type="dxa"/>
            <w:vAlign w:val="bottom"/>
          </w:tcPr>
          <w:p>
            <w:pPr>
              <w:spacing w:after="0"/>
              <w:rPr>
                <w:sz w:val="14"/>
                <w:szCs w:val="14"/>
                <w:color w:val="auto"/>
              </w:rPr>
            </w:pPr>
          </w:p>
        </w:tc>
        <w:tc>
          <w:tcPr>
            <w:tcW w:w="98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4"/>
              </w:rPr>
              <w:t>Preferred A</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Shares – Microbot</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80" w:type="dxa"/>
            <w:vAlign w:val="bottom"/>
            <w:gridSpan w:val="6"/>
          </w:tcPr>
          <w:p>
            <w:pPr>
              <w:jc w:val="center"/>
              <w:ind w:right="120"/>
              <w:spacing w:after="0" w:line="158" w:lineRule="exact"/>
              <w:rPr>
                <w:sz w:val="20"/>
                <w:szCs w:val="20"/>
                <w:color w:val="auto"/>
              </w:rPr>
            </w:pPr>
            <w:r>
              <w:rPr>
                <w:rFonts w:ascii="Arial" w:cs="Arial" w:eastAsia="Arial" w:hAnsi="Arial"/>
                <w:sz w:val="14"/>
                <w:szCs w:val="14"/>
                <w:b w:val="1"/>
                <w:bCs w:val="1"/>
                <w:color w:val="auto"/>
                <w:w w:val="98"/>
              </w:rPr>
              <w:t>Microbot Medical Ltd.</w:t>
            </w:r>
          </w:p>
        </w:tc>
        <w:tc>
          <w:tcPr>
            <w:tcW w:w="60" w:type="dxa"/>
            <w:vAlign w:val="bottom"/>
          </w:tcPr>
          <w:p>
            <w:pPr>
              <w:spacing w:after="0"/>
              <w:rPr>
                <w:sz w:val="13"/>
                <w:szCs w:val="13"/>
                <w:color w:val="auto"/>
              </w:rPr>
            </w:pPr>
          </w:p>
        </w:tc>
        <w:tc>
          <w:tcPr>
            <w:tcW w:w="980" w:type="dxa"/>
            <w:vAlign w:val="bottom"/>
            <w:gridSpan w:val="3"/>
          </w:tcPr>
          <w:p>
            <w:pPr>
              <w:jc w:val="center"/>
              <w:ind w:left="108"/>
              <w:spacing w:after="0" w:line="158" w:lineRule="exact"/>
              <w:rPr>
                <w:sz w:val="20"/>
                <w:szCs w:val="20"/>
                <w:color w:val="auto"/>
              </w:rPr>
            </w:pPr>
            <w:r>
              <w:rPr>
                <w:rFonts w:ascii="Arial" w:cs="Arial" w:eastAsia="Arial" w:hAnsi="Arial"/>
                <w:sz w:val="14"/>
                <w:szCs w:val="14"/>
                <w:b w:val="1"/>
                <w:bCs w:val="1"/>
                <w:color w:val="auto"/>
                <w:w w:val="95"/>
              </w:rPr>
              <w:t>Medical Inc.</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5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6"/>
              </w:rPr>
              <w:t>(Pre - merger) *</w:t>
            </w:r>
          </w:p>
        </w:tc>
        <w:tc>
          <w:tcPr>
            <w:tcW w:w="60" w:type="dxa"/>
            <w:vAlign w:val="bottom"/>
          </w:tcPr>
          <w:p>
            <w:pPr>
              <w:spacing w:after="0"/>
              <w:rPr>
                <w:sz w:val="17"/>
                <w:szCs w:val="17"/>
                <w:color w:val="auto"/>
              </w:rPr>
            </w:pPr>
          </w:p>
        </w:tc>
        <w:tc>
          <w:tcPr>
            <w:tcW w:w="13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(Post - merger) *</w:t>
            </w: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Common Stock (***)</w:t>
            </w:r>
          </w:p>
        </w:tc>
        <w:tc>
          <w:tcPr>
            <w:tcW w:w="1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paid-in</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shareholders’</w:t>
            </w:r>
          </w:p>
        </w:tc>
        <w:tc>
          <w:tcPr>
            <w:tcW w:w="60" w:type="dxa"/>
            <w:vAlign w:val="bottom"/>
          </w:tcPr>
          <w:p>
            <w:pPr>
              <w:spacing w:after="0"/>
              <w:rPr>
                <w:sz w:val="17"/>
                <w:szCs w:val="17"/>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Temporary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8,708,132</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87</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888,188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3,212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(3,372)</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(64)</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convertible notes and exercise of</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warrants issued upon conversion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4,746,237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1,803</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1,851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Effect of reverse recapitalization</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(13,454,369)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1,030,957</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classified as temporary equity</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line="130" w:lineRule="exact"/>
              <w:rPr>
                <w:sz w:val="20"/>
                <w:szCs w:val="20"/>
                <w:color w:val="auto"/>
              </w:rPr>
            </w:pPr>
            <w:r>
              <w:rPr>
                <w:rFonts w:ascii="Arial" w:cs="Arial" w:eastAsia="Arial" w:hAnsi="Arial"/>
                <w:sz w:val="14"/>
                <w:szCs w:val="14"/>
                <w:color w:val="auto"/>
              </w:rPr>
              <w:t>Beneficial Conversion Feature recorded on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color w:val="auto"/>
                <w:w w:val="96"/>
              </w:rPr>
              <w:t>convertible debt acquired in reverse recapitalization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2,029</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2,029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Transaction costs incurred in reverse</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recapitalization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525,706</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6,890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6,895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line="130" w:lineRule="exact"/>
              <w:rPr>
                <w:sz w:val="20"/>
                <w:szCs w:val="20"/>
                <w:color w:val="auto"/>
              </w:rPr>
            </w:pPr>
            <w:r>
              <w:rPr>
                <w:rFonts w:ascii="Arial" w:cs="Arial" w:eastAsia="Arial" w:hAnsi="Arial"/>
                <w:sz w:val="14"/>
                <w:szCs w:val="14"/>
                <w:color w:val="auto"/>
              </w:rPr>
              <w:t>Cancellation of ordinary shares and issuance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9,736</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(655,967)</w:t>
            </w:r>
          </w:p>
        </w:tc>
        <w:tc>
          <w:tcPr>
            <w:tcW w:w="2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based compensation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(9,663)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(9,663)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46"/>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Balances, December 31, 2016</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9,736</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(**)1,788,884</w:t>
            </w:r>
          </w:p>
        </w:tc>
        <w:tc>
          <w:tcPr>
            <w:tcW w:w="20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14,713</w:t>
            </w:r>
          </w:p>
        </w:tc>
        <w:tc>
          <w:tcPr>
            <w:tcW w:w="1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(13,035)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1,696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299,815</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12,699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12,702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8,085</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31,787</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Cashless exercise of warrants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Extinguishment of convertible notes and issuance</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of preferred A shares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3,255</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2,676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w w:val="96"/>
              </w:rPr>
              <w:t>Conversion of preferred A shares to common stock</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(8,990)</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605,705</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4,001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**2,734,300</w:t>
            </w:r>
          </w:p>
        </w:tc>
        <w:tc>
          <w:tcPr>
            <w:tcW w:w="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27</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30,561</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2"/>
                <w:szCs w:val="12"/>
                <w:b w:val="1"/>
                <w:bCs w:val="1"/>
                <w:color w:val="auto"/>
              </w:rPr>
              <w:t>(20,624</w:t>
            </w:r>
            <w:r>
              <w:rPr>
                <w:rFonts w:ascii="Arial" w:cs="Arial" w:eastAsia="Arial" w:hAnsi="Arial"/>
                <w:sz w:val="20"/>
                <w:szCs w:val="20"/>
                <w:b w:val="1"/>
                <w:bCs w:val="1"/>
                <w:color w:val="auto"/>
                <w:vertAlign w:val="superscript"/>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9,964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jc w:val="both"/>
        <w:ind w:firstLine="8"/>
        <w:spacing w:after="0" w:line="250" w:lineRule="auto"/>
        <w:tabs>
          <w:tab w:leader="none" w:pos="1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 data for periods prior to the reverse recapitalization represents the legal equity structure of Microbot Ltd. with the number of shares adjusted to retroactively reflect the one-to-nine Reverse Stock Split effected on November 28, 2016 as well as the reverse recapitalization consummated on November 28, 2016.</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Includes 721,107 common stock classified as temporary equity.</w:t>
      </w:r>
    </w:p>
    <w:p>
      <w:pPr>
        <w:spacing w:after="0" w:line="9" w:lineRule="exact"/>
        <w:rPr>
          <w:rFonts w:ascii="Arial" w:cs="Arial" w:eastAsia="Arial" w:hAnsi="Arial"/>
          <w:sz w:val="18"/>
          <w:szCs w:val="18"/>
          <w:color w:val="auto"/>
        </w:rPr>
      </w:pPr>
    </w:p>
    <w:p>
      <w:pPr>
        <w:ind w:right="20"/>
        <w:spacing w:after="0" w:line="261" w:lineRule="auto"/>
        <w:rPr>
          <w:rFonts w:ascii="Arial" w:cs="Arial" w:eastAsia="Arial" w:hAnsi="Arial"/>
          <w:sz w:val="18"/>
          <w:szCs w:val="18"/>
          <w:color w:val="auto"/>
        </w:rPr>
      </w:pPr>
      <w:r>
        <w:rPr>
          <w:rFonts w:ascii="Arial" w:cs="Arial" w:eastAsia="Arial" w:hAnsi="Arial"/>
          <w:sz w:val="18"/>
          <w:szCs w:val="18"/>
          <w:color w:val="auto"/>
        </w:rPr>
        <w:t>(***) December 31 2017, 2016 and 2015 share data represent the number of shares adjusted to retroactively reflect the 1:15 reverse Stock Split effected on September 4, 2018, as discussed in Note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(7,589)</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Interest and amortization of discount on convertible notes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Share-based transaction costs incurred in reverse recapitalization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Financing loss on debt extinguishment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tcPr>
          <w:p>
            <w:pPr>
              <w:ind w:left="340"/>
              <w:spacing w:after="0"/>
              <w:rPr>
                <w:sz w:val="20"/>
                <w:szCs w:val="20"/>
                <w:color w:val="auto"/>
              </w:rPr>
            </w:pPr>
            <w:r>
              <w:rPr>
                <w:rFonts w:ascii="Arial" w:cs="Arial" w:eastAsia="Arial" w:hAnsi="Arial"/>
                <w:sz w:val="18"/>
                <w:szCs w:val="18"/>
                <w:color w:val="auto"/>
              </w:rPr>
              <w:t>Other payables and accrued liabilities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(4,856)</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Increase in restricted cash</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Acquisition of a subsidiary in connection with reverse recapitalization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Transaction costs incurred in reverse recapitalization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2"/>
              </w:rPr>
              <w:t>Inflows in connection with current assets and liabilities acquired in reverse recapitalization, net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Exercise of warrants issued upon conversion of notes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Issuance of convertible notes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13,019</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8,078</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at the beginning of the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2,709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10,787</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Non-cash financing transactions:</w:t>
            </w:r>
          </w:p>
        </w:tc>
        <w:tc>
          <w:tcPr>
            <w:tcW w:w="444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Cashless exercise of warrants</w:t>
            </w: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Conversion of preferred A shares into common shares</w:t>
            </w:r>
          </w:p>
        </w:tc>
        <w:tc>
          <w:tcPr>
            <w:tcW w:w="142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Extinguishment of convertible notes in exchange for preferred A shares</w:t>
            </w: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2,083</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MICROBOT MEDICAL INC.</w:t>
            </w:r>
          </w:p>
        </w:tc>
        <w:tc>
          <w:tcPr>
            <w:tcW w:w="22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gridSpan w:val="5"/>
          </w:tcPr>
          <w:p>
            <w:pPr>
              <w:jc w:val="center"/>
              <w:ind w:left="2150"/>
              <w:spacing w:after="0" w:line="196" w:lineRule="exact"/>
              <w:rPr>
                <w:sz w:val="20"/>
                <w:szCs w:val="20"/>
                <w:color w:val="auto"/>
              </w:rPr>
            </w:pPr>
            <w:r>
              <w:rPr>
                <w:rFonts w:ascii="Arial" w:cs="Arial" w:eastAsia="Arial" w:hAnsi="Arial"/>
                <w:sz w:val="18"/>
                <w:szCs w:val="18"/>
                <w:b w:val="1"/>
                <w:bCs w:val="1"/>
                <w:color w:val="auto"/>
                <w:w w:val="88"/>
              </w:rPr>
              <w:t>Consolidated Statements of Cash Flows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8"/>
              </w:rPr>
              <w:t>U.S. dollars in thousands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0"/>
              </w:rPr>
              <w:t>(Except share data)</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160" w:type="dxa"/>
            <w:vAlign w:val="bottom"/>
            <w:gridSpan w:val="6"/>
          </w:tcPr>
          <w:p>
            <w:pPr>
              <w:spacing w:after="0"/>
              <w:rPr>
                <w:sz w:val="20"/>
                <w:szCs w:val="20"/>
                <w:color w:val="auto"/>
              </w:rPr>
            </w:pPr>
            <w:r>
              <w:rPr>
                <w:rFonts w:ascii="Arial" w:cs="Arial" w:eastAsia="Arial" w:hAnsi="Arial"/>
                <w:sz w:val="18"/>
                <w:szCs w:val="18"/>
                <w:b w:val="1"/>
                <w:bCs w:val="1"/>
                <w:color w:val="auto"/>
              </w:rPr>
              <w:t>Assets acquired (liabilities assumed):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November 28,</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assets excluding cash and cash equivalents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rPr>
              <w:t>Convertible note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Reverse recapitalization effect on equity</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Cash acquired in connection with reverse recapitalization</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6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3"/>
          </w:tcPr>
          <w:p>
            <w:pPr>
              <w:jc w:val="center"/>
              <w:ind w:right="2260"/>
              <w:spacing w:after="0"/>
              <w:rPr>
                <w:sz w:val="20"/>
                <w:szCs w:val="20"/>
                <w:color w:val="auto"/>
              </w:rPr>
            </w:pPr>
            <w:r>
              <w:rPr>
                <w:rFonts w:ascii="Arial" w:cs="Arial" w:eastAsia="Arial" w:hAnsi="Arial"/>
                <w:sz w:val="18"/>
                <w:szCs w:val="18"/>
                <w:color w:val="auto"/>
                <w:w w:val="88"/>
              </w:rPr>
              <w:t>F-7</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4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1600" w:hanging="566"/>
        <w:spacing w:after="0"/>
        <w:tabs>
          <w:tab w:leader="none" w:pos="16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left="1540"/>
        <w:spacing w:after="0" w:line="286" w:lineRule="auto"/>
        <w:rPr>
          <w:sz w:val="20"/>
          <w:szCs w:val="20"/>
          <w:color w:val="auto"/>
        </w:rPr>
      </w:pPr>
      <w:r>
        <w:rPr>
          <w:rFonts w:ascii="Arial" w:cs="Arial" w:eastAsia="Arial" w:hAnsi="Arial"/>
          <w:sz w:val="17"/>
          <w:szCs w:val="17"/>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66" w:lineRule="exact"/>
        <w:rPr>
          <w:sz w:val="20"/>
          <w:szCs w:val="20"/>
          <w:color w:val="auto"/>
        </w:rPr>
      </w:pPr>
    </w:p>
    <w:p>
      <w:pPr>
        <w:jc w:val="both"/>
        <w:ind w:left="1540"/>
        <w:spacing w:after="0" w:line="286" w:lineRule="auto"/>
        <w:rPr>
          <w:sz w:val="20"/>
          <w:szCs w:val="20"/>
          <w:color w:val="auto"/>
        </w:rPr>
      </w:pPr>
      <w:r>
        <w:rPr>
          <w:rFonts w:ascii="Arial" w:cs="Arial" w:eastAsia="Arial" w:hAnsi="Arial"/>
          <w:sz w:val="17"/>
          <w:szCs w:val="17"/>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66" w:lineRule="exact"/>
        <w:rPr>
          <w:sz w:val="20"/>
          <w:szCs w:val="20"/>
          <w:color w:val="auto"/>
        </w:rPr>
      </w:pPr>
    </w:p>
    <w:p>
      <w:pPr>
        <w:jc w:val="both"/>
        <w:ind w:left="1540"/>
        <w:spacing w:after="0" w:line="286" w:lineRule="auto"/>
        <w:rPr>
          <w:sz w:val="20"/>
          <w:szCs w:val="20"/>
          <w:color w:val="auto"/>
        </w:rPr>
      </w:pPr>
      <w:r>
        <w:rPr>
          <w:rFonts w:ascii="Arial" w:cs="Arial" w:eastAsia="Arial" w:hAnsi="Arial"/>
          <w:sz w:val="16"/>
          <w:szCs w:val="16"/>
          <w:color w:val="auto"/>
        </w:rPr>
        <w:t>On November 28, 2016, the Company consummated a transaction pursuant to an Agreement and Plan of Merger, dated August 15, 2016, with Microbot Medical Ltd., a private medical device company organized under the laws of the State of Israel (“Microbot Israel”), and C&amp;RD Israel Ltd. (“Merger Sub”), an Israeli corporation and wholly-owned subsidiary of the Company, whereby Merger Sub merged with and into Microbot Israel and Microbot Israel surviving as a wholly-owned subsidiary of the Company (the “Merger”). Pursuant to the terms of the Merger, at the effective time of the Merger, each outstanding ordinary share of Microbot Israel capital stock was converted into the right to receive approximately 0.2 shares (2.9 shares before the Reverse Split described below) of the Company’s common stock, par value $0.01 per share, after giving effect to a one for nine reverse stock splits of the date of the merger, for an aggregate of 1,788,884 shares (26,550,974 shares before the Reverse Split) of Company’s common Stock issued to the former Microbot Israel shareholders. In addition, all outstanding options to purchase the ordinary shares of Microbot Israel were assumed by the Company and converted into options to purchase an aggregate of 176,181 shares (2,614,916 shares before the Reverse Split) of the Company’s common stock. Additionally, the Company issued an aggregate of 525,706 restricted shares (7,802,639 restricted shares before the Reverse Split) of its common stock or rights to receive the Company’s common stock, to certain advisers. On the same day and in connection with the Merger, the Company changed its name from StemCells, Inc. to Microbot Medical Inc. On November 29, 2016, the Company’s common stock began trading on the Nasdaq Capital Market under the symbol “MBOT”.</w:t>
      </w:r>
    </w:p>
    <w:p>
      <w:pPr>
        <w:spacing w:after="0" w:line="172" w:lineRule="exact"/>
        <w:rPr>
          <w:sz w:val="20"/>
          <w:szCs w:val="20"/>
          <w:color w:val="auto"/>
        </w:rPr>
      </w:pPr>
    </w:p>
    <w:p>
      <w:pPr>
        <w:jc w:val="both"/>
        <w:ind w:left="1540"/>
        <w:spacing w:after="0" w:line="255" w:lineRule="auto"/>
        <w:rPr>
          <w:sz w:val="20"/>
          <w:szCs w:val="20"/>
          <w:color w:val="auto"/>
        </w:rPr>
      </w:pPr>
      <w:r>
        <w:rPr>
          <w:rFonts w:ascii="Arial" w:cs="Arial" w:eastAsia="Arial" w:hAnsi="Arial"/>
          <w:sz w:val="18"/>
          <w:szCs w:val="18"/>
          <w:color w:val="auto"/>
        </w:rPr>
        <w:t>As a result of the Merger, Microbot Israel became a wholly owned subsidiary of the Company. The transaction between the Company and Microbot Israel was accounted for as a reverse recapitalization. As the shareholders of Microbot Israel received the largest ownership interest in the Company, Microbot Israel was determined to be the “accounting acquirer” in the reverse recapitalization. As a result, the historical financial statements of the Company were replaced with the historical financial statements of Microbot Israel. Unless indicated otherwise, pre-acquisition share, options and warrants data included in these financial statements is retroactively adjusted to reflect the Reverse Stock Split and the Merger.</w:t>
      </w:r>
    </w:p>
    <w:p>
      <w:pPr>
        <w:spacing w:after="0" w:line="193"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Prior to the Merger, the Company was a biopharmaceutical company that conducts research, development, and commercialization of stem cell therapeutics and related technologies. Substantially the sale of all material assets relating to the stem cell business were completed on November 29, 2016.</w:t>
      </w:r>
    </w:p>
    <w:p>
      <w:pPr>
        <w:spacing w:after="0" w:line="181" w:lineRule="exact"/>
        <w:rPr>
          <w:sz w:val="20"/>
          <w:szCs w:val="20"/>
          <w:color w:val="auto"/>
        </w:rPr>
      </w:pPr>
    </w:p>
    <w:p>
      <w:pPr>
        <w:jc w:val="both"/>
        <w:ind w:left="1540" w:right="20"/>
        <w:spacing w:after="0" w:line="277" w:lineRule="auto"/>
        <w:rPr>
          <w:sz w:val="20"/>
          <w:szCs w:val="20"/>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ind w:left="1600" w:hanging="566"/>
        <w:spacing w:after="0"/>
        <w:tabs>
          <w:tab w:leader="none" w:pos="16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540"/>
        <w:spacing w:after="0" w:line="288" w:lineRule="auto"/>
        <w:rPr>
          <w:sz w:val="20"/>
          <w:szCs w:val="20"/>
          <w:color w:val="auto"/>
        </w:rPr>
      </w:pPr>
      <w:r>
        <w:rPr>
          <w:rFonts w:ascii="Arial" w:cs="Arial" w:eastAsia="Arial" w:hAnsi="Arial"/>
          <w:sz w:val="16"/>
          <w:szCs w:val="16"/>
          <w:color w:val="auto"/>
        </w:rPr>
        <w:t>To date, the Company has not generated revenues from its operations. As of the date of issuance of these financial statements, the Company has cash and cash equivalent balance of $9.5 million,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5" w:lineRule="exact"/>
        <w:rPr>
          <w:sz w:val="20"/>
          <w:szCs w:val="20"/>
          <w:color w:val="auto"/>
        </w:rPr>
      </w:pPr>
    </w:p>
    <w:p>
      <w:pPr>
        <w:ind w:left="1600" w:hanging="566"/>
        <w:spacing w:after="0"/>
        <w:tabs>
          <w:tab w:leader="none" w:pos="16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83" w:lineRule="exact"/>
        <w:rPr>
          <w:sz w:val="20"/>
          <w:szCs w:val="20"/>
          <w:color w:val="auto"/>
        </w:rPr>
      </w:pPr>
    </w:p>
    <w:p>
      <w:pPr>
        <w:ind w:left="1600" w:hanging="566"/>
        <w:spacing w:after="0"/>
        <w:tabs>
          <w:tab w:leader="none" w:pos="16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ind w:left="1540"/>
        <w:spacing w:after="0" w:line="269" w:lineRule="auto"/>
        <w:rPr>
          <w:sz w:val="20"/>
          <w:szCs w:val="20"/>
          <w:color w:val="auto"/>
        </w:rPr>
      </w:pPr>
      <w:r>
        <w:rPr>
          <w:rFonts w:ascii="Arial" w:cs="Arial" w:eastAsia="Arial" w:hAnsi="Arial"/>
          <w:sz w:val="17"/>
          <w:szCs w:val="17"/>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will be converted into one share of the Company’s new common stock. Fractional shares resulting from the Reverse Split will be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stock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this Reverse Split. References to numbers of shares of common stock and per share data in the accompanying financial statements and notes thereto have been adjusted to reflect the Reverse Split on a retroactive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1600" w:hanging="566"/>
        <w:spacing w:after="0"/>
        <w:tabs>
          <w:tab w:leader="none" w:pos="16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financial statements have been prepared in conformity with accounting principles generally accepted in the United States of America (“US GAAP”).</w:t>
      </w:r>
    </w:p>
    <w:p>
      <w:pPr>
        <w:spacing w:after="0" w:line="166" w:lineRule="exact"/>
        <w:rPr>
          <w:sz w:val="20"/>
          <w:szCs w:val="20"/>
          <w:color w:val="auto"/>
        </w:rPr>
      </w:pPr>
    </w:p>
    <w:p>
      <w:pPr>
        <w:ind w:left="1600" w:hanging="566"/>
        <w:spacing w:after="0"/>
        <w:tabs>
          <w:tab w:leader="none" w:pos="16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in U.S. dollars:</w:t>
      </w:r>
    </w:p>
    <w:p>
      <w:pPr>
        <w:spacing w:after="0" w:line="229"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70" w:lineRule="exact"/>
        <w:rPr>
          <w:sz w:val="20"/>
          <w:szCs w:val="20"/>
          <w:color w:val="auto"/>
        </w:rPr>
      </w:pPr>
    </w:p>
    <w:p>
      <w:pPr>
        <w:ind w:left="1540" w:right="20"/>
        <w:spacing w:after="0" w:line="342" w:lineRule="auto"/>
        <w:rPr>
          <w:sz w:val="20"/>
          <w:szCs w:val="20"/>
          <w:color w:val="auto"/>
        </w:rPr>
      </w:pPr>
      <w:r>
        <w:rPr>
          <w:rFonts w:ascii="Arial" w:cs="Arial" w:eastAsia="Arial" w:hAnsi="Arial"/>
          <w:sz w:val="16"/>
          <w:szCs w:val="16"/>
          <w:color w:val="auto"/>
        </w:rPr>
        <w:t>Transactions and balances denominated in dollars are presented at their original amounts. Transactions and balances denominated in foreign currencies have been re-measured to dollars in accordance with the provisions of ASC 830-10, “Foreign Currency Translation”.</w:t>
      </w:r>
    </w:p>
    <w:p>
      <w:pPr>
        <w:spacing w:after="0" w:line="124"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ind w:left="566" w:hanging="566"/>
        <w:spacing w:after="0"/>
        <w:tabs>
          <w:tab w:leader="none" w:pos="56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506"/>
        <w:spacing w:after="0" w:line="277" w:lineRule="auto"/>
        <w:rPr>
          <w:sz w:val="20"/>
          <w:szCs w:val="20"/>
          <w:color w:val="auto"/>
        </w:rPr>
      </w:pPr>
      <w:r>
        <w:rPr>
          <w:rFonts w:ascii="Arial" w:cs="Arial" w:eastAsia="Arial" w:hAnsi="Arial"/>
          <w:sz w:val="18"/>
          <w:szCs w:val="18"/>
          <w:color w:val="auto"/>
        </w:rPr>
        <w:t>Cash and cash equivalents consist of cash and demand deposits in banks, and other short-term liquid investments (primarily interest-bearing time deposits) with original maturities of less than three months.</w:t>
      </w:r>
    </w:p>
    <w:p>
      <w:pPr>
        <w:spacing w:after="0" w:line="166" w:lineRule="exact"/>
        <w:rPr>
          <w:sz w:val="20"/>
          <w:szCs w:val="20"/>
          <w:color w:val="auto"/>
        </w:rPr>
      </w:pPr>
    </w:p>
    <w:p>
      <w:pPr>
        <w:ind w:left="566" w:hanging="566"/>
        <w:spacing w:after="0"/>
        <w:tabs>
          <w:tab w:leader="none" w:pos="56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506"/>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jc w:val="both"/>
        <w:ind w:left="506" w:right="20"/>
        <w:spacing w:after="0" w:line="277" w:lineRule="auto"/>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 The method of determining the fair value of derivative warrant liabilities is discussed in Note 8.</w:t>
      </w:r>
    </w:p>
    <w:p>
      <w:pPr>
        <w:spacing w:after="0" w:line="170" w:lineRule="exact"/>
        <w:rPr>
          <w:sz w:val="20"/>
          <w:szCs w:val="20"/>
          <w:color w:val="auto"/>
        </w:rPr>
      </w:pPr>
    </w:p>
    <w:p>
      <w:pPr>
        <w:jc w:val="both"/>
        <w:ind w:left="506"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506"/>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506"/>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506"/>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2" w:lineRule="exact"/>
        <w:rPr>
          <w:sz w:val="20"/>
          <w:szCs w:val="20"/>
          <w:color w:val="auto"/>
        </w:rPr>
      </w:pPr>
    </w:p>
    <w:p>
      <w:pPr>
        <w:ind w:left="566" w:hanging="566"/>
        <w:spacing w:after="0"/>
        <w:tabs>
          <w:tab w:leader="none" w:pos="56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229" w:lineRule="exact"/>
        <w:rPr>
          <w:sz w:val="20"/>
          <w:szCs w:val="20"/>
          <w:color w:val="auto"/>
        </w:rPr>
      </w:pPr>
    </w:p>
    <w:p>
      <w:pPr>
        <w:ind w:left="506"/>
        <w:spacing w:after="0" w:line="277" w:lineRule="auto"/>
        <w:rPr>
          <w:sz w:val="20"/>
          <w:szCs w:val="20"/>
          <w:color w:val="auto"/>
        </w:rPr>
      </w:pPr>
      <w:r>
        <w:rPr>
          <w:rFonts w:ascii="Arial" w:cs="Arial" w:eastAsia="Arial" w:hAnsi="Arial"/>
          <w:sz w:val="18"/>
          <w:szCs w:val="18"/>
          <w:color w:val="auto"/>
        </w:rPr>
        <w:t>Fixed assets are presented at costs less accumulated depreciation. Depreciation is calculated based on the straight-line method over the estimated useful lives of the assets, as the following annual rates:</w:t>
      </w:r>
    </w:p>
    <w:p>
      <w:pPr>
        <w:spacing w:after="0" w:line="180" w:lineRule="exact"/>
        <w:rPr>
          <w:sz w:val="20"/>
          <w:szCs w:val="20"/>
          <w:color w:val="auto"/>
        </w:rPr>
      </w:pPr>
    </w:p>
    <w:tbl>
      <w:tblPr>
        <w:tblLayout w:type="fixed"/>
        <w:tblInd w:w="526"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8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16"/>
        </w:trPr>
        <w:tc>
          <w:tcPr>
            <w:tcW w:w="4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 and software</w:t>
            </w:r>
          </w:p>
        </w:tc>
        <w:tc>
          <w:tcPr>
            <w:tcW w:w="18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25-33</w:t>
            </w:r>
          </w:p>
        </w:tc>
        <w:tc>
          <w:tcPr>
            <w:tcW w:w="60" w:type="dxa"/>
            <w:vAlign w:val="bottom"/>
            <w:shd w:val="clear" w:color="auto" w:fill="CCEEFF"/>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840" w:type="dxa"/>
            <w:vAlign w:val="bottom"/>
          </w:tcPr>
          <w:p>
            <w:pPr>
              <w:jc w:val="right"/>
              <w:ind w:right="75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r>
    </w:tbl>
    <w:p>
      <w:pPr>
        <w:spacing w:after="0" w:line="183" w:lineRule="exact"/>
        <w:rPr>
          <w:sz w:val="20"/>
          <w:szCs w:val="20"/>
          <w:color w:val="auto"/>
        </w:rPr>
      </w:pPr>
    </w:p>
    <w:p>
      <w:pPr>
        <w:ind w:left="566" w:hanging="566"/>
        <w:spacing w:after="0"/>
        <w:tabs>
          <w:tab w:leader="none" w:pos="56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Liabilities due to termination of employment agreements</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w:t>
      </w:r>
    </w:p>
    <w:p>
      <w:pPr>
        <w:spacing w:after="0" w:line="181"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Payments in accordance with Article 14 release Microbot Israel from any future severance payments (under the Israeli Severance Compensation Act, 1963) with respect of those employees. The aforementioned deposits are not recorded as an asset in the Company’s balance sheet,</w:t>
      </w:r>
    </w:p>
    <w:p>
      <w:pPr>
        <w:spacing w:after="0" w:line="177" w:lineRule="exact"/>
        <w:rPr>
          <w:sz w:val="20"/>
          <w:szCs w:val="20"/>
          <w:color w:val="auto"/>
        </w:rPr>
      </w:pPr>
    </w:p>
    <w:p>
      <w:pPr>
        <w:ind w:left="566" w:hanging="566"/>
        <w:spacing w:after="0"/>
        <w:tabs>
          <w:tab w:leader="none" w:pos="56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Basic net loss per share is computed by dividing net loss, as adjusted to include s by the weighted average number of common shares outstanding during the year. Common shares and preferred shares contingently issuable for little or no cash are included in basic net loss per share on an as issued basis.</w:t>
      </w:r>
    </w:p>
    <w:p>
      <w:pPr>
        <w:spacing w:after="0" w:line="181" w:lineRule="exact"/>
        <w:rPr>
          <w:sz w:val="20"/>
          <w:szCs w:val="20"/>
          <w:color w:val="auto"/>
        </w:rPr>
      </w:pPr>
    </w:p>
    <w:p>
      <w:pPr>
        <w:ind w:left="4526"/>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61" w:right="239" w:bottom="1440" w:gutter="0" w:footer="0" w:header="0"/>
        </w:sectPr>
      </w:pPr>
    </w:p>
    <w:bookmarkStart w:id="44" w:name="page45"/>
    <w:bookmarkEnd w:id="44"/>
    <w:p>
      <w:pPr>
        <w:jc w:val="both"/>
        <w:ind w:left="506"/>
        <w:spacing w:after="0" w:line="257" w:lineRule="auto"/>
        <w:rPr>
          <w:sz w:val="20"/>
          <w:szCs w:val="20"/>
          <w:color w:val="auto"/>
        </w:rPr>
      </w:pPr>
      <w:r>
        <w:rPr>
          <w:rFonts w:ascii="Arial" w:cs="Arial" w:eastAsia="Arial" w:hAnsi="Arial"/>
          <w:sz w:val="18"/>
          <w:szCs w:val="18"/>
          <w:color w:val="auto"/>
        </w:rPr>
        <w:t>Diluted net loss per share is computed by dividing net loss, as adjusted to include preferred shares dividend participation rights of preferred shares outstanding during the year as well as of preferred shares that would have been outstanding if all potentially dilutive preferred shares had been issued, by the weighted average number of common shares outstanding during the year, plus the number of common shares that would have been outstanding if all potentially dilutive common shares had been issued, using the treasury stock method, in accordance with ASC 260-10 “Earnings per Share”.</w:t>
      </w:r>
    </w:p>
    <w:p>
      <w:pPr>
        <w:spacing w:after="0" w:line="188" w:lineRule="exact"/>
        <w:rPr>
          <w:sz w:val="20"/>
          <w:szCs w:val="20"/>
          <w:color w:val="auto"/>
        </w:rPr>
      </w:pPr>
    </w:p>
    <w:p>
      <w:pPr>
        <w:jc w:val="both"/>
        <w:ind w:left="506" w:right="20"/>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loss per share for the years ended December 31, 2017 and December 31, 2016, since all such securities have an anti-dilutive effect.</w:t>
      </w:r>
    </w:p>
    <w:p>
      <w:pPr>
        <w:spacing w:after="0" w:line="170"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The weighted average number of shares outstanding has been retroactively restated for the equivalent number of shares received by the accounting acquirer as a result of the reverse recapitalization as if these shares had been outstanding as of the beginning of the earliest period presented.</w:t>
      </w:r>
    </w:p>
    <w:p>
      <w:pPr>
        <w:spacing w:after="0" w:line="177" w:lineRule="exact"/>
        <w:rPr>
          <w:sz w:val="20"/>
          <w:szCs w:val="20"/>
          <w:color w:val="auto"/>
        </w:rPr>
      </w:pPr>
    </w:p>
    <w:p>
      <w:pPr>
        <w:ind w:left="566" w:hanging="566"/>
        <w:spacing w:after="0"/>
        <w:tabs>
          <w:tab w:leader="none" w:pos="56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 net:</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Research and development expenses are charged to the statement of operations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77" w:lineRule="exact"/>
        <w:rPr>
          <w:sz w:val="20"/>
          <w:szCs w:val="20"/>
          <w:color w:val="auto"/>
        </w:rPr>
      </w:pPr>
    </w:p>
    <w:p>
      <w:pPr>
        <w:ind w:left="566" w:hanging="566"/>
        <w:spacing w:after="0"/>
        <w:tabs>
          <w:tab w:leader="none" w:pos="56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Proceeds from the sale of debt securities with a conversion feature are allocated to equity based on the intrinsic value of such conversion feature in accordance with ASC 470-20 “Debt with Conversion and Other Options”, with a corresponding discount on the debt instrument recorded in liabilities which is amortized in finance expense over the term of the notes.</w:t>
      </w:r>
    </w:p>
    <w:p>
      <w:pPr>
        <w:spacing w:after="0" w:line="181"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Convertible notes with characteristics of both liabilities and equity are classified as either debt or equity based on the characteristics of its monetary value, with convertible notes classified as debt being measured at fair value, in accordance with ASC 480-10, “Accounting for Certain Financial instruments with Characteristics of both Liabilities and Equity”.</w:t>
      </w:r>
    </w:p>
    <w:p>
      <w:pPr>
        <w:spacing w:after="0" w:line="177" w:lineRule="exact"/>
        <w:rPr>
          <w:sz w:val="20"/>
          <w:szCs w:val="20"/>
          <w:color w:val="auto"/>
        </w:rPr>
      </w:pPr>
    </w:p>
    <w:p>
      <w:pPr>
        <w:ind w:left="566" w:hanging="566"/>
        <w:spacing w:after="0"/>
        <w:tabs>
          <w:tab w:leader="none" w:pos="566"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The Company applies ASC 718-10, “Share-Based Payment,” which requires the measurement and recognition of compensation expenses for all share-based payment awards made to employees and directors including stock options under the Company’s stock plans based on estimated fair values.</w:t>
      </w:r>
    </w:p>
    <w:p>
      <w:pPr>
        <w:spacing w:after="0" w:line="181"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ASC 718-10 requires companies to estimate the fair value of stock options using an option-pricing model. The value of the portion of the award that is ultimately expected to vest is recognized as an expense over the requisite service periods in the Company’s statement of operations.</w:t>
      </w:r>
    </w:p>
    <w:p>
      <w:pPr>
        <w:spacing w:after="0" w:line="181" w:lineRule="exact"/>
        <w:rPr>
          <w:sz w:val="20"/>
          <w:szCs w:val="20"/>
          <w:color w:val="auto"/>
        </w:rPr>
      </w:pPr>
    </w:p>
    <w:p>
      <w:pPr>
        <w:jc w:val="both"/>
        <w:ind w:left="506"/>
        <w:spacing w:after="0" w:line="259" w:lineRule="auto"/>
        <w:rPr>
          <w:sz w:val="20"/>
          <w:szCs w:val="20"/>
          <w:color w:val="auto"/>
        </w:rPr>
      </w:pPr>
      <w:r>
        <w:rPr>
          <w:rFonts w:ascii="Arial" w:cs="Arial" w:eastAsia="Arial" w:hAnsi="Arial"/>
          <w:sz w:val="18"/>
          <w:szCs w:val="18"/>
          <w:color w:val="auto"/>
        </w:rPr>
        <w:t>The Company accounts for stock-based compensation awards to non-employees in accordance with FASB ASC 505-50, “Equity-Based Payments to Non-Employees” (“FASB ASC 505-50”). Under FASB ASC 505-50, the Company determines the fair value of the warrants or stock-based compensation awards granted as either the fair value of the consideration received or the fair value of the equity instruments issued, whichever is more reliably measurable.</w:t>
      </w:r>
    </w:p>
    <w:p>
      <w:pPr>
        <w:spacing w:after="0" w:line="187" w:lineRule="exact"/>
        <w:rPr>
          <w:sz w:val="20"/>
          <w:szCs w:val="20"/>
          <w:color w:val="auto"/>
        </w:rPr>
      </w:pPr>
    </w:p>
    <w:p>
      <w:pPr>
        <w:jc w:val="both"/>
        <w:ind w:left="506"/>
        <w:spacing w:after="0" w:line="289" w:lineRule="auto"/>
        <w:rPr>
          <w:sz w:val="20"/>
          <w:szCs w:val="20"/>
          <w:color w:val="auto"/>
        </w:rPr>
      </w:pPr>
      <w:r>
        <w:rPr>
          <w:rFonts w:ascii="Arial" w:cs="Arial" w:eastAsia="Arial" w:hAnsi="Arial"/>
          <w:sz w:val="16"/>
          <w:szCs w:val="16"/>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 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67" w:lineRule="exact"/>
        <w:rPr>
          <w:sz w:val="20"/>
          <w:szCs w:val="20"/>
          <w:color w:val="auto"/>
        </w:rPr>
      </w:pPr>
    </w:p>
    <w:p>
      <w:pPr>
        <w:ind w:left="4526"/>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65" w:right="239" w:bottom="1440" w:gutter="0" w:footer="0" w:header="0"/>
        </w:sectPr>
      </w:pPr>
    </w:p>
    <w:bookmarkStart w:id="45" w:name="page46"/>
    <w:bookmarkEnd w:id="45"/>
    <w:p>
      <w:pPr>
        <w:ind w:left="566" w:hanging="566"/>
        <w:spacing w:after="0"/>
        <w:tabs>
          <w:tab w:leader="none" w:pos="56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ind w:left="506"/>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21" w:lineRule="exact"/>
        <w:rPr>
          <w:sz w:val="20"/>
          <w:szCs w:val="20"/>
          <w:color w:val="auto"/>
        </w:rPr>
      </w:pPr>
    </w:p>
    <w:p>
      <w:pPr>
        <w:ind w:left="566" w:hanging="566"/>
        <w:spacing w:after="0"/>
        <w:tabs>
          <w:tab w:leader="none" w:pos="56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Costs</w:t>
      </w:r>
    </w:p>
    <w:p>
      <w:pPr>
        <w:spacing w:after="0" w:line="229" w:lineRule="exact"/>
        <w:rPr>
          <w:sz w:val="20"/>
          <w:szCs w:val="20"/>
          <w:color w:val="auto"/>
        </w:rPr>
      </w:pPr>
    </w:p>
    <w:p>
      <w:pPr>
        <w:ind w:left="506"/>
        <w:spacing w:after="0"/>
        <w:rPr>
          <w:sz w:val="20"/>
          <w:szCs w:val="20"/>
          <w:color w:val="auto"/>
        </w:rPr>
      </w:pPr>
      <w:r>
        <w:rPr>
          <w:rFonts w:ascii="Arial" w:cs="Arial" w:eastAsia="Arial" w:hAnsi="Arial"/>
          <w:sz w:val="16"/>
          <w:szCs w:val="16"/>
          <w:color w:val="auto"/>
        </w:rPr>
        <w:t>Transaction costs incurred in the Merger were charged directly to equity to the extent of cash and net other current assets acquired.</w:t>
      </w:r>
    </w:p>
    <w:p>
      <w:pPr>
        <w:spacing w:after="0" w:line="46" w:lineRule="exact"/>
        <w:rPr>
          <w:sz w:val="20"/>
          <w:szCs w:val="20"/>
          <w:color w:val="auto"/>
        </w:rPr>
      </w:pPr>
    </w:p>
    <w:p>
      <w:pPr>
        <w:ind w:left="506"/>
        <w:spacing w:after="0"/>
        <w:rPr>
          <w:sz w:val="20"/>
          <w:szCs w:val="20"/>
          <w:color w:val="auto"/>
        </w:rPr>
      </w:pPr>
      <w:r>
        <w:rPr>
          <w:rFonts w:ascii="Arial" w:cs="Arial" w:eastAsia="Arial" w:hAnsi="Arial"/>
          <w:sz w:val="18"/>
          <w:szCs w:val="18"/>
          <w:color w:val="auto"/>
        </w:rPr>
        <w:t>Transaction costs in excess of cash acquired were charged to general and administrative expenses.</w:t>
      </w:r>
    </w:p>
    <w:p>
      <w:pPr>
        <w:spacing w:after="0" w:line="207" w:lineRule="exact"/>
        <w:rPr>
          <w:sz w:val="20"/>
          <w:szCs w:val="20"/>
          <w:color w:val="auto"/>
        </w:rPr>
      </w:pPr>
    </w:p>
    <w:p>
      <w:pPr>
        <w:ind w:left="566" w:hanging="566"/>
        <w:spacing w:after="0"/>
        <w:tabs>
          <w:tab w:leader="none" w:pos="56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506"/>
        <w:spacing w:after="0" w:line="257" w:lineRule="auto"/>
        <w:rPr>
          <w:sz w:val="20"/>
          <w:szCs w:val="20"/>
          <w:color w:val="auto"/>
        </w:rPr>
      </w:pPr>
      <w:r>
        <w:rPr>
          <w:rFonts w:ascii="Arial" w:cs="Arial" w:eastAsia="Arial" w:hAnsi="Arial"/>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2017, and 2016, the Company had a full valuation allowance against deferred tax assets.</w:t>
      </w:r>
    </w:p>
    <w:p>
      <w:pPr>
        <w:spacing w:after="0" w:line="184" w:lineRule="exact"/>
        <w:rPr>
          <w:sz w:val="20"/>
          <w:szCs w:val="20"/>
          <w:color w:val="auto"/>
        </w:rPr>
      </w:pPr>
    </w:p>
    <w:p>
      <w:pPr>
        <w:ind w:left="566" w:hanging="566"/>
        <w:spacing w:after="0"/>
        <w:tabs>
          <w:tab w:leader="none" w:pos="56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506"/>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Company has not yet generated revenues to date, and does not yet know the impact the standard may have on its consolidated financial statements.</w:t>
      </w:r>
    </w:p>
    <w:p>
      <w:pPr>
        <w:spacing w:after="0" w:line="178" w:lineRule="exact"/>
        <w:rPr>
          <w:sz w:val="20"/>
          <w:szCs w:val="20"/>
          <w:color w:val="auto"/>
        </w:rPr>
      </w:pPr>
    </w:p>
    <w:p>
      <w:pPr>
        <w:jc w:val="both"/>
        <w:ind w:left="506"/>
        <w:spacing w:after="0" w:line="290" w:lineRule="auto"/>
        <w:rPr>
          <w:sz w:val="20"/>
          <w:szCs w:val="20"/>
          <w:color w:val="auto"/>
        </w:rPr>
      </w:pPr>
      <w:r>
        <w:rPr>
          <w:rFonts w:ascii="Arial" w:cs="Arial" w:eastAsia="Arial" w:hAnsi="Arial"/>
          <w:sz w:val="16"/>
          <w:szCs w:val="16"/>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9) and will likely have an insignificant impact on the consolidated statements of comprehensive loss.</w:t>
      </w:r>
    </w:p>
    <w:p>
      <w:pPr>
        <w:spacing w:after="0" w:line="166" w:lineRule="exact"/>
        <w:rPr>
          <w:sz w:val="20"/>
          <w:szCs w:val="20"/>
          <w:color w:val="auto"/>
        </w:rPr>
      </w:pPr>
    </w:p>
    <w:p>
      <w:pPr>
        <w:jc w:val="both"/>
        <w:ind w:left="506"/>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88" w:lineRule="exact"/>
        <w:rPr>
          <w:sz w:val="20"/>
          <w:szCs w:val="20"/>
          <w:color w:val="auto"/>
        </w:rPr>
      </w:pPr>
    </w:p>
    <w:p>
      <w:pPr>
        <w:ind w:left="4526"/>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61" w:right="239" w:bottom="1440" w:gutter="0" w:footer="0" w:header="0"/>
        </w:sectPr>
      </w:pPr>
    </w:p>
    <w:bookmarkStart w:id="46" w:name="page47"/>
    <w:bookmarkEnd w:id="46"/>
    <w:p>
      <w:pPr>
        <w:jc w:val="both"/>
        <w:ind w:left="1540"/>
        <w:spacing w:after="0" w:line="297" w:lineRule="auto"/>
        <w:rPr>
          <w:sz w:val="20"/>
          <w:szCs w:val="20"/>
          <w:color w:val="auto"/>
        </w:rPr>
      </w:pPr>
      <w:r>
        <w:rPr>
          <w:rFonts w:ascii="Arial" w:cs="Arial" w:eastAsia="Arial" w:hAnsi="Arial"/>
          <w:sz w:val="16"/>
          <w:szCs w:val="16"/>
          <w:color w:val="auto"/>
        </w:rPr>
        <w:t>In November 2016, the FASB issued ASU 2016-18 “Restricted Cash” to provide guidance on the presentation of restricted cash in the statement of cash flows. Currently, the statement of cash flows explained the change in cash and cash equivalents for the period. The ASU requires that the statement of cash flows explain the change in cash, cash equivalents and restricted cash for the period. The ASU is effective for the Company in the first quarter of 2018, with early adoption permitted. The Company does not expect the adoption to have a material effect on the statements of cash flows as the Company’s restricted cash is not expected to be material.</w:t>
      </w:r>
    </w:p>
    <w:p>
      <w:pPr>
        <w:spacing w:after="0" w:line="158" w:lineRule="exact"/>
        <w:rPr>
          <w:sz w:val="20"/>
          <w:szCs w:val="20"/>
          <w:color w:val="auto"/>
        </w:rPr>
      </w:pPr>
    </w:p>
    <w:p>
      <w:pPr>
        <w:jc w:val="both"/>
        <w:ind w:left="1540"/>
        <w:spacing w:after="0" w:line="272" w:lineRule="auto"/>
        <w:rPr>
          <w:sz w:val="20"/>
          <w:szCs w:val="20"/>
          <w:color w:val="auto"/>
        </w:rPr>
      </w:pPr>
      <w:r>
        <w:rPr>
          <w:rFonts w:ascii="Arial" w:cs="Arial" w:eastAsia="Arial" w:hAnsi="Arial"/>
          <w:sz w:val="17"/>
          <w:szCs w:val="17"/>
          <w:color w:val="auto"/>
        </w:rPr>
        <w:t>In May 2017, the Financial Accounting Standards Board (“FASB”) issued Accounting Standards Update (“ASU”) No. 2017-09, “Compensation-Stock Compensation (Topic 718): Scope of Modification Accounting,” which clarifies when a change to terms or conditions of a share-based payment award must be accounted for as a modification. The new guidance requires modification accounting if the vesting condition, fair value or the award classification is not the same both before and after a change to the terms and conditions of the award. The new guidance is effective for the Company on a prospective basis beginning on January 1, 2018 and early adoption is permitted. The Company does not expect to change terms or conditions of share-based payment awards, and therefore, does not expect the adoption of this standard to have a material impact on its consolidated financial statements.</w:t>
      </w:r>
    </w:p>
    <w:p>
      <w:pPr>
        <w:spacing w:after="0" w:line="178" w:lineRule="exact"/>
        <w:rPr>
          <w:sz w:val="20"/>
          <w:szCs w:val="20"/>
          <w:color w:val="auto"/>
        </w:rPr>
      </w:pPr>
    </w:p>
    <w:p>
      <w:pPr>
        <w:jc w:val="both"/>
        <w:ind w:left="1540"/>
        <w:spacing w:after="0" w:line="290" w:lineRule="auto"/>
        <w:rPr>
          <w:sz w:val="20"/>
          <w:szCs w:val="20"/>
          <w:color w:val="auto"/>
        </w:rPr>
      </w:pPr>
      <w:r>
        <w:rPr>
          <w:rFonts w:ascii="Arial" w:cs="Arial" w:eastAsia="Arial" w:hAnsi="Arial"/>
          <w:sz w:val="16"/>
          <w:szCs w:val="16"/>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8 which upon adoption of the new standard are expected to be classified as equity.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NOTE 3 - OTHER CURRENT ASSETS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Deposit in escrow account (*)</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Government institutions</w:t>
            </w:r>
          </w:p>
        </w:tc>
        <w:tc>
          <w:tcPr>
            <w:tcW w:w="10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others</w:t>
            </w:r>
          </w:p>
        </w:tc>
        <w:tc>
          <w:tcPr>
            <w:tcW w:w="10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6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Purchase Agreement with BOCO</w:t>
      </w:r>
    </w:p>
    <w:p>
      <w:pPr>
        <w:spacing w:after="0" w:line="229" w:lineRule="exact"/>
        <w:rPr>
          <w:sz w:val="20"/>
          <w:szCs w:val="20"/>
          <w:color w:val="auto"/>
        </w:rPr>
      </w:pPr>
    </w:p>
    <w:p>
      <w:pPr>
        <w:jc w:val="both"/>
        <w:ind w:left="1020"/>
        <w:spacing w:after="0" w:line="312" w:lineRule="auto"/>
        <w:rPr>
          <w:sz w:val="20"/>
          <w:szCs w:val="20"/>
          <w:color w:val="auto"/>
        </w:rPr>
      </w:pPr>
      <w:r>
        <w:rPr>
          <w:rFonts w:ascii="Arial" w:cs="Arial" w:eastAsia="Arial" w:hAnsi="Arial"/>
          <w:sz w:val="16"/>
          <w:szCs w:val="16"/>
          <w:color w:val="auto"/>
        </w:rPr>
        <w:t>On November 11, 2016, the Company, together with two of its wholly-owned subsidiaries, Stem Cell Sciences Holdings Limited and StemCells California, Inc. (collectively, with the Company, the “Sellers”), entered into an Asset Purchase Agreement (the “Asset Purchase Agreement”) with BOCO Silicon Valley, Inc., a California corporation and wholly-owned subsidiary of Bright Oceans Corporation (“BOCO US”).</w:t>
      </w:r>
    </w:p>
    <w:p>
      <w:pPr>
        <w:spacing w:after="0" w:line="147"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Pursuant to the terms and subject to the conditions set forth in the Asset Purchase Agreement, the Sellers sold to BOCO US certain stem and progenitor cell lines that have been researched, studied or manufactured by the Company since 2007 (the “Cell Lines”) and certain other tangible and intangible assets, including intellectual property and books and records, related to the foregoing (together with the Cell Lines, the “Assets”) in exchange for $4 million in cash (the “Asset Consideration”).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ind w:left="1020"/>
        <w:spacing w:after="0" w:line="273" w:lineRule="auto"/>
        <w:rPr>
          <w:sz w:val="20"/>
          <w:szCs w:val="20"/>
          <w:color w:val="auto"/>
        </w:rPr>
      </w:pPr>
      <w:r>
        <w:rPr>
          <w:rFonts w:ascii="Arial" w:cs="Arial" w:eastAsia="Arial" w:hAnsi="Arial"/>
          <w:sz w:val="17"/>
          <w:szCs w:val="17"/>
          <w:color w:val="auto"/>
        </w:rPr>
        <w:t>Of the Asset Consideration, $300 was provided to the Company prior to November 11, 2016 in exchange for the Sellers’ agreement not to solicit or reach any agreement with any third party pertaining to the sale of the Assets, and $400 will remain in a twelve-month escrow for the benefit of BOCO US to satisfy certain indemnification obligations of the Sellers which may arise and which, subject to any valid indemnification claims of BOCO US, will be released to the Company at the end of such 12-month period. In addition, sixteen former employees of the Company received, in the aggregate, $495 in accordance with their June 2016 agreements with the Company under which each accepted a more than 50% reduction in his or her severance award otherwise payable.</w:t>
      </w:r>
    </w:p>
    <w:p>
      <w:pPr>
        <w:spacing w:after="0" w:line="178"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Asset Purchase Agreement contains certain covenants prohibiting the Sellers from, during the four-year period immediately following the completion of the Asset Sale, (a) engaging in or having certain financial interests in a business that is engaged in the research, development or commercialization of the Cell Lines, or (b) soliciting for employment employees of BOCO US.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 November 29, 2016, the Sellers completed the sale of the Assets.</w:t>
      </w:r>
    </w:p>
    <w:p>
      <w:pPr>
        <w:spacing w:after="0" w:line="225"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As of December 31, 2017, the Company received $320 from the escrow account and paid $80 to certain consultant relating to BOCO transaction.</w:t>
      </w:r>
    </w:p>
    <w:p>
      <w:pPr>
        <w:spacing w:after="0" w:line="170"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opening balance sheet as of the Merger date included a receivable balance with respect to sale of the Assets of $3.5 which fully collected as of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NOTE 4 - FIXED ASSETS, NET</w:t>
            </w:r>
          </w:p>
        </w:tc>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equipment and software</w:t>
            </w: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500" w:type="dxa"/>
            <w:vAlign w:val="bottom"/>
            <w:tcBorders>
              <w:top w:val="single" w:sz="8" w:color="CCEEFF"/>
              <w:bottom w:val="single" w:sz="8" w:color="CCEEFF"/>
            </w:tcBorders>
          </w:tcPr>
          <w:p>
            <w:pPr>
              <w:spacing w:after="0"/>
              <w:rPr>
                <w:sz w:val="18"/>
                <w:szCs w:val="18"/>
                <w:color w:val="auto"/>
              </w:rPr>
            </w:pPr>
          </w:p>
        </w:tc>
        <w:tc>
          <w:tcPr>
            <w:tcW w:w="25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w:t>
            </w:r>
          </w:p>
        </w:tc>
        <w:tc>
          <w:tcPr>
            <w:tcW w:w="28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equipment and software</w:t>
            </w: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3500" w:type="dxa"/>
            <w:vAlign w:val="bottom"/>
            <w:tcBorders>
              <w:top w:val="single" w:sz="8" w:color="CCEEFF"/>
              <w:bottom w:val="single" w:sz="8" w:color="CCEEFF"/>
            </w:tcBorders>
          </w:tcPr>
          <w:p>
            <w:pPr>
              <w:spacing w:after="0"/>
              <w:rPr>
                <w:sz w:val="22"/>
                <w:szCs w:val="22"/>
                <w:color w:val="auto"/>
              </w:rPr>
            </w:pPr>
          </w:p>
        </w:tc>
        <w:tc>
          <w:tcPr>
            <w:tcW w:w="252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CCEEFF"/>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 ACCRUED LIABILITIES</w:t>
            </w:r>
          </w:p>
        </w:tc>
        <w:tc>
          <w:tcPr>
            <w:tcW w:w="2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29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Government institution</w:t>
            </w: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6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1390"/>
              <w:spacing w:after="0"/>
              <w:rPr>
                <w:sz w:val="20"/>
                <w:szCs w:val="20"/>
                <w:color w:val="auto"/>
              </w:rPr>
            </w:pPr>
            <w:r>
              <w:rPr>
                <w:rFonts w:ascii="Arial" w:cs="Arial" w:eastAsia="Arial" w:hAnsi="Arial"/>
                <w:sz w:val="18"/>
                <w:szCs w:val="18"/>
                <w:color w:val="auto"/>
              </w:rPr>
              <w:t>F-14</w:t>
            </w: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6 - CONVERTIBLE LOAN FROM SHAREHOLDERS</w:t>
      </w:r>
    </w:p>
    <w:p>
      <w:pPr>
        <w:spacing w:after="0" w:line="229" w:lineRule="exact"/>
        <w:rPr>
          <w:sz w:val="20"/>
          <w:szCs w:val="20"/>
          <w:color w:val="auto"/>
        </w:rPr>
      </w:pPr>
    </w:p>
    <w:p>
      <w:pPr>
        <w:jc w:val="both"/>
        <w:ind w:left="1020"/>
        <w:spacing w:after="0" w:line="276" w:lineRule="auto"/>
        <w:rPr>
          <w:sz w:val="20"/>
          <w:szCs w:val="20"/>
          <w:color w:val="auto"/>
        </w:rPr>
      </w:pPr>
      <w:r>
        <w:rPr>
          <w:rFonts w:ascii="Arial" w:cs="Arial" w:eastAsia="Arial" w:hAnsi="Arial"/>
          <w:sz w:val="17"/>
          <w:szCs w:val="17"/>
          <w:color w:val="auto"/>
        </w:rPr>
        <w:t>On October 8, 2015, Microbot Israel entered into a convertible loan agreement with several investors who were also existing shareholders. According to the loan agreement, Microbot Israel received an amount of $419. The loan bore interest of 10% and was converted to both equity shares and preferred shares warrants of Microbot Israel on the nine-month anniversary of the loan. The Company concluded the conversion feature is not a Beneficial Conversion Feature pursuant to the provisions of ASC 470-20, “Debt with Conversion and Other Options”. Accordingly, the proceeds were recorded in liabilities in their entirety at the date of issuance.</w:t>
      </w:r>
    </w:p>
    <w:p>
      <w:pPr>
        <w:spacing w:after="0" w:line="173" w:lineRule="exact"/>
        <w:rPr>
          <w:sz w:val="20"/>
          <w:szCs w:val="20"/>
          <w:color w:val="auto"/>
        </w:rPr>
      </w:pPr>
    </w:p>
    <w:p>
      <w:pPr>
        <w:jc w:val="both"/>
        <w:ind w:left="1020"/>
        <w:spacing w:after="0" w:line="286" w:lineRule="auto"/>
        <w:rPr>
          <w:sz w:val="20"/>
          <w:szCs w:val="20"/>
          <w:color w:val="auto"/>
        </w:rPr>
      </w:pPr>
      <w:r>
        <w:rPr>
          <w:rFonts w:ascii="Arial" w:cs="Arial" w:eastAsia="Arial" w:hAnsi="Arial"/>
          <w:sz w:val="17"/>
          <w:szCs w:val="17"/>
          <w:color w:val="auto"/>
        </w:rPr>
        <w:t>On July 7, 2016, the outstanding principal and accrued interest were converted into 1,315,023 Series A preferred shares, of Microbot Israel (the “Series A Preferred Shares”) and 1,188,275 warrants to purchase the Series A Preferred Shares, at an exercise price of $1.00 per share. The preferred shares warrants were exercised in full in September 2016 for total gross proceeds to Microbot Israel of $410.</w:t>
      </w:r>
    </w:p>
    <w:p>
      <w:pPr>
        <w:spacing w:after="0" w:line="166"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On May 11, 2016, Microbot Israel entered into a convertible loan agreement with several investors who were also existing shareholders. The loan bore interest at a fixed rate of 10% per annum beginning on the issuance date.</w:t>
      </w:r>
    </w:p>
    <w:p>
      <w:pPr>
        <w:spacing w:after="0" w:line="170"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At maturity, all of the outstanding principal and accrued interest was converted into Microbot Israel’s ordinary shares subject to the conversion or default events specified in the loan agreement, based on a conversion price that represents a 20% discount on Microbot Israel’s valuation upon such default events.</w:t>
      </w:r>
    </w:p>
    <w:p>
      <w:pPr>
        <w:spacing w:after="0" w:line="181" w:lineRule="exact"/>
        <w:rPr>
          <w:sz w:val="20"/>
          <w:szCs w:val="20"/>
          <w:color w:val="auto"/>
        </w:rPr>
      </w:pPr>
    </w:p>
    <w:p>
      <w:pPr>
        <w:jc w:val="both"/>
        <w:ind w:left="1020" w:right="20"/>
        <w:spacing w:after="0" w:line="277" w:lineRule="auto"/>
        <w:rPr>
          <w:sz w:val="20"/>
          <w:szCs w:val="20"/>
          <w:color w:val="auto"/>
        </w:rPr>
      </w:pPr>
      <w:r>
        <w:rPr>
          <w:rFonts w:ascii="Arial" w:cs="Arial" w:eastAsia="Arial" w:hAnsi="Arial"/>
          <w:sz w:val="18"/>
          <w:szCs w:val="18"/>
          <w:color w:val="auto"/>
        </w:rPr>
        <w:t>On November 28, 2016, upon the consummation of the Merger, the loan was converted into an aggregate of 151,119 shares (2,242,939 shares before the Reverse Split) of Company’s common stock.</w:t>
      </w:r>
    </w:p>
    <w:p>
      <w:pPr>
        <w:spacing w:after="0" w:line="170" w:lineRule="exact"/>
        <w:rPr>
          <w:sz w:val="20"/>
          <w:szCs w:val="20"/>
          <w:color w:val="auto"/>
        </w:rPr>
      </w:pPr>
    </w:p>
    <w:p>
      <w:pPr>
        <w:jc w:val="both"/>
        <w:ind w:left="1020"/>
        <w:spacing w:after="0" w:line="312" w:lineRule="auto"/>
        <w:rPr>
          <w:sz w:val="20"/>
          <w:szCs w:val="20"/>
          <w:color w:val="auto"/>
        </w:rPr>
      </w:pPr>
      <w:r>
        <w:rPr>
          <w:rFonts w:ascii="Arial" w:cs="Arial" w:eastAsia="Arial" w:hAnsi="Arial"/>
          <w:sz w:val="16"/>
          <w:szCs w:val="16"/>
          <w:color w:val="auto"/>
        </w:rPr>
        <w:t>The Company concluded the value of the loan is predominantly based on a fixed monetary amount known at the date of issuance as represented by the 20% discount on the Company’s valuation. Accordingly, the loan was classified as debt and was measured at its fair value, pursuant to the provisions of ASC 480-10, “Accounting for Certain Financial instruments with Characteristics of both Liabilities and Equity”.</w:t>
      </w:r>
    </w:p>
    <w:p>
      <w:pPr>
        <w:spacing w:after="0" w:line="147"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fair value of the loan was measured based on observable inputs as the fixed monetary value of the variable number of shares to be issued upon conversion (level 2 measurement).</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Secured note to Alpha Capital Anstalt:</w:t>
      </w:r>
    </w:p>
    <w:p>
      <w:pPr>
        <w:spacing w:after="0" w:line="229" w:lineRule="exact"/>
        <w:rPr>
          <w:sz w:val="20"/>
          <w:szCs w:val="20"/>
          <w:color w:val="auto"/>
        </w:rPr>
      </w:pPr>
    </w:p>
    <w:p>
      <w:pPr>
        <w:jc w:val="both"/>
        <w:ind w:left="1020"/>
        <w:spacing w:after="0" w:line="291" w:lineRule="auto"/>
        <w:rPr>
          <w:sz w:val="20"/>
          <w:szCs w:val="20"/>
          <w:color w:val="auto"/>
        </w:rPr>
      </w:pPr>
      <w:r>
        <w:rPr>
          <w:rFonts w:ascii="Arial" w:cs="Arial" w:eastAsia="Arial" w:hAnsi="Arial"/>
          <w:sz w:val="16"/>
          <w:szCs w:val="16"/>
          <w:color w:val="auto"/>
        </w:rPr>
        <w:t>On August 15, 2016, concurrent with the execution of the Agreement and Plan of Merger (see Note 1A), StemCells Inc. issued a 6.0% secured note (the “Note”) to Alpha Capital Anstalt (“Alpha Capital”), in the principal amount of $2,000, for value received, payable upon the earlier of</w:t>
      </w:r>
    </w:p>
    <w:p>
      <w:pPr>
        <w:ind w:left="1020" w:firstLine="9"/>
        <w:spacing w:after="0" w:line="261" w:lineRule="auto"/>
        <w:tabs>
          <w:tab w:leader="none" w:pos="12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30 days following the consummation of the Merger and (ii) December 31, 2016. Proceeds from the Note were used for the payment of costs and expenses in connection with the Merger and operational expenses leading to such Closing.</w:t>
      </w:r>
    </w:p>
    <w:p>
      <w:pPr>
        <w:spacing w:after="0" w:line="184"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Note bears interest at 6% per annum, payable monthly in arrears on the first of the month, beginning on January 1, 2017 until the principal amount is paid in full. In addition, the Note is secured by a first priority security interest in all of the Company’s intellectual property and certain other general assets pursuant to a Security Agreement</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1020"/>
        <w:spacing w:after="0" w:line="302" w:lineRule="auto"/>
        <w:rPr>
          <w:sz w:val="20"/>
          <w:szCs w:val="20"/>
          <w:color w:val="auto"/>
        </w:rPr>
      </w:pPr>
      <w:r>
        <w:rPr>
          <w:rFonts w:ascii="Arial" w:cs="Arial" w:eastAsia="Arial" w:hAnsi="Arial"/>
          <w:sz w:val="16"/>
          <w:szCs w:val="16"/>
          <w:color w:val="auto"/>
        </w:rPr>
        <w:t>As of the effective time of the Merger, the Company entered into a Securities Exchange Agreement (the “Exchange Agreement”) with Alpha Capital, providing for the issuance to Alpha Capital of a convertible promissory note by the Company (the “Convertible Note”) in a principal amount of $2,029, which is equal to the principal and accrued interest under the Note, in exchange for (a) the full satisfaction, termination and cancellation of the Note and (b) the release and termination of the Security Agreement and the first priority security interest granted thereunder.</w:t>
      </w:r>
    </w:p>
    <w:p>
      <w:pPr>
        <w:spacing w:after="0" w:line="154"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Convertible Note was convertible into the Company’s Common Stock any time after November 28, 2017 and until the maturity date of November 28, 2019, based on a conversion price of $9.60 ($0.64 before the Reverse Split), subject to adjustments as provided in the Exchange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jc w:val="both"/>
        <w:ind w:left="1020"/>
        <w:spacing w:after="0" w:line="259" w:lineRule="auto"/>
        <w:rPr>
          <w:sz w:val="20"/>
          <w:szCs w:val="20"/>
          <w:color w:val="auto"/>
        </w:rPr>
      </w:pPr>
      <w:r>
        <w:rPr>
          <w:rFonts w:ascii="Arial" w:cs="Arial" w:eastAsia="Arial" w:hAnsi="Arial"/>
          <w:sz w:val="18"/>
          <w:szCs w:val="18"/>
          <w:color w:val="auto"/>
        </w:rPr>
        <w:t>Pursuant to the terms of the Convertible Note, the Company was obligated to pay interest on the outstanding principal amount owed under the Convertible Note at a fixed rate per annum of 6.0%, payable at maturity or earlier upon conversion. The Exchange Agreement contains customary representations and warranties and usual and customary affirmative and negative covenants. The Convertible Note also contained certain customary events of default.</w:t>
      </w:r>
    </w:p>
    <w:p>
      <w:pPr>
        <w:spacing w:after="0" w:line="187" w:lineRule="exact"/>
        <w:rPr>
          <w:sz w:val="20"/>
          <w:szCs w:val="20"/>
          <w:color w:val="auto"/>
        </w:rPr>
      </w:pPr>
    </w:p>
    <w:p>
      <w:pPr>
        <w:jc w:val="both"/>
        <w:ind w:left="1020"/>
        <w:spacing w:after="0" w:line="276" w:lineRule="auto"/>
        <w:rPr>
          <w:sz w:val="20"/>
          <w:szCs w:val="20"/>
          <w:color w:val="auto"/>
        </w:rPr>
      </w:pPr>
      <w:r>
        <w:rPr>
          <w:rFonts w:ascii="Arial" w:cs="Arial" w:eastAsia="Arial" w:hAnsi="Arial"/>
          <w:sz w:val="17"/>
          <w:szCs w:val="17"/>
          <w:color w:val="auto"/>
        </w:rPr>
        <w:t>As the Exchange Agreement represented the consummation of the original intent of the Company and Alpha Capital, as of the date of execution of the Merger Agreement (August 2016), to enter into a $2 million convertible note sale transaction, upon the consummation of the Merger, the Company accounted for the convertible note in accordance with such economic substance, as if it had been issued for a cash consideration equal to the principal and accrued interest on the Note, as of the effective date of the Merger, in the amount of $2,029 (the “Assumed Consideration”), which is equal to the principal amount of the Convertible Note as determined in the Exchange Agreement.</w:t>
      </w:r>
    </w:p>
    <w:p>
      <w:pPr>
        <w:spacing w:after="0" w:line="173"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The Company concluded the conversion feature of the Convertible Note, based on the commitment date of November 28 2016 (the Exchange Agreement date), is a Beneficial Conversion Feature pursuant to the provisions of ASC 470-20, “Debt with Conversion and Other Options”. Accordingly, $2,029 of the Assumed Consideration was recorded in equity with a corresponding discount on the Convertible Note, to be amortized over its term through maturity.</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also Note 10 – Securities Exchange Agreements with Alpha Capital.</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carrying value of the Convertible Note as of the periods below was calculated as follow:</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Unamortized discount</w:t>
            </w:r>
          </w:p>
        </w:tc>
        <w:tc>
          <w:tcPr>
            <w:tcW w:w="10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0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WARRANT LIABILITIES</w:t>
      </w:r>
    </w:p>
    <w:p>
      <w:pPr>
        <w:spacing w:after="0" w:line="229" w:lineRule="exact"/>
        <w:rPr>
          <w:sz w:val="20"/>
          <w:szCs w:val="20"/>
          <w:color w:val="auto"/>
        </w:rPr>
      </w:pPr>
    </w:p>
    <w:p>
      <w:pPr>
        <w:jc w:val="both"/>
        <w:ind w:left="1020"/>
        <w:spacing w:after="0" w:line="271" w:lineRule="auto"/>
        <w:rPr>
          <w:sz w:val="20"/>
          <w:szCs w:val="20"/>
          <w:color w:val="auto"/>
        </w:rPr>
      </w:pPr>
      <w:r>
        <w:rPr>
          <w:rFonts w:ascii="Arial" w:cs="Arial" w:eastAsia="Arial" w:hAnsi="Arial"/>
          <w:sz w:val="17"/>
          <w:szCs w:val="17"/>
          <w:color w:val="auto"/>
        </w:rPr>
        <w:t>As part of StemCell’s obligations under the Merger Agreement, in August 2016, StemCells negotiated with certain institutional holders of its 2016 Series A and Series B Warrants, issued by prior to the Merger, to have such holders surrender their 2016 Series B Warrants in exchange for a reduced exercise price of $4.45 ($0.30 before the Reverse Split) per share on their existing 2016 Series A Warrants and the elimination of the anti-dilution price protection in the 2016 Series A Warrants. As a result, the exercise price for all outstanding 2011 Series A Warrants and 2016 Series A and Series B Warrants was reset to of $4.45 ($0.30 before the Reverse Split) per share. Subsequent to the reset of the exercise price, an aggregate of 35,831 (531,814 before the Reverse Split) (from an outstanding aggregate of 38,948 (578,081 before the Reverse Split)) 2011 Series A Warrants were exercised. For the exercise of these warrants, the Company issued 35,831 shares (531,814 shares before the Reverse Split) of its common stock prior to the Merger.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remaining outstanding warrants and terms as of December 31, 2017 and 2016 is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as of</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as of</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0"/>
              </w:rPr>
              <w:t>as of</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Exercise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6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Issuance date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2016(*)</w:t>
            </w:r>
          </w:p>
        </w:tc>
        <w:tc>
          <w:tcPr>
            <w:tcW w:w="2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2017(*)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Price (*)</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8"/>
              </w:rPr>
              <w:t>2017(*)</w:t>
            </w:r>
          </w:p>
        </w:tc>
        <w:tc>
          <w:tcPr>
            <w:tcW w:w="20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18"/>
                <w:szCs w:val="18"/>
                <w:b w:val="1"/>
                <w:bCs w:val="1"/>
                <w:color w:val="auto"/>
                <w:w w:val="89"/>
              </w:rPr>
              <w:t>Exercisable Through</w:t>
            </w:r>
          </w:p>
        </w:tc>
      </w:tr>
      <w:tr>
        <w:trPr>
          <w:trHeight w:val="216"/>
        </w:trPr>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16"/>
        </w:trPr>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Series A (2011)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2016</w:t>
            </w:r>
          </w:p>
        </w:tc>
      </w:tr>
      <w:tr>
        <w:trPr>
          <w:trHeight w:val="216"/>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Series A (2013)</w:t>
            </w:r>
          </w:p>
        </w:tc>
        <w:tc>
          <w:tcPr>
            <w:tcW w:w="1280" w:type="dxa"/>
            <w:vAlign w:val="bottom"/>
          </w:tcPr>
          <w:p>
            <w:pPr>
              <w:jc w:val="right"/>
              <w:spacing w:after="0"/>
              <w:rPr>
                <w:sz w:val="20"/>
                <w:szCs w:val="20"/>
                <w:color w:val="auto"/>
              </w:rPr>
            </w:pPr>
            <w:r>
              <w:rPr>
                <w:rFonts w:ascii="Arial" w:cs="Arial" w:eastAsia="Arial" w:hAnsi="Arial"/>
                <w:sz w:val="18"/>
                <w:szCs w:val="18"/>
                <w:color w:val="auto"/>
              </w:rPr>
              <w:t>3,895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2,885</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3,895</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October 2018</w:t>
            </w:r>
          </w:p>
        </w:tc>
      </w:tr>
      <w:tr>
        <w:trPr>
          <w:trHeight w:val="216"/>
        </w:trPr>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Series A (2013)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April 2023</w:t>
            </w:r>
          </w:p>
        </w:tc>
      </w:tr>
      <w:tr>
        <w:trPr>
          <w:trHeight w:val="216"/>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Series A (2015)</w:t>
            </w:r>
          </w:p>
        </w:tc>
        <w:tc>
          <w:tcPr>
            <w:tcW w:w="1280" w:type="dxa"/>
            <w:vAlign w:val="bottom"/>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1,363</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683</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April 2020</w:t>
            </w:r>
          </w:p>
        </w:tc>
      </w:tr>
      <w:tr>
        <w:trPr>
          <w:trHeight w:val="216"/>
        </w:trPr>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Series A (2016)(a)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March 2018</w:t>
            </w:r>
          </w:p>
        </w:tc>
      </w:tr>
      <w:tr>
        <w:trPr>
          <w:trHeight w:val="230"/>
        </w:trPr>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Series B (2016)(a)</w:t>
            </w:r>
          </w:p>
        </w:tc>
        <w:tc>
          <w:tcPr>
            <w:tcW w:w="1280" w:type="dxa"/>
            <w:vAlign w:val="bottom"/>
          </w:tcPr>
          <w:p>
            <w:pPr>
              <w:jc w:val="right"/>
              <w:spacing w:after="0"/>
              <w:rPr>
                <w:sz w:val="20"/>
                <w:szCs w:val="20"/>
                <w:color w:val="auto"/>
              </w:rPr>
            </w:pPr>
            <w:r>
              <w:rPr>
                <w:rFonts w:ascii="Arial" w:cs="Arial" w:eastAsia="Arial" w:hAnsi="Arial"/>
                <w:sz w:val="18"/>
                <w:szCs w:val="18"/>
                <w:color w:val="auto"/>
              </w:rPr>
              <w:t>2,770</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2,770</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March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128270</wp:posOffset>
            </wp:positionV>
            <wp:extent cx="16465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8" w:lineRule="exact"/>
        <w:rPr>
          <w:sz w:val="20"/>
          <w:szCs w:val="20"/>
          <w:color w:val="auto"/>
        </w:rPr>
      </w:pPr>
    </w:p>
    <w:p>
      <w:pPr>
        <w:ind w:left="440" w:hanging="426"/>
        <w:spacing w:after="0" w:line="25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December 31 2017 and 2016 warrants data represents the number of shares adjusted to retroactively reflect the 1:15 Reverse Split effected on September 4, 2018.</w:t>
      </w:r>
    </w:p>
    <w:p>
      <w:pPr>
        <w:spacing w:after="0" w:line="1" w:lineRule="exact"/>
        <w:rPr>
          <w:sz w:val="20"/>
          <w:szCs w:val="20"/>
          <w:color w:val="auto"/>
        </w:rPr>
      </w:pPr>
    </w:p>
    <w:p>
      <w:pPr>
        <w:jc w:val="both"/>
        <w:ind w:left="440" w:hanging="426"/>
        <w:spacing w:after="0" w:line="270" w:lineRule="auto"/>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December 31, 2017 and December 31, 2016, was approximately $28 and $313, respectively.</w:t>
      </w:r>
    </w:p>
    <w:p>
      <w:pPr>
        <w:spacing w:after="0" w:line="178" w:lineRule="exact"/>
        <w:rPr>
          <w:rFonts w:ascii="Arial" w:cs="Arial" w:eastAsia="Arial" w:hAnsi="Arial"/>
          <w:sz w:val="17"/>
          <w:szCs w:val="17"/>
          <w:color w:val="auto"/>
        </w:rPr>
      </w:pPr>
    </w:p>
    <w:p>
      <w:pPr>
        <w:ind w:left="440" w:right="20"/>
        <w:spacing w:after="0" w:line="277" w:lineRule="auto"/>
        <w:rPr>
          <w:rFonts w:ascii="Arial" w:cs="Arial" w:eastAsia="Arial" w:hAnsi="Arial"/>
          <w:sz w:val="17"/>
          <w:szCs w:val="17"/>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2 measurement).</w:t>
      </w:r>
    </w:p>
    <w:p>
      <w:pPr>
        <w:spacing w:after="0" w:line="170" w:lineRule="exact"/>
        <w:rPr>
          <w:rFonts w:ascii="Arial" w:cs="Arial" w:eastAsia="Arial" w:hAnsi="Arial"/>
          <w:sz w:val="17"/>
          <w:szCs w:val="17"/>
          <w:color w:val="auto"/>
        </w:rPr>
      </w:pPr>
    </w:p>
    <w:p>
      <w:pPr>
        <w:jc w:val="both"/>
        <w:ind w:left="440"/>
        <w:spacing w:after="0" w:line="297" w:lineRule="auto"/>
        <w:rPr>
          <w:rFonts w:ascii="Arial" w:cs="Arial" w:eastAsia="Arial" w:hAnsi="Arial"/>
          <w:sz w:val="17"/>
          <w:szCs w:val="17"/>
          <w:color w:val="auto"/>
        </w:rPr>
      </w:pPr>
      <w:r>
        <w:rPr>
          <w:rFonts w:ascii="Arial" w:cs="Arial" w:eastAsia="Arial" w:hAnsi="Arial"/>
          <w:sz w:val="16"/>
          <w:szCs w:val="16"/>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58" w:lineRule="exact"/>
        <w:rPr>
          <w:rFonts w:ascii="Arial" w:cs="Arial" w:eastAsia="Arial" w:hAnsi="Arial"/>
          <w:sz w:val="17"/>
          <w:szCs w:val="17"/>
          <w:color w:val="auto"/>
        </w:rPr>
      </w:pPr>
    </w:p>
    <w:p>
      <w:pPr>
        <w:ind w:left="440" w:hanging="426"/>
        <w:spacing w:after="0" w:line="277"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March 2017, an institutional holder executed a cashless exercise of 51 warrants (768 before the Reverse Split) and 24 shares (359 shares before the Reverse Split) of Common Stock were issued in connection therewith.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observable inputs used in the valuation of the derivative warrant liabilities as of December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Series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rPr>
              <w:t>A</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6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5"/>
              </w:rPr>
              <w:t>Series 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8"/>
        </w:trPr>
        <w:tc>
          <w:tcPr>
            <w:tcW w:w="27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(2013)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(2013)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(2015)</w:t>
            </w:r>
          </w:p>
        </w:tc>
        <w:tc>
          <w:tcPr>
            <w:tcW w:w="220" w:type="dxa"/>
            <w:vAlign w:val="bottom"/>
          </w:tcPr>
          <w:p>
            <w:pPr>
              <w:spacing w:after="0"/>
              <w:rPr>
                <w:sz w:val="23"/>
                <w:szCs w:val="23"/>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(2016)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Total</w:t>
            </w:r>
          </w:p>
        </w:tc>
      </w:tr>
      <w:tr>
        <w:trPr>
          <w:trHeight w:val="223"/>
        </w:trPr>
        <w:tc>
          <w:tcPr>
            <w:tcW w:w="27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90"/>
              </w:rPr>
              <w:t>(in thousands)</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Exercised</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Changes in fair value</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30"/>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137160</wp:posOffset>
            </wp:positionV>
            <wp:extent cx="16465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22" w:lineRule="exact"/>
        <w:rPr>
          <w:sz w:val="20"/>
          <w:szCs w:val="20"/>
          <w:color w:val="auto"/>
        </w:rPr>
      </w:pPr>
    </w:p>
    <w:p>
      <w:pPr>
        <w:ind w:left="440" w:hanging="42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540" w:right="660" w:hanging="4526"/>
        <w:spacing w:after="0" w:line="511" w:lineRule="auto"/>
        <w:tabs>
          <w:tab w:leader="none" w:pos="4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 data represents the number of shares adjusted to retroactively reflect the 1:15 Reverse Split effected on September 4, 2018.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-147320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00"/>
          </w:cols>
          <w:pgMar w:left="1260" w:top="665" w:right="239" w:bottom="1440" w:gutter="0" w:footer="0" w:header="0"/>
        </w:sectPr>
      </w:pPr>
    </w:p>
    <w:bookmarkStart w:id="51" w:name="page52"/>
    <w:bookmarkEnd w:id="51"/>
    <w:p>
      <w:pPr>
        <w:ind w:left="1020"/>
        <w:spacing w:after="0"/>
        <w:rPr>
          <w:sz w:val="20"/>
          <w:szCs w:val="20"/>
          <w:color w:val="auto"/>
        </w:rPr>
      </w:pPr>
      <w:r>
        <w:rPr>
          <w:rFonts w:ascii="Arial" w:cs="Arial" w:eastAsia="Arial" w:hAnsi="Arial"/>
          <w:sz w:val="16"/>
          <w:szCs w:val="16"/>
          <w:color w:val="auto"/>
        </w:rPr>
        <w:t>The following table summarizes the observable inputs used in the valuation of the derivative warrant liabilities as of December 31, 2017 and</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December 31, 2016:</w:t>
      </w:r>
    </w:p>
    <w:p>
      <w:pPr>
        <w:spacing w:after="0" w:line="207"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4"/>
          </w:tcPr>
          <w:p>
            <w:pPr>
              <w:jc w:val="right"/>
              <w:ind w:right="677"/>
              <w:spacing w:after="0"/>
              <w:rPr>
                <w:sz w:val="20"/>
                <w:szCs w:val="20"/>
                <w:color w:val="auto"/>
              </w:rPr>
            </w:pPr>
            <w:r>
              <w:rPr>
                <w:rFonts w:ascii="Arial" w:cs="Arial" w:eastAsia="Arial" w:hAnsi="Arial"/>
                <w:sz w:val="18"/>
                <w:szCs w:val="18"/>
                <w:b w:val="1"/>
                <w:bCs w:val="1"/>
                <w:color w:val="auto"/>
              </w:rPr>
              <w:t>As of</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4"/>
          </w:tcPr>
          <w:p>
            <w:pPr>
              <w:jc w:val="right"/>
              <w:ind w:right="697"/>
              <w:spacing w:after="0"/>
              <w:rPr>
                <w:sz w:val="20"/>
                <w:szCs w:val="20"/>
                <w:color w:val="auto"/>
              </w:rPr>
            </w:pPr>
            <w:r>
              <w:rPr>
                <w:rFonts w:ascii="Arial" w:cs="Arial" w:eastAsia="Arial" w:hAnsi="Arial"/>
                <w:sz w:val="18"/>
                <w:szCs w:val="18"/>
                <w:b w:val="1"/>
                <w:bCs w:val="1"/>
                <w:color w:val="auto"/>
              </w:rPr>
              <w:t>As of</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8"/>
        </w:trPr>
        <w:tc>
          <w:tcPr>
            <w:tcW w:w="2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8"/>
                <w:szCs w:val="18"/>
                <w:b w:val="1"/>
                <w:bCs w:val="1"/>
                <w:color w:val="auto"/>
              </w:rPr>
              <w:t>December 31, 2017(*)</w:t>
            </w:r>
          </w:p>
        </w:tc>
        <w:tc>
          <w:tcPr>
            <w:tcW w:w="4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8"/>
                <w:szCs w:val="18"/>
                <w:b w:val="1"/>
                <w:bCs w:val="1"/>
                <w:color w:val="auto"/>
              </w:rPr>
              <w:t>December 31, 2016(*)</w:t>
            </w:r>
          </w:p>
        </w:tc>
        <w:tc>
          <w:tcPr>
            <w:tcW w:w="4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28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Series A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Series B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Series A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Series B (2016)</w:t>
            </w:r>
          </w:p>
        </w:tc>
        <w:tc>
          <w:tcPr>
            <w:tcW w:w="160" w:type="dxa"/>
            <w:vAlign w:val="bottom"/>
            <w:tcBorders>
              <w:bottom w:val="single" w:sz="8" w:color="CCEEFF"/>
            </w:tcBorders>
          </w:tcPr>
          <w:p>
            <w:pPr>
              <w:spacing w:after="0"/>
              <w:rPr>
                <w:sz w:val="20"/>
                <w:szCs w:val="20"/>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Exercise price</w:t>
            </w:r>
          </w:p>
        </w:tc>
        <w:tc>
          <w:tcPr>
            <w:tcW w:w="10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88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44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9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Risk-free interest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128270</wp:posOffset>
            </wp:positionV>
            <wp:extent cx="16465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8" w:lineRule="exact"/>
        <w:rPr>
          <w:sz w:val="20"/>
          <w:szCs w:val="20"/>
          <w:color w:val="auto"/>
        </w:rPr>
      </w:pPr>
    </w:p>
    <w:p>
      <w:pPr>
        <w:ind w:left="1460" w:right="20" w:hanging="426"/>
        <w:spacing w:after="0" w:line="277"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December 31 2017 and 2016 options data represents the number of shares adjusted to retroactively reflect the 1:15 Reverse Split effected on September 4, 2018.</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Activity in such liabilities measured on a recurring basis is as follows:</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December 31, 2016</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Revaluation of warrants</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Exercise warrants</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226695</wp:posOffset>
            </wp:positionV>
            <wp:extent cx="18097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Derivative warrant</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liabilities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(in thousands)</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line="201" w:lineRule="exact"/>
              <w:rPr>
                <w:sz w:val="20"/>
                <w:szCs w:val="20"/>
                <w:color w:val="auto"/>
              </w:rPr>
            </w:pPr>
            <w:r>
              <w:rPr>
                <w:rFonts w:ascii="Arial" w:cs="Arial" w:eastAsia="Arial" w:hAnsi="Arial"/>
                <w:sz w:val="18"/>
                <w:szCs w:val="18"/>
                <w:color w:val="auto"/>
              </w:rPr>
              <w:t>313</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(285)</w:t>
            </w:r>
          </w:p>
        </w:tc>
      </w:tr>
      <w:tr>
        <w:trPr>
          <w:trHeight w:val="251"/>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-616585</wp:posOffset>
            </wp:positionV>
            <wp:extent cx="434784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-334010</wp:posOffset>
            </wp:positionV>
            <wp:extent cx="434784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5240" w:space="720"/>
            <w:col w:w="5460"/>
          </w:cols>
          <w:pgMar w:left="240" w:top="66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November 30, 2016</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Revaluation of warrants</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Exercise warrants</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209550</wp:posOffset>
            </wp:positionV>
            <wp:extent cx="16465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33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Derivative warrant</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liabilities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line="201" w:lineRule="exact"/>
              <w:rPr>
                <w:sz w:val="20"/>
                <w:szCs w:val="20"/>
                <w:color w:val="auto"/>
              </w:rPr>
            </w:pPr>
            <w:r>
              <w:rPr>
                <w:rFonts w:ascii="Arial" w:cs="Arial" w:eastAsia="Arial" w:hAnsi="Arial"/>
                <w:sz w:val="18"/>
                <w:szCs w:val="18"/>
                <w:color w:val="auto"/>
              </w:rPr>
              <w:t>575</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(262)</w:t>
            </w: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-616585</wp:posOffset>
            </wp:positionV>
            <wp:extent cx="434784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-334010</wp:posOffset>
            </wp:positionV>
            <wp:extent cx="434784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649" w:lineRule="exact"/>
        <w:rPr>
          <w:sz w:val="20"/>
          <w:szCs w:val="20"/>
          <w:color w:val="auto"/>
        </w:rPr>
      </w:pPr>
    </w:p>
    <w:p>
      <w:pPr>
        <w:sectPr>
          <w:pgSz w:w="11900" w:h="16838" w:orient="portrait"/>
          <w:cols w:equalWidth="0" w:num="2">
            <w:col w:w="5240" w:space="720"/>
            <w:col w:w="5460"/>
          </w:cols>
          <w:pgMar w:left="240" w:top="665" w:right="239" w:bottom="1440" w:gutter="0" w:footer="0" w:header="0"/>
          <w:type w:val="continuous"/>
        </w:sectPr>
      </w:pPr>
    </w:p>
    <w:p>
      <w:pPr>
        <w:spacing w:after="0" w:line="25" w:lineRule="exact"/>
        <w:rPr>
          <w:sz w:val="20"/>
          <w:szCs w:val="20"/>
          <w:color w:val="auto"/>
        </w:rPr>
      </w:pPr>
    </w:p>
    <w:p>
      <w:pPr>
        <w:jc w:val="both"/>
        <w:ind w:left="1020"/>
        <w:spacing w:after="0" w:line="255" w:lineRule="auto"/>
        <w:rPr>
          <w:sz w:val="20"/>
          <w:szCs w:val="20"/>
          <w:color w:val="auto"/>
        </w:rPr>
      </w:pPr>
      <w:r>
        <w:rPr>
          <w:rFonts w:ascii="Arial" w:cs="Arial" w:eastAsia="Arial" w:hAnsi="Arial"/>
          <w:sz w:val="18"/>
          <w:szCs w:val="18"/>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in volatility would decrease the value of the warrants to $27; a 5.0% increase in volatility would increase the value of the warrants to $29. A 5.0% decrease or increase in the risk-free rate would not have materially changed the value of the warrants; the value of the warrants is not strongly correlated with small changes in interest 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CONTIGENCIES</w:t>
      </w:r>
    </w:p>
    <w:p>
      <w:pPr>
        <w:spacing w:after="0" w:line="229" w:lineRule="exact"/>
        <w:rPr>
          <w:sz w:val="20"/>
          <w:szCs w:val="20"/>
          <w:color w:val="auto"/>
        </w:rPr>
      </w:pPr>
    </w:p>
    <w:p>
      <w:pPr>
        <w:jc w:val="both"/>
        <w:ind w:left="104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December 31, 2017 in the total amount of approximately $1,183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1040"/>
        <w:spacing w:after="0" w:line="259" w:lineRule="auto"/>
        <w:rPr>
          <w:sz w:val="20"/>
          <w:szCs w:val="20"/>
          <w:color w:val="auto"/>
        </w:rPr>
      </w:pPr>
      <w:r>
        <w:rPr>
          <w:rFonts w:ascii="Arial" w:cs="Arial" w:eastAsia="Arial" w:hAnsi="Arial"/>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52" w:name="page53"/>
    <w:bookmarkEnd w:id="52"/>
    <w:p>
      <w:pPr>
        <w:jc w:val="both"/>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2016, the Company entered into an office lease agreement, with a term ending on February 28, 2018. According to the lease agreement, the monthly office lease payment is approximately $3.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2016, the Company entered into a cars lease agreement, which will end on December 31, 2019. According to the lease agreement, the monthly car lease payment is approximately $2.5.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2017, the Company entered into an office lease agreement effective from February 1, 2018, with a term ending on December 31, 2020. According to the lease agreement, the monthly office lease payment is approximately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Agreement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27, 2017, the Company entered into a Contract Research Agreement (the “Research Agreement”) with The Washington University (“Washington U.”), pursuant to which the parties will collaborate to determine the effectiveness of the Company’s self-cleaning shunt.</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The study in WU includes several phases. The first phase (initial research) was completed. The parties are in the final stage of planning the next phase, including the related various costs. </w:t>
      </w:r>
      <w:r>
        <w:rPr>
          <w:rFonts w:ascii="Arial" w:cs="Arial" w:eastAsia="Arial" w:hAnsi="Arial"/>
          <w:sz w:val="17"/>
          <w:szCs w:val="17"/>
          <w:color w:val="000000"/>
        </w:rPr>
        <w:t>Pursuant to the Research Agreement, all rights, title and interest in the data, information and results</w:t>
      </w:r>
      <w:r>
        <w:rPr>
          <w:rFonts w:ascii="Arial" w:cs="Arial" w:eastAsia="Arial" w:hAnsi="Arial"/>
          <w:sz w:val="17"/>
          <w:szCs w:val="17"/>
          <w:color w:val="222222"/>
        </w:rPr>
        <w:t xml:space="preserve"> </w:t>
      </w:r>
      <w:r>
        <w:rPr>
          <w:rFonts w:ascii="Arial" w:cs="Arial" w:eastAsia="Arial" w:hAnsi="Arial"/>
          <w:sz w:val="17"/>
          <w:szCs w:val="17"/>
          <w:color w:val="000000"/>
        </w:rPr>
        <w:t>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The parties presently are engaged in discovery.</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16 – Subsequent Events, below.</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6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NOTE 9 - SHARE CAPITAL</w:t>
      </w:r>
    </w:p>
    <w:p>
      <w:pPr>
        <w:spacing w:after="0" w:line="229"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is convertible, at the option of the holder, into 67 shares ( 1,000 shares before the Reverse Split) of Common Stock, and confer upon the holder dividend rights on an as converted basis.</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left="1060"/>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of 52 warrants ( 768 before the Reverse Split) and 24 shares ( 359 shares before the Reverse Split) of Common Stock were issued in connection therewith.</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The authorized capital stock consists of 221,000,000 shares of capital stock, which consists of 220,000,000 shares of Common Stock and 1,000,000 shares of undesignated preferred stock, par value $0.01 (the “Preferred Stock”). As of December 31, 2017, the Company had 2,734,300 shares (40,583,127 shares before the Reverse Split) of Common Stock issued and outstanding, and 4,001 shares of Series A Convertible Preferred Stock issued and outstanding.</w:t>
      </w:r>
    </w:p>
    <w:p>
      <w:pPr>
        <w:spacing w:after="0" w:line="187"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On November 28, 2016, the Company filed a Certificate of Amendment to its Restated Certificate of Incorporation, as amended, with the Secretary of State of the State of Delaware to (i) effect the Reverse Stock Split, (ii) change its name from “StemCells, Inc.” to “Microbot Medical Inc.” and (iii) increase the number of authorized shares of the Common Stock from 200,000,000 to 220,000,000 shares (the “Certificate of Amendment”).</w:t>
      </w:r>
    </w:p>
    <w:p>
      <w:pPr>
        <w:spacing w:after="0" w:line="187"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As a result of the Reverse Stock Split, the number of issued and outstanding shares of the Common Stock immediately prior to the Reverse Stock Split were reduced into a smaller number of shares, such that every nine shares of the Common Stock held by a stockholder immediately prior to the Reverse Stock Split were combined and reclassified into one share of the Common Stock.</w:t>
      </w:r>
    </w:p>
    <w:p>
      <w:pPr>
        <w:spacing w:after="0" w:line="181"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Immediately following the Reverse Stock Split and the Merger, there were 2,442,646 shares (36,254,240 shares before the Reverse Split) of the Common Stock issued and outstanding, which included certain rights to receive shares of Common Stock or equivalent securities but excludes shares underlying outstanding stock options and warrants and the Convertible Note.</w:t>
      </w:r>
    </w:p>
    <w:p>
      <w:pPr>
        <w:spacing w:after="0" w:line="181" w:lineRule="exact"/>
        <w:rPr>
          <w:sz w:val="20"/>
          <w:szCs w:val="20"/>
          <w:color w:val="auto"/>
        </w:rPr>
      </w:pPr>
    </w:p>
    <w:p>
      <w:pPr>
        <w:jc w:val="both"/>
        <w:ind w:left="1060"/>
        <w:spacing w:after="0" w:line="286" w:lineRule="auto"/>
        <w:rPr>
          <w:sz w:val="20"/>
          <w:szCs w:val="20"/>
          <w:color w:val="auto"/>
        </w:rPr>
      </w:pPr>
      <w:r>
        <w:rPr>
          <w:rFonts w:ascii="Arial" w:cs="Arial" w:eastAsia="Arial" w:hAnsi="Arial"/>
          <w:sz w:val="17"/>
          <w:szCs w:val="17"/>
          <w:color w:val="auto"/>
        </w:rPr>
        <w:t>On December 27, 2016, the Company exchanged 655,962 shares (9,735,925 shares before the Reverse Split) or rights to acquire shares of its Common Stock, for 9,736 shares of a newly designated class of Series A Convertible Preferred Stock. See “- Securities Exchange Agreement with Alpha Capital” below. See also Note 6 – Securities Exchange Agreement with Alpha Capital, above.</w:t>
      </w:r>
    </w:p>
    <w:p>
      <w:pPr>
        <w:spacing w:after="0" w:line="166"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 ($5.00 per share before the Reverse Split) or gross proceeds of $3,500. The Company paid the placement agent a fee of $210 plus reimbursement of out-of-pocket expenses, as well as other offering-related expenses.</w:t>
      </w:r>
    </w:p>
    <w:p>
      <w:pPr>
        <w:spacing w:after="0" w:line="187"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On June 5, 2017, the Company entered into a Securities Purchase Agreement with certain institutional investors (the “Investors”) providing for the issuance and sale by the Company to the Investors of an aggregate of 252,658 shares (3,750,000 shares before the Reverse Split) of Common Stock, at a purchase price per share of $40 ($2.70 per share before the Reverse Split). The gross proceeds to the Company was $10,125,000 before deducting placement agent fees and offering expenses of $922.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2014, Microbot Israel’s board of directors approved a grant of 26,906 (403,592 stock options before the Reverse Split) (77,846 stock options as retroactively adjusted to reflect the Merger and the Reverse Split) to its CEO, through MEDX Venture Group LLC. Each option was exercisable into an ordinary share, at an exercise price of $12 ($0.8 before the Reverse Split) ($4.2 as retroactively adjusted to reflect the Merger and the Reverse Split). The stock options were fully vested at the date of grant.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2, 2016, Microbot Israel’s board of directors approved a grant of 33,333 stock options (500,000 stock options before the Reverse Split) (96,482 as retroactively adjusted to reflect the Merger and the Reverse Split)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Ltd estimated the fair value of the options as equal to the Company’s share price of $20.25 ($1.35 before the Reverse Split) ($7.05 as retroactively adjusted to reflect the Merger and the Reverse Split) at the date of grant.</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120,847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in the amount of $156 included in general and administrative expenses for the period ended December 31, 2017.</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$92 included in general and administrative expenses for the period ended December 31, 2017.</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2017, the board of directors approved a grant of 12,698 stock options (190,475 stock options before the Reverse Split) to purchase an aggregate of up to 12,698 shares (190,475 shares before the Reverse Split) of Common Stock to certain of its directors, at an exercise price per share of $15.75 ($1.05 before the Reverse Split). The stock options vest over a period of 3 years as outlined in the option agreements. As a result, the Company recognized compensation expenses in the amount of $4 included in general and administrative expenses for the period ended December 31, 2017.</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(990,543 shares before the Reverse Split) of Common Stock to certain of its employees, at an exercise price per share of $15.3 ($1.02 before the Reverse Split). The stock options vest over a period of 3 years as outlined in the option agreements. As a result, the Company recognized compensation expenses in the amount of $95 included in general and administrative expenses for the period ended December 31, 2017.</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(471,794 ordinary shares before the Reverse Split) at exercise price of 0.001 NIS.</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60"/>
          </w:cols>
          <w:pgMar w:left="1300" w:top="661" w:right="239" w:bottom="1440" w:gutter="0" w:footer="0" w:header="0"/>
        </w:sectPr>
      </w:pPr>
    </w:p>
    <w:bookmarkStart w:id="55" w:name="page56"/>
    <w:bookmarkEnd w:id="55"/>
    <w:p>
      <w:pPr>
        <w:ind w:left="20"/>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For the year ended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3"/>
              </w:rPr>
              <w:t>December 31, 2017(**)</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Number of 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7"/>
                <w:szCs w:val="17"/>
                <w:color w:val="auto"/>
              </w:rPr>
            </w:pPr>
          </w:p>
        </w:tc>
        <w:tc>
          <w:tcPr>
            <w:tcW w:w="15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Aggregate intrinsic</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options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174,328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272,090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560" w:type="dxa"/>
            <w:vAlign w:val="bottom"/>
          </w:tcPr>
          <w:p>
            <w:pPr>
              <w:jc w:val="right"/>
              <w:spacing w:after="0"/>
              <w:rPr>
                <w:sz w:val="20"/>
                <w:szCs w:val="20"/>
                <w:color w:val="auto"/>
              </w:rPr>
            </w:pPr>
            <w:r>
              <w:rPr>
                <w:rFonts w:ascii="Arial" w:cs="Arial" w:eastAsia="Arial" w:hAnsi="Arial"/>
                <w:sz w:val="18"/>
                <w:szCs w:val="18"/>
                <w:color w:val="auto"/>
              </w:rPr>
              <w:t>142,875</w:t>
            </w: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4"/>
                <w:szCs w:val="24"/>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Vested and expected-to-vest at end of period</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174,328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For the year ended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3"/>
              </w:rPr>
              <w:t>December 31, 2016(**)</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Number of 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7"/>
                <w:szCs w:val="17"/>
                <w:color w:val="auto"/>
              </w:rPr>
            </w:pPr>
          </w:p>
        </w:tc>
        <w:tc>
          <w:tcPr>
            <w:tcW w:w="15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Aggregate intrinsic</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options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96,482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560" w:type="dxa"/>
            <w:vAlign w:val="bottom"/>
          </w:tcPr>
          <w:p>
            <w:pPr>
              <w:jc w:val="right"/>
              <w:spacing w:after="0"/>
              <w:rPr>
                <w:sz w:val="20"/>
                <w:szCs w:val="20"/>
                <w:color w:val="auto"/>
              </w:rPr>
            </w:pPr>
            <w:r>
              <w:rPr>
                <w:rFonts w:ascii="Arial" w:cs="Arial" w:eastAsia="Arial" w:hAnsi="Arial"/>
                <w:sz w:val="18"/>
                <w:szCs w:val="18"/>
                <w:color w:val="auto"/>
              </w:rPr>
              <w:t>174,328</w:t>
            </w: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4"/>
                <w:szCs w:val="24"/>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expected-to-vest at end of period</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174,328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65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20" w:firstLine="1"/>
        <w:spacing w:after="0" w:line="261" w:lineRule="auto"/>
        <w:tabs>
          <w:tab w:leader="none" w:pos="3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December 31 2017 and 2016 options data represents the number of shares adjusted to retroactively reflect the 1:15 Reverse Split effected on September 4, 2018.</w:t>
      </w:r>
    </w:p>
    <w:p>
      <w:pPr>
        <w:spacing w:after="0" w:line="184"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2017 and December 31, 2016 respectively,</w:t>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65" w:right="239" w:bottom="1440" w:gutter="0" w:footer="0" w:header="0"/>
        </w:sectPr>
      </w:pPr>
    </w:p>
    <w:bookmarkStart w:id="56" w:name="page57"/>
    <w:bookmarkEnd w:id="56"/>
    <w:p>
      <w:pPr>
        <w:ind w:left="20"/>
        <w:spacing w:after="0"/>
        <w:rPr>
          <w:sz w:val="20"/>
          <w:szCs w:val="20"/>
          <w:color w:val="auto"/>
        </w:rPr>
      </w:pPr>
      <w:r>
        <w:rPr>
          <w:rFonts w:ascii="Arial" w:cs="Arial" w:eastAsia="Arial" w:hAnsi="Arial"/>
          <w:sz w:val="18"/>
          <w:szCs w:val="18"/>
          <w:color w:val="auto"/>
        </w:rPr>
        <w:t>The stock options outstanding as of December 31, 2017 and December 31, 2016, separated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Weighted average remaining</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Stock options outstanding</w:t>
            </w:r>
          </w:p>
        </w:tc>
        <w:tc>
          <w:tcPr>
            <w:tcW w:w="2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contractual life – years as of</w:t>
            </w:r>
          </w:p>
        </w:tc>
        <w:tc>
          <w:tcPr>
            <w:tcW w:w="2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Stock options exercisable as of</w:t>
            </w:r>
          </w:p>
        </w:tc>
      </w:tr>
      <w:tr>
        <w:trPr>
          <w:trHeight w:val="241"/>
        </w:trPr>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Exercise price</w:t>
            </w:r>
          </w:p>
        </w:tc>
        <w:tc>
          <w:tcPr>
            <w:tcW w:w="30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2"/>
              </w:rPr>
              <w:t>as of December 31, (**)</w:t>
            </w:r>
          </w:p>
        </w:tc>
        <w:tc>
          <w:tcPr>
            <w:tcW w:w="2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4"/>
              </w:rPr>
              <w:t>December 31, (**)</w:t>
            </w:r>
          </w:p>
        </w:tc>
        <w:tc>
          <w:tcPr>
            <w:tcW w:w="2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December 31, (**)</w:t>
            </w:r>
          </w:p>
        </w:tc>
      </w:tr>
      <w:tr>
        <w:trPr>
          <w:trHeight w:val="250"/>
        </w:trPr>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r>
      <w:tr>
        <w:trPr>
          <w:trHeight w:val="230"/>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15.75</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133,546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66,036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7"/>
        </w:trPr>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65,029</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65,029</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414,965</w:t>
            </w:r>
          </w:p>
        </w:tc>
        <w:tc>
          <w:tcPr>
            <w:tcW w:w="3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174,328</w:t>
            </w:r>
          </w:p>
        </w:tc>
        <w:tc>
          <w:tcPr>
            <w:tcW w:w="3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142,875</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174,328</w:t>
            </w:r>
          </w:p>
        </w:tc>
        <w:tc>
          <w:tcPr>
            <w:tcW w:w="10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65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20" w:firstLine="1"/>
        <w:spacing w:after="0" w:line="261" w:lineRule="auto"/>
        <w:tabs>
          <w:tab w:leader="none" w:pos="3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December 31 2017 and 2016 options data represents the number of shares adjusted to retroactively reflect the 1:15 Reverse Split effected on September 4, 2018.</w:t>
      </w:r>
    </w:p>
    <w:p>
      <w:pPr>
        <w:spacing w:after="0" w:line="184"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year ended December 31, 2017 and 2016 was $ 254 and $ 675, respectively.</w:t>
      </w:r>
    </w:p>
    <w:p>
      <w:pPr>
        <w:spacing w:after="0" w:line="170"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45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1"/>
                <w:szCs w:val="21"/>
                <w:color w:val="auto"/>
              </w:rPr>
            </w:pPr>
          </w:p>
        </w:tc>
      </w:tr>
      <w:tr>
        <w:trPr>
          <w:trHeight w:val="230"/>
        </w:trPr>
        <w:tc>
          <w:tcPr>
            <w:tcW w:w="4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122.5%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Risk-free interest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Expected life of up to (years)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bl>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In connection with the Merger, the Company issued an aggregate of 525,706 restricted shares (7,802,639 restricted shares before the Reverse Split) of its Common Stock to certain advisors. The fair value of the award of approximately $10,000 was estimated based on the share price of the Common Stock of $19.2 ($1.28 before the Reverse Split) as of the date of grant. The portion of the expense in excess of the cash and other current assets acquired in the Merger, in the amount of $7,300 was included in general and administrative expenses in the Statements of Comprehensive Loss.</w:t>
      </w:r>
    </w:p>
    <w:p>
      <w:pPr>
        <w:spacing w:after="0" w:line="188"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During 2017 the Company issued an aggregate of 8, 085 nonrefundable shares (120,000 nonrefundable shares before the Reverse Split) of Common Stock to a consultant as part of investor relations services. The Company recorded expenses of approximately $225 with respect to the issuance of these shares included in general and administrative expenses.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On December 16, 2016, the Company entered into a Securities Exchange Agreement with Alpha Capital, pursuant to which Alpha Capital exchanged 655,967 shares (9,736,000 shares before the Reverse Split)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655,967 shares (9,735,925 shares before the Reverse Split) of common stock and the rights to acquire common stock were cancelled and the Company’s issued and outstanding shares of Common Stock were reduced to 1,786,684 (26,518,315 before the Reverse Split).</w:t>
      </w:r>
    </w:p>
    <w:p>
      <w:pPr>
        <w:spacing w:after="0" w:line="18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65" w:right="239" w:bottom="1440" w:gutter="0" w:footer="0" w:header="0"/>
        </w:sectPr>
      </w:pPr>
    </w:p>
    <w:bookmarkStart w:id="57" w:name="page58"/>
    <w:bookmarkEnd w:id="57"/>
    <w:p>
      <w:pPr>
        <w:jc w:val="both"/>
        <w:ind w:left="1060"/>
        <w:spacing w:after="0" w:line="273" w:lineRule="auto"/>
        <w:rPr>
          <w:sz w:val="20"/>
          <w:szCs w:val="20"/>
          <w:color w:val="auto"/>
        </w:rPr>
      </w:pPr>
      <w:r>
        <w:rPr>
          <w:rFonts w:ascii="Arial" w:cs="Arial" w:eastAsia="Arial" w:hAnsi="Arial"/>
          <w:sz w:val="17"/>
          <w:szCs w:val="17"/>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Arial" w:cs="Arial" w:eastAsia="Arial" w:hAnsi="Arial"/>
          <w:sz w:val="17"/>
          <w:szCs w:val="17"/>
          <w:b w:val="1"/>
          <w:bCs w:val="1"/>
          <w:color w:val="auto"/>
        </w:rPr>
        <w:t>.</w:t>
      </w:r>
    </w:p>
    <w:p>
      <w:pPr>
        <w:spacing w:after="0" w:line="178"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During the year 2017, the holder of the Series A Convertible Preferred Stock converted 8,990 shares of the Series A Convertible Preferred Stock for 605,705 shares (8,990,000 shares before the Reverse Split) of Common Stock, pursuant to the terms of conversion of the Series A Convertible Preferred Stock.</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ind w:left="1060"/>
        <w:spacing w:after="0" w:line="255" w:lineRule="auto"/>
        <w:rPr>
          <w:sz w:val="20"/>
          <w:szCs w:val="20"/>
          <w:color w:val="auto"/>
        </w:rPr>
      </w:pPr>
      <w:r>
        <w:rPr>
          <w:rFonts w:ascii="Arial" w:cs="Arial" w:eastAsia="Arial" w:hAnsi="Arial"/>
          <w:sz w:val="18"/>
          <w:szCs w:val="18"/>
          <w:color w:val="auto"/>
        </w:rPr>
        <w:t>The Company intends to enter into a definitive agreement with up to three Israeli shareholders, some of whom are directors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93" w:lineRule="exact"/>
        <w:rPr>
          <w:sz w:val="20"/>
          <w:szCs w:val="20"/>
          <w:color w:val="auto"/>
        </w:rPr>
      </w:pPr>
    </w:p>
    <w:p>
      <w:pPr>
        <w:jc w:val="both"/>
        <w:ind w:left="1060"/>
        <w:spacing w:after="0" w:line="293" w:lineRule="auto"/>
        <w:rPr>
          <w:sz w:val="20"/>
          <w:szCs w:val="20"/>
          <w:color w:val="auto"/>
        </w:rPr>
      </w:pPr>
      <w:r>
        <w:rPr>
          <w:rFonts w:ascii="Arial" w:cs="Arial" w:eastAsia="Arial" w:hAnsi="Arial"/>
          <w:sz w:val="16"/>
          <w:szCs w:val="16"/>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 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65" w:lineRule="exact"/>
        <w:rPr>
          <w:sz w:val="20"/>
          <w:szCs w:val="20"/>
          <w:color w:val="auto"/>
        </w:rPr>
      </w:pPr>
    </w:p>
    <w:p>
      <w:pPr>
        <w:jc w:val="both"/>
        <w:ind w:left="106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BASIC AND DILUTED NET LOSS PER SHARE</w:t>
      </w:r>
    </w:p>
    <w:p>
      <w:pPr>
        <w:spacing w:after="0" w:line="229" w:lineRule="exact"/>
        <w:rPr>
          <w:sz w:val="20"/>
          <w:szCs w:val="20"/>
          <w:color w:val="auto"/>
        </w:rPr>
      </w:pPr>
    </w:p>
    <w:p>
      <w:pPr>
        <w:jc w:val="both"/>
        <w:ind w:left="1060" w:right="2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66"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Year</w:t>
      </w:r>
    </w:p>
    <w:p>
      <w:pPr>
        <w:spacing w:after="0" w:line="27"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Ended December 31,</w:t>
      </w:r>
    </w:p>
    <w:p>
      <w:pPr>
        <w:spacing w:after="0" w:line="9" w:lineRule="exact"/>
        <w:rPr>
          <w:sz w:val="20"/>
          <w:szCs w:val="20"/>
          <w:color w:val="auto"/>
        </w:rPr>
      </w:pPr>
    </w:p>
    <w:tbl>
      <w:tblPr>
        <w:tblLayout w:type="fixed"/>
        <w:tblInd w:w="1300" w:type="dxa"/>
        <w:tblCellMar>
          <w:top w:w="0" w:type="dxa"/>
          <w:left w:w="0" w:type="dxa"/>
          <w:bottom w:w="0" w:type="dxa"/>
          <w:right w:w="0" w:type="dxa"/>
        </w:tblCellMar>
      </w:tblPr>
      <w:tr>
        <w:trPr>
          <w:trHeight w:val="244"/>
        </w:trPr>
        <w:tc>
          <w:tcPr>
            <w:tcW w:w="50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used in the calculation of basic net loss per share</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w:t>
            </w:r>
          </w:p>
        </w:tc>
        <w:tc>
          <w:tcPr>
            <w:tcW w:w="9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2,201,992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963,047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137160</wp:posOffset>
            </wp:positionV>
            <wp:extent cx="160337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22" w:lineRule="exact"/>
        <w:rPr>
          <w:sz w:val="20"/>
          <w:szCs w:val="20"/>
          <w:color w:val="auto"/>
        </w:rPr>
      </w:pPr>
    </w:p>
    <w:p>
      <w:pPr>
        <w:ind w:left="1300" w:firstLine="5"/>
        <w:spacing w:after="0" w:line="277" w:lineRule="auto"/>
        <w:tabs>
          <w:tab w:leader="none" w:pos="15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December 31 2017 and 2016 shares data represents the number of shares adjusted to retroactively reflect the 1:15 Reverse Split effected on September 4,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jc w:val="both"/>
        <w:ind w:left="1540"/>
        <w:spacing w:after="0" w:line="277" w:lineRule="auto"/>
        <w:rPr>
          <w:sz w:val="20"/>
          <w:szCs w:val="20"/>
          <w:color w:val="auto"/>
        </w:rPr>
      </w:pPr>
      <w:r>
        <w:rPr>
          <w:rFonts w:ascii="Arial" w:cs="Arial" w:eastAsia="Arial" w:hAnsi="Arial"/>
          <w:sz w:val="18"/>
          <w:szCs w:val="18"/>
          <w:color w:val="auto"/>
        </w:rPr>
        <w:t>As the inclusion of common share equivalents in the calculation would be anti-dilutive for all periods presented, diluted net loss per share is the same as basic net loss per share.</w:t>
      </w:r>
    </w:p>
    <w:p>
      <w:pPr>
        <w:spacing w:after="0" w:line="170"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The weighted average number of common shares outstanding has been retroactively restated for the equivalent number of common shares received by the accounting acquirer as a result of the reverse recapitalization and reverse stock split as if these common shares had been outstanding as of the beginning of the earliest period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NOTE 11 - RESEARCH AND DEVELOPMENT EXPENSES, NET</w:t>
            </w: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060" w:type="dxa"/>
            <w:vAlign w:val="bottom"/>
            <w:gridSpan w:val="2"/>
            <w:shd w:val="clear" w:color="auto" w:fill="CCEEFF"/>
          </w:tcPr>
          <w:p>
            <w:pPr>
              <w:jc w:val="right"/>
              <w:ind w:right="99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Patents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Rent</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Less: Grants received from IIA</w:t>
            </w: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3060" w:type="dxa"/>
            <w:vAlign w:val="bottom"/>
            <w:gridSpan w:val="2"/>
          </w:tcPr>
          <w:p>
            <w:pPr>
              <w:jc w:val="right"/>
              <w:ind w:right="993"/>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21"/>
                <w:szCs w:val="21"/>
                <w:color w:val="auto"/>
              </w:rPr>
            </w:pPr>
          </w:p>
        </w:tc>
        <w:tc>
          <w:tcPr>
            <w:tcW w:w="1280" w:type="dxa"/>
            <w:vAlign w:val="bottom"/>
            <w:gridSpan w:val="2"/>
          </w:tcPr>
          <w:p>
            <w:pPr>
              <w:jc w:val="right"/>
              <w:ind w:right="100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GENERAL AND ADMINISTRATIVE EXPENSES</w:t>
            </w: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060" w:type="dxa"/>
            <w:vAlign w:val="bottom"/>
            <w:gridSpan w:val="2"/>
            <w:shd w:val="clear" w:color="auto" w:fill="CCEEFF"/>
          </w:tcPr>
          <w:p>
            <w:pPr>
              <w:jc w:val="right"/>
              <w:ind w:right="99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Common shares issued for services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Marketing expenses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Public and Investor Relations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Insurance</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Governmental Fees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0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2453"/>
              <w:spacing w:after="0"/>
              <w:rPr>
                <w:sz w:val="20"/>
                <w:szCs w:val="20"/>
                <w:color w:val="auto"/>
              </w:rPr>
            </w:pPr>
            <w:r>
              <w:rPr>
                <w:rFonts w:ascii="Arial" w:cs="Arial" w:eastAsia="Arial" w:hAnsi="Arial"/>
                <w:sz w:val="18"/>
                <w:szCs w:val="18"/>
                <w:color w:val="auto"/>
              </w:rPr>
              <w:t>F-25</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NOTE 13 - FINANCE EXPENSES, NET</w:t>
            </w: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w w:val="98"/>
              </w:rPr>
              <w:t>(in thousands)</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Bank fees and interest</w:t>
            </w:r>
          </w:p>
        </w:tc>
        <w:tc>
          <w:tcPr>
            <w:tcW w:w="2480" w:type="dxa"/>
            <w:vAlign w:val="bottom"/>
            <w:gridSpan w:val="2"/>
            <w:shd w:val="clear" w:color="auto" w:fill="CCEEFF"/>
          </w:tcPr>
          <w:p>
            <w:pPr>
              <w:jc w:val="right"/>
              <w:ind w:right="99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5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Change in fair value of derivative warrant liability</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Financing loss on debt extinguishment</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Exchange rate differences</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Revaluation and interest on convertible loans</w:t>
            </w:r>
          </w:p>
        </w:tc>
        <w:tc>
          <w:tcPr>
            <w:tcW w:w="1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Borders>
              <w:bottom w:val="single" w:sz="8" w:color="auto"/>
            </w:tcBorders>
          </w:tcPr>
          <w:p>
            <w:pPr>
              <w:jc w:val="right"/>
              <w:ind w:right="99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5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TRANSACTIONS AND BALANCES WITH INTERESTED AND RELATED PARTIES</w:t>
      </w:r>
    </w:p>
    <w:p>
      <w:pPr>
        <w:spacing w:after="0" w:line="225"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A.</w:t>
            </w:r>
          </w:p>
        </w:tc>
        <w:tc>
          <w:tcPr>
            <w:tcW w:w="3580" w:type="dxa"/>
            <w:vAlign w:val="bottom"/>
          </w:tcPr>
          <w:p>
            <w:pPr>
              <w:ind w:left="60"/>
              <w:spacing w:after="0"/>
              <w:rPr>
                <w:sz w:val="20"/>
                <w:szCs w:val="20"/>
                <w:color w:val="auto"/>
              </w:rPr>
            </w:pPr>
            <w:r>
              <w:rPr>
                <w:rFonts w:ascii="Arial" w:cs="Arial" w:eastAsia="Arial" w:hAnsi="Arial"/>
                <w:sz w:val="18"/>
                <w:szCs w:val="18"/>
                <w:b w:val="1"/>
                <w:bCs w:val="1"/>
                <w:color w:val="auto"/>
              </w:rPr>
              <w:t>Transactions:</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90"/>
              </w:rPr>
              <w:t>Year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7"/>
              </w:rPr>
              <w:t>(in thousands)</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Directors fees and insurance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Subcontracted work and consulting</w:t>
            </w: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rPr>
              <w:t>B.</w:t>
            </w:r>
          </w:p>
        </w:tc>
        <w:tc>
          <w:tcPr>
            <w:tcW w:w="35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Balances:</w:t>
            </w: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vMerge w:val="continue"/>
          </w:tcPr>
          <w:p>
            <w:pPr>
              <w:spacing w:after="0"/>
              <w:rPr>
                <w:sz w:val="24"/>
                <w:szCs w:val="24"/>
                <w:color w:val="auto"/>
              </w:rPr>
            </w:pPr>
          </w:p>
        </w:tc>
        <w:tc>
          <w:tcPr>
            <w:tcW w:w="35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88"/>
              </w:rPr>
              <w:t>As of</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payable</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TAXES ON INCOME</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Company is subject to income taxes under the Israeli and U.S. tax laws:</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Corporate tax rates</w:t>
      </w:r>
    </w:p>
    <w:p>
      <w:pPr>
        <w:spacing w:after="0" w:line="229" w:lineRule="exact"/>
        <w:rPr>
          <w:sz w:val="20"/>
          <w:szCs w:val="20"/>
          <w:color w:val="auto"/>
        </w:rPr>
      </w:pPr>
    </w:p>
    <w:p>
      <w:pPr>
        <w:jc w:val="both"/>
        <w:ind w:left="1060"/>
        <w:spacing w:after="0" w:line="277" w:lineRule="auto"/>
        <w:rPr>
          <w:sz w:val="20"/>
          <w:szCs w:val="20"/>
          <w:color w:val="auto"/>
        </w:rPr>
      </w:pPr>
      <w:r>
        <w:rPr>
          <w:rFonts w:ascii="Arial" w:cs="Arial" w:eastAsia="Arial" w:hAnsi="Arial"/>
          <w:sz w:val="18"/>
          <w:szCs w:val="18"/>
          <w:color w:val="auto"/>
        </w:rPr>
        <w:t>The Company is subject to Israeli corporate tax rate of 25% in the year 2016, 24% in 2017 and 23% from 2018. The Company is subject to a blended U.S. tax rate (Federal as well as state corporate tax) of 35%.</w:t>
      </w:r>
    </w:p>
    <w:p>
      <w:pPr>
        <w:spacing w:after="0" w:line="170" w:lineRule="exact"/>
        <w:rPr>
          <w:sz w:val="20"/>
          <w:szCs w:val="20"/>
          <w:color w:val="auto"/>
        </w:rPr>
      </w:pPr>
    </w:p>
    <w:p>
      <w:pPr>
        <w:jc w:val="both"/>
        <w:ind w:left="1060"/>
        <w:spacing w:after="0" w:line="279" w:lineRule="auto"/>
        <w:rPr>
          <w:sz w:val="20"/>
          <w:szCs w:val="20"/>
          <w:color w:val="auto"/>
        </w:rPr>
      </w:pPr>
      <w:r>
        <w:rPr>
          <w:rFonts w:ascii="Arial" w:cs="Arial" w:eastAsia="Arial" w:hAnsi="Arial"/>
          <w:sz w:val="17"/>
          <w:szCs w:val="17"/>
          <w:color w:val="auto"/>
        </w:rPr>
        <w:t>On December 22, 2017, the Tax Cuts and Jobs Act (the “Tax Act”) was signed into law in the United States. The Tax Act, among other provisions, introduces changes in the U.S corporate tax rate, business related exclusions and deductions and credits, and has internationally tax consequences for companies that operate international. Most of the changes introduced in the Tax Act are effective beginning on January 1, 2018. The Tax Act introduces a reduced federal tax rate of 21% from January 1, 2018 and onward.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0" w:name="page61"/>
    <w:bookmarkEnd w:id="60"/>
    <w:p>
      <w:pPr>
        <w:ind w:left="1620" w:hanging="315"/>
        <w:spacing w:after="0" w:line="277" w:lineRule="auto"/>
        <w:tabs>
          <w:tab w:leader="none" w:pos="16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As of December 31, 2017, the Company generated net operating losses in Israel of approximately $5,267 which may be carried forward and offset against taxable income in the future for an indefinite period.</w:t>
      </w:r>
    </w:p>
    <w:p>
      <w:pPr>
        <w:spacing w:after="0" w:line="170" w:lineRule="exact"/>
        <w:rPr>
          <w:rFonts w:ascii="Arial" w:cs="Arial" w:eastAsia="Arial" w:hAnsi="Arial"/>
          <w:sz w:val="18"/>
          <w:szCs w:val="18"/>
          <w:b w:val="1"/>
          <w:bCs w:val="1"/>
          <w:color w:val="auto"/>
        </w:rPr>
      </w:pPr>
    </w:p>
    <w:p>
      <w:pPr>
        <w:jc w:val="both"/>
        <w:ind w:left="16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the Company generated net operating losses in the U.S. of approximately $2,987.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6" w:lineRule="exact"/>
        <w:rPr>
          <w:rFonts w:ascii="Arial" w:cs="Arial" w:eastAsia="Arial" w:hAnsi="Arial"/>
          <w:sz w:val="18"/>
          <w:szCs w:val="18"/>
          <w:b w:val="1"/>
          <w:bCs w:val="1"/>
          <w:color w:val="auto"/>
        </w:rPr>
      </w:pPr>
    </w:p>
    <w:p>
      <w:pPr>
        <w:jc w:val="both"/>
        <w:ind w:left="1620" w:right="20" w:hanging="315"/>
        <w:spacing w:after="0" w:line="264" w:lineRule="auto"/>
        <w:tabs>
          <w:tab w:leader="none" w:pos="16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1"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18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488,603</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120,263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Valuation allowance</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(117,265)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(120,263)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Reconciliation of Income Taxes:</w:t>
      </w:r>
    </w:p>
    <w:p>
      <w:pPr>
        <w:spacing w:after="0" w:line="229" w:lineRule="exact"/>
        <w:rPr>
          <w:sz w:val="20"/>
          <w:szCs w:val="20"/>
          <w:color w:val="auto"/>
        </w:rPr>
      </w:pPr>
    </w:p>
    <w:p>
      <w:pPr>
        <w:jc w:val="both"/>
        <w:ind w:left="900"/>
        <w:spacing w:after="0" w:line="277" w:lineRule="auto"/>
        <w:rPr>
          <w:sz w:val="20"/>
          <w:szCs w:val="20"/>
          <w:color w:val="auto"/>
        </w:rPr>
      </w:pPr>
      <w:r>
        <w:rPr>
          <w:rFonts w:ascii="Arial" w:cs="Arial" w:eastAsia="Arial" w:hAnsi="Arial"/>
          <w:sz w:val="18"/>
          <w:szCs w:val="18"/>
          <w:color w:val="auto"/>
        </w:rPr>
        <w:t>The following is a reconciliation of the taxes on income assuming that all income is taxed at the ordinary statutory corporate tax rate in Israel and the effective income tax rate:</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w w:val="96"/>
              </w:rPr>
              <w:t>(in thousands)</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 in the statements of operations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Statutory tax rate</w:t>
            </w:r>
          </w:p>
        </w:tc>
        <w:tc>
          <w:tcPr>
            <w:tcW w:w="9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9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under statutory tax rate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60" w:type="dxa"/>
            <w:vAlign w:val="bottom"/>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9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(1,821)</w:t>
            </w:r>
          </w:p>
        </w:tc>
        <w:tc>
          <w:tcPr>
            <w:tcW w:w="9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(2,416)</w:t>
            </w:r>
          </w:p>
        </w:tc>
      </w:tr>
      <w:tr>
        <w:trPr>
          <w:trHeight w:val="230"/>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Actual income tax</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29" w:lineRule="exact"/>
        <w:rPr>
          <w:sz w:val="20"/>
          <w:szCs w:val="20"/>
          <w:color w:val="auto"/>
        </w:rPr>
      </w:pPr>
    </w:p>
    <w:p>
      <w:pPr>
        <w:jc w:val="both"/>
        <w:ind w:left="900"/>
        <w:spacing w:after="0" w:line="259" w:lineRule="auto"/>
        <w:rPr>
          <w:sz w:val="20"/>
          <w:szCs w:val="20"/>
          <w:color w:val="auto"/>
        </w:rPr>
      </w:pPr>
      <w:r>
        <w:rPr>
          <w:rFonts w:ascii="Arial" w:cs="Arial" w:eastAsia="Arial" w:hAnsi="Arial"/>
          <w:sz w:val="18"/>
          <w:szCs w:val="18"/>
          <w:color w:val="auto"/>
        </w:rPr>
        <w:t>On January 4, 2018, Microbot Medical Ltd. entered into an agreement with CardioSert Ltd. to acquire certain patent-protected technology owned by CardioSert. With the closing of the acquisition in April 2018, CardioSert’s issued U.S. patent and three patent applications pending worldwide were added to Microbot’s patent portfolio and Microbot now has a patent portfolio of 30 issued/allowed patents and 18 patent applications pending worldwide.</w:t>
      </w:r>
    </w:p>
    <w:p>
      <w:pPr>
        <w:spacing w:after="0" w:line="187" w:lineRule="exact"/>
        <w:rPr>
          <w:sz w:val="20"/>
          <w:szCs w:val="20"/>
          <w:color w:val="auto"/>
        </w:rPr>
      </w:pPr>
    </w:p>
    <w:p>
      <w:pPr>
        <w:jc w:val="both"/>
        <w:ind w:left="900"/>
        <w:spacing w:after="0" w:line="286" w:lineRule="auto"/>
        <w:rPr>
          <w:sz w:val="20"/>
          <w:szCs w:val="20"/>
          <w:color w:val="auto"/>
        </w:rPr>
      </w:pPr>
      <w:r>
        <w:rPr>
          <w:rFonts w:ascii="Arial" w:cs="Arial" w:eastAsia="Arial" w:hAnsi="Arial"/>
          <w:sz w:val="17"/>
          <w:szCs w:val="17"/>
          <w:color w:val="auto"/>
        </w:rPr>
        <w:t>Pursuant to the Agreement, Microbot Medical Ltd made an initial payment of $50 to CardioSert and has 90-days to complete the acquisition. At the end of the 90-day period, at Microbot’s sole option, CardioSert shall assign and transfer the Technology to Microbot Medical Ltd and Microbot Medical Ltd shall pay to CardioSert additional amounts and options as determined in the agreements.</w:t>
      </w:r>
    </w:p>
    <w:p>
      <w:pPr>
        <w:spacing w:after="0" w:line="166" w:lineRule="exact"/>
        <w:rPr>
          <w:sz w:val="20"/>
          <w:szCs w:val="20"/>
          <w:color w:val="auto"/>
        </w:rPr>
      </w:pPr>
    </w:p>
    <w:p>
      <w:pPr>
        <w:jc w:val="both"/>
        <w:ind w:left="900"/>
        <w:spacing w:after="0" w:line="273" w:lineRule="auto"/>
        <w:rPr>
          <w:sz w:val="20"/>
          <w:szCs w:val="20"/>
          <w:color w:val="auto"/>
        </w:rPr>
      </w:pPr>
      <w:r>
        <w:rPr>
          <w:rFonts w:ascii="Arial" w:cs="Arial" w:eastAsia="Arial" w:hAnsi="Arial"/>
          <w:sz w:val="17"/>
          <w:szCs w:val="17"/>
          <w:color w:val="auto"/>
        </w:rPr>
        <w:t>The Agreement may be terminated by Microbot at any time during the 90-day pre-closing period, and otherwise for convenience upon 90-days’ notice. The Agreement may be terminated by CardioSert in case the first commercial sale does not occur by the third anniversary of the date of signing of the Agreement except in the event that Microbot has invested more than $2,000 in certain development stages, or the first commercial sale does not occur within 50 months. In each of the above termination events, or in case of breach by Microbot, CardioSert shall have the right to buy back the Technology from Microbot for $1.00, upon 60 days prior written notice, but only 1 year after such termination. Additionally, the Agreement may be terminated by either party upon breach of the other (subject to cure).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color w:val="auto"/>
        </w:rPr>
        <w:t>CardioSert agreed to assist Microbot in the development of the Technology for a minimum of one year, for a monthly consultation fee of NIS40,000 covering up to 60 consulting hours per month.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2018, through March 30, 2018, the Company issued an aggregate of 101,063 shares (1,500,000 shares before the Reverse Split) of its Common Stock upon the conversion of an aggregate of 1,500 shares of its Series A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Tolling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9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20"/>
          </w:cols>
          <w:pgMar w:left="1140" w:top="66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gridSpan w:val="3"/>
          </w:tcPr>
          <w:p>
            <w:pPr>
              <w:jc w:val="center"/>
              <w:ind w:right="505"/>
              <w:spacing w:after="0"/>
              <w:rPr>
                <w:sz w:val="20"/>
                <w:szCs w:val="20"/>
                <w:color w:val="auto"/>
              </w:rPr>
            </w:pPr>
            <w:r>
              <w:rPr>
                <w:rFonts w:ascii="Arial" w:cs="Arial" w:eastAsia="Arial" w:hAnsi="Arial"/>
                <w:sz w:val="18"/>
                <w:szCs w:val="18"/>
                <w:b w:val="1"/>
                <w:bCs w:val="1"/>
                <w:color w:val="auto"/>
                <w:w w:val="89"/>
              </w:rPr>
              <w:t>Note</w:t>
            </w:r>
          </w:p>
        </w:tc>
        <w:tc>
          <w:tcPr>
            <w:tcW w:w="2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September 30, 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6,673</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10,787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Fixed assets, net</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warrant liability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562</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Temporary equity: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of $0.01 par value; issued and outstanding: 721,107</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as of September 30, 2018 and December 31, 2017</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tcPr>
          <w:p>
            <w:pPr>
              <w:spacing w:after="0" w:line="201" w:lineRule="exact"/>
              <w:rPr>
                <w:sz w:val="20"/>
                <w:szCs w:val="20"/>
                <w:color w:val="auto"/>
              </w:rPr>
            </w:pPr>
            <w:r>
              <w:rPr>
                <w:rFonts w:ascii="Arial" w:cs="Arial" w:eastAsia="Arial" w:hAnsi="Arial"/>
                <w:sz w:val="18"/>
                <w:szCs w:val="18"/>
                <w:color w:val="auto"/>
                <w:w w:val="94"/>
              </w:rPr>
              <w:t>Preferred stock of $0.01 par value; Authorized: 1,000,000 shares as</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of September 30, 2018 and December 31, 2017; issued and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w w:val="98"/>
              </w:rPr>
              <w:t>outstanding: 550 and 4,001 shares as of September 30, 2018 and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December 31, 2017, respectively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of $0.01 par value; Authorized: 220,000,000 as of</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 and December 31, 2017; issued and</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outstanding (**): 2,254,569 and 2,013,193 shares as of September</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 2018, and December 31, 2017, respectively</w:t>
            </w: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31,771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30,561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(25,735)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6,066</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9,964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7,128</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11,020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660" w:hanging="328"/>
        <w:spacing w:after="0" w:line="261"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December 31, 2017 share data represents the number of shares adjusted to retroactively reflect the 1:15 reverse stock split effected on September 4,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18"/>
                <w:szCs w:val="18"/>
                <w:color w:val="auto"/>
              </w:rPr>
            </w:pPr>
          </w:p>
        </w:tc>
        <w:tc>
          <w:tcPr>
            <w:tcW w:w="26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Note</w:t>
            </w:r>
          </w:p>
        </w:tc>
        <w:tc>
          <w:tcPr>
            <w:tcW w:w="1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3,407</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(5,111)</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number   of   common   shares</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basic and diluted (*)</w:t>
            </w:r>
          </w:p>
        </w:tc>
        <w:tc>
          <w:tcPr>
            <w:tcW w:w="8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2,947,633</w:t>
            </w: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2,383,327</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2,876,020</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September 30, 2017 share data represents the number of shares adjusted to retroactively reflect the 1:15 reverse stock split effected on September 4,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Preferred A Shares</w:t>
            </w:r>
          </w:p>
        </w:tc>
        <w:tc>
          <w:tcPr>
            <w:tcW w:w="20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Temporary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9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9,736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**1,788,884</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18</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14,713</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(13,035)</w:t>
            </w: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1,696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299,815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12,702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31,787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Cashless exercise of warrants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Extinguishment of convertible notes and issuance of</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preferred A shares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2,676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Conversion of preferred A shares to common stock</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605,705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(7,589)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December 31, 2017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4,001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2,734,300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30,561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(20,624)</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9,964</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1,139</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as consideration-vendor</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preferred A shares to common stock</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232,151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(5,111)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(5,111)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Balances, September 30, 2018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550</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60"/>
              <w:spacing w:after="0" w:line="21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5"/>
                <w:szCs w:val="25"/>
                <w:b w:val="1"/>
                <w:bCs w:val="1"/>
                <w:color w:val="auto"/>
                <w:vertAlign w:val="superscript"/>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2,975,676</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30</w:t>
            </w:r>
          </w:p>
        </w:tc>
        <w:tc>
          <w:tcPr>
            <w:tcW w:w="18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31,771</w:t>
            </w: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80"/>
              <w:spacing w:after="0" w:line="216" w:lineRule="exact"/>
              <w:rPr>
                <w:sz w:val="20"/>
                <w:szCs w:val="20"/>
                <w:color w:val="auto"/>
              </w:rPr>
            </w:pPr>
            <w:r>
              <w:rPr>
                <w:rFonts w:ascii="Arial" w:cs="Arial" w:eastAsia="Arial" w:hAnsi="Arial"/>
                <w:sz w:val="13"/>
                <w:szCs w:val="13"/>
                <w:b w:val="1"/>
                <w:bCs w:val="1"/>
                <w:color w:val="auto"/>
              </w:rPr>
              <w:t>(25,735</w:t>
            </w:r>
            <w:r>
              <w:rPr>
                <w:rFonts w:ascii="Arial" w:cs="Arial" w:eastAsia="Arial" w:hAnsi="Arial"/>
                <w:sz w:val="25"/>
                <w:szCs w:val="25"/>
                <w:b w:val="1"/>
                <w:bCs w:val="1"/>
                <w:color w:val="auto"/>
                <w:vertAlign w:val="superscript"/>
              </w:rPr>
              <w:t>)</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6,066</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721,107 common stock classified as temporary equity.</w:t>
      </w:r>
    </w:p>
    <w:p>
      <w:pPr>
        <w:spacing w:after="0" w:line="9" w:lineRule="exact"/>
        <w:rPr>
          <w:sz w:val="20"/>
          <w:szCs w:val="20"/>
          <w:color w:val="auto"/>
        </w:rPr>
      </w:pPr>
    </w:p>
    <w:p>
      <w:pPr>
        <w:ind w:left="660" w:hanging="652"/>
        <w:spacing w:after="0" w:line="261"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3"/>
              </w:rPr>
              <w:t>Nine months ended 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ind w:left="80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(5,111)</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Interest and revaluation of convertible notes, net</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Financing loss on debt extinguishment</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Shares issued as consideration-vendor</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Changes in assets and liabilities:</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8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Other receivables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80" w:type="dxa"/>
            <w:vAlign w:val="bottom"/>
            <w:gridSpan w:val="6"/>
          </w:tcPr>
          <w:p>
            <w:pPr>
              <w:ind w:left="60"/>
              <w:spacing w:after="0"/>
              <w:rPr>
                <w:sz w:val="20"/>
                <w:szCs w:val="20"/>
                <w:color w:val="auto"/>
              </w:rPr>
            </w:pPr>
            <w:r>
              <w:rPr>
                <w:rFonts w:ascii="Arial" w:cs="Arial" w:eastAsia="Arial" w:hAnsi="Arial"/>
                <w:sz w:val="18"/>
                <w:szCs w:val="18"/>
                <w:color w:val="auto"/>
              </w:rPr>
              <w:t>Other payables and accrued liabilities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Purchase of property and equipment</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gridSpan w:val="7"/>
          </w:tcPr>
          <w:p>
            <w:pPr>
              <w:spacing w:after="0" w:line="201" w:lineRule="exact"/>
              <w:rPr>
                <w:sz w:val="20"/>
                <w:szCs w:val="20"/>
                <w:color w:val="auto"/>
              </w:rPr>
            </w:pPr>
            <w:r>
              <w:rPr>
                <w:rFonts w:ascii="Arial" w:cs="Arial" w:eastAsia="Arial" w:hAnsi="Arial"/>
                <w:sz w:val="18"/>
                <w:szCs w:val="18"/>
                <w:color w:val="auto"/>
                <w:w w:val="99"/>
              </w:rPr>
              <w:t>Outflow (inflow) in connection with current assets and liabilities acquired in reverse</w:t>
            </w: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gridSpan w:val="8"/>
          </w:tcPr>
          <w:p>
            <w:pPr>
              <w:spacing w:after="0"/>
              <w:rPr>
                <w:sz w:val="20"/>
                <w:szCs w:val="20"/>
                <w:color w:val="auto"/>
              </w:rPr>
            </w:pPr>
            <w:r>
              <w:rPr>
                <w:rFonts w:ascii="Arial" w:cs="Arial" w:eastAsia="Arial" w:hAnsi="Arial"/>
                <w:sz w:val="18"/>
                <w:szCs w:val="18"/>
                <w:color w:val="auto"/>
              </w:rPr>
              <w:t>recapitalization, net</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(4,114)</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w w:val="99"/>
              </w:rPr>
              <w:t>Cash and cash equivalents and restricted cash at the beginning of the period</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10,814</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at the end of the period</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40" w:type="dxa"/>
            <w:vAlign w:val="bottom"/>
            <w:tcBorders>
              <w:bottom w:val="single" w:sz="8" w:color="auto"/>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Supplemental disclosure of cash flow information:</w:t>
            </w:r>
          </w:p>
        </w:tc>
        <w:tc>
          <w:tcPr>
            <w:tcW w:w="27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Non-cash financing transactions: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Cashless exercise of warrants</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rPr>
              <w:t>Conversion of preferred A shares into common shares</w:t>
            </w:r>
          </w:p>
        </w:tc>
        <w:tc>
          <w:tcPr>
            <w:tcW w:w="52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gridSpan w:val="7"/>
            <w:vMerge w:val="continue"/>
          </w:tcPr>
          <w:p>
            <w:pPr>
              <w:spacing w:after="0"/>
              <w:rPr>
                <w:sz w:val="20"/>
                <w:szCs w:val="20"/>
                <w:color w:val="auto"/>
              </w:rPr>
            </w:pPr>
          </w:p>
        </w:tc>
        <w:tc>
          <w:tcPr>
            <w:tcW w:w="52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tcBorders>
              <w:bottom w:val="single" w:sz="8" w:color="CCEEFF"/>
            </w:tcBorders>
            <w:gridSpan w:val="7"/>
            <w:shd w:val="clear" w:color="auto" w:fill="CCEEFF"/>
          </w:tcPr>
          <w:p>
            <w:pPr>
              <w:spacing w:after="0" w:line="190" w:lineRule="exact"/>
              <w:rPr>
                <w:sz w:val="20"/>
                <w:szCs w:val="20"/>
                <w:color w:val="auto"/>
              </w:rPr>
            </w:pPr>
            <w:r>
              <w:rPr>
                <w:rFonts w:ascii="Arial" w:cs="Arial" w:eastAsia="Arial" w:hAnsi="Arial"/>
                <w:sz w:val="18"/>
                <w:szCs w:val="18"/>
                <w:color w:val="auto"/>
              </w:rPr>
              <w:t>Extinguishment of convertible notes in exchange for preferred A shares</w:t>
            </w:r>
          </w:p>
        </w:tc>
        <w:tc>
          <w:tcPr>
            <w:tcW w:w="5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3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6280" w:type="dxa"/>
            <w:vAlign w:val="bottom"/>
            <w:gridSpan w:val="6"/>
            <w:vMerge w:val="restart"/>
          </w:tcPr>
          <w:p>
            <w:pPr>
              <w:ind w:left="200"/>
              <w:spacing w:after="0"/>
              <w:rPr>
                <w:sz w:val="20"/>
                <w:szCs w:val="20"/>
                <w:color w:val="auto"/>
              </w:rPr>
            </w:pPr>
            <w:r>
              <w:rPr>
                <w:rFonts w:ascii="Arial" w:cs="Arial" w:eastAsia="Arial" w:hAnsi="Arial"/>
                <w:sz w:val="18"/>
                <w:szCs w:val="18"/>
                <w:color w:val="auto"/>
              </w:rPr>
              <w:t>Less than 1</w:t>
            </w:r>
          </w:p>
        </w:tc>
        <w:tc>
          <w:tcPr>
            <w:tcW w:w="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gridSpan w:val="2"/>
            <w:vMerge w:val="continue"/>
          </w:tcPr>
          <w:p>
            <w:pPr>
              <w:spacing w:after="0"/>
              <w:rPr>
                <w:sz w:val="24"/>
                <w:szCs w:val="24"/>
                <w:color w:val="auto"/>
              </w:rPr>
            </w:pPr>
          </w:p>
        </w:tc>
        <w:tc>
          <w:tcPr>
            <w:tcW w:w="6280" w:type="dxa"/>
            <w:vAlign w:val="bottom"/>
            <w:gridSpan w:val="6"/>
            <w:vMerge w:val="continue"/>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the Merger, the Company was a biopharmaceutical company that conducted research, development, and commercialization of stem cell therapeutics and related technologies. The sale of substantially all material assets relating to the stem cell business were completed on November 29, 2016.</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b w:val="1"/>
          <w:bCs w:val="1"/>
          <w:color w:val="auto"/>
        </w:rPr>
      </w:pPr>
    </w:p>
    <w:p>
      <w:pPr>
        <w:jc w:val="both"/>
        <w:ind w:left="6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To date, the Company has not generated revenues from its operations. As of September 30, 2018, the Company had cash and cash equivalent balance of approximately $6,673,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and others.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ind w:left="660" w:hanging="328"/>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29" w:lineRule="exact"/>
        <w:rPr>
          <w:rFonts w:ascii="Arial" w:cs="Arial" w:eastAsia="Arial" w:hAnsi="Arial"/>
          <w:sz w:val="18"/>
          <w:szCs w:val="18"/>
          <w:b w:val="1"/>
          <w:bCs w:val="1"/>
          <w:color w:val="auto"/>
        </w:rPr>
      </w:pPr>
    </w:p>
    <w:p>
      <w:pPr>
        <w:jc w:val="both"/>
        <w:ind w:left="6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was converted into one share of the Company’s new common stock. Fractional shares resulting from the Reverse Split were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the Reverse Split. References to numbers of shares of common stock and per share data in the accompanying financial statements and notes thereto for periods ended prior to September 4, 2018 have been adjusted to reflect the Reverse Split on a retroactive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Operating results for the nine-month period ended September 30, 2018, are not necessarily indicative of the results that may be expected for the year ended December 31,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adoption of this standard did not have a material impact on our interim consolidated statements of comprehensive loss since the Company has not yet generated revenues to date.</w:t>
      </w:r>
    </w:p>
    <w:p>
      <w:pPr>
        <w:spacing w:after="0" w:line="17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June 2018, the FASB issued ASU No. 2018-07 “Compensation - Stock Compensation (Topic 718): Improvements to Nonemployee Share-Based Payment Accounting.” These amendments expand the scope of Topic 718, Compensation - Stock Compensation (which currently only includes share-based payments to employees) to include share-based payments issued to nonemployees for goods or services. Consequently, the accounting for share-based payments to nonemployees and employees will be substantially aligned. The ASU supersedes Subtopic 505-50, Equity - Equity-Based Payments to Non-Employees. The guidance is effective for the Company during the first quarter of 2019. The Company is assessing ASU 2018-07 and does not expect it to have a material impact on its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8" w:name="page69"/>
    <w:bookmarkEnd w:id="68"/>
    <w:p>
      <w:pPr>
        <w:jc w:val="both"/>
        <w:ind w:left="660"/>
        <w:spacing w:after="0" w:line="257" w:lineRule="auto"/>
        <w:rPr>
          <w:sz w:val="20"/>
          <w:szCs w:val="20"/>
          <w:color w:val="auto"/>
        </w:rPr>
      </w:pPr>
      <w:r>
        <w:rPr>
          <w:rFonts w:ascii="Arial" w:cs="Arial" w:eastAsia="Arial" w:hAnsi="Arial"/>
          <w:sz w:val="18"/>
          <w:szCs w:val="18"/>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w:t>
      </w:r>
    </w:p>
    <w:p>
      <w:pPr>
        <w:spacing w:after="0" w:line="18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July 2018, the FASB issued ASU No. 2018-11, “Targeted Improvements - Leases (Topic 842).” This update provides an optional transition method that allows entities to elect to apply the standard prospectively at its effective date, versus recasting the prior periods presented. If elected, an entity would recognize a cumulative-effect adjustment to the opening balance of retained earnings in the period of adoption.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4) and will likely have an insignificant impact on the consolidated statements of comprehensive loss.</w:t>
      </w:r>
    </w:p>
    <w:p>
      <w:pPr>
        <w:spacing w:after="0" w:line="178"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4 which upon adoption of the new standard are expected to be classified as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DERIVATIVE WARRANT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outstanding warrants and terms as of September 30, 2018 and December 31, 2017 after the split is as follows: (*)</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as of</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Exercisable as of</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Outstanding as of</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580" w:type="dxa"/>
            <w:vAlign w:val="bottom"/>
          </w:tcPr>
          <w:p>
            <w:pPr>
              <w:ind w:left="340"/>
              <w:spacing w:after="0"/>
              <w:rPr>
                <w:sz w:val="20"/>
                <w:szCs w:val="20"/>
                <w:color w:val="auto"/>
              </w:rPr>
            </w:pPr>
            <w:r>
              <w:rPr>
                <w:rFonts w:ascii="Arial" w:cs="Arial" w:eastAsia="Arial" w:hAnsi="Arial"/>
                <w:sz w:val="18"/>
                <w:szCs w:val="18"/>
                <w:b w:val="1"/>
                <w:bCs w:val="1"/>
                <w:color w:val="auto"/>
              </w:rPr>
              <w:t>Exercisable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Issuance date</w:t>
            </w: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December 31, 2017</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Exercise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00" w:type="dxa"/>
            <w:vAlign w:val="bottom"/>
          </w:tcPr>
          <w:p>
            <w:pPr>
              <w:spacing w:after="0"/>
              <w:rPr>
                <w:sz w:val="20"/>
                <w:szCs w:val="20"/>
                <w:color w:val="auto"/>
              </w:rPr>
            </w:pPr>
          </w:p>
        </w:tc>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Through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(2013)</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3,895</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3,895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2,885</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3,895</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October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Series A (2013)</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183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2,725</w:t>
            </w:r>
          </w:p>
        </w:tc>
        <w:tc>
          <w:tcPr>
            <w:tcW w:w="28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April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(2015)</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683</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1,363</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Series A (2016) (a)</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(2016) (a)</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2,770</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2,770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2,770</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319"/>
        <w:spacing w:after="0" w:line="258" w:lineRule="auto"/>
        <w:tabs>
          <w:tab w:leader="none" w:pos="960" w:val="left"/>
        </w:tabs>
        <w:rPr>
          <w:sz w:val="20"/>
          <w:szCs w:val="20"/>
          <w:color w:val="auto"/>
        </w:rPr>
      </w:pPr>
      <w:r>
        <w:rPr>
          <w:rFonts w:ascii="Arial" w:cs="Arial" w:eastAsia="Arial" w:hAnsi="Arial"/>
          <w:sz w:val="18"/>
          <w:szCs w:val="18"/>
          <w:color w:val="auto"/>
        </w:rPr>
        <w:t>(*)</w:t>
        <w:tab/>
        <w:t>December 31, 2017 warrants data represents the number of shares adjusted to retroactively reflect the 1:15 Reverse Split effected on September 4, 2018</w:t>
      </w:r>
    </w:p>
    <w:p>
      <w:pPr>
        <w:spacing w:after="0" w:line="1" w:lineRule="exact"/>
        <w:rPr>
          <w:sz w:val="20"/>
          <w:szCs w:val="20"/>
          <w:color w:val="auto"/>
        </w:rPr>
      </w:pPr>
    </w:p>
    <w:p>
      <w:pPr>
        <w:jc w:val="both"/>
        <w:ind w:left="980" w:hanging="324"/>
        <w:spacing w:after="0" w:line="252"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September 30, 2018 and December 31, 2017, was approximately $5 and $28,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9" w:name="page70"/>
    <w:bookmarkEnd w:id="69"/>
    <w:p>
      <w:pPr>
        <w:jc w:val="both"/>
        <w:ind w:left="660"/>
        <w:spacing w:after="0" w:line="277" w:lineRule="auto"/>
        <w:rPr>
          <w:sz w:val="20"/>
          <w:szCs w:val="20"/>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3 measurement).</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March 2017, an institutional holder executed a cashless exercise of 51 warrants and 24 shares of Common Stock were issued in connection therewith.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observable inputs used in the valuation of the derivative warrant liabilities as of September 30, 2018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2017:</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Series A</w:t>
            </w: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5"/>
              </w:rPr>
              <w:t>Series B</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(2016)</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Borders>
              <w:bottom w:val="single" w:sz="8" w:color="CCEEFF"/>
            </w:tcBorders>
          </w:tcPr>
          <w:p>
            <w:pPr>
              <w:spacing w:after="0"/>
              <w:rPr>
                <w:sz w:val="20"/>
                <w:szCs w:val="20"/>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7"/>
        </w:trPr>
        <w:tc>
          <w:tcPr>
            <w:tcW w:w="3300" w:type="dxa"/>
            <w:vAlign w:val="bottom"/>
            <w:gridSpan w:val="2"/>
          </w:tcPr>
          <w:p>
            <w:pPr>
              <w:spacing w:after="0"/>
              <w:rPr>
                <w:sz w:val="20"/>
                <w:szCs w:val="20"/>
                <w:color w:val="auto"/>
              </w:rPr>
            </w:pPr>
            <w:r>
              <w:rPr>
                <w:rFonts w:ascii="Arial" w:cs="Arial" w:eastAsia="Arial" w:hAnsi="Arial"/>
                <w:sz w:val="18"/>
                <w:szCs w:val="18"/>
                <w:color w:val="auto"/>
              </w:rPr>
              <w:t>Changes in fair value</w:t>
            </w:r>
          </w:p>
        </w:tc>
        <w:tc>
          <w:tcPr>
            <w:tcW w:w="6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3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September 30, 2018</w:t>
            </w: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268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observable inputs used in the valuation of the derivative warrant liabilities as of September 30, 2018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2017:</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31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As of September 30, 2018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of December 31, 2017</w:t>
            </w:r>
          </w:p>
        </w:tc>
      </w:tr>
      <w:tr>
        <w:trPr>
          <w:trHeight w:val="237"/>
        </w:trPr>
        <w:tc>
          <w:tcPr>
            <w:tcW w:w="4040" w:type="dxa"/>
            <w:vAlign w:val="bottom"/>
          </w:tcPr>
          <w:p>
            <w:pPr>
              <w:spacing w:after="0"/>
              <w:rPr>
                <w:sz w:val="20"/>
                <w:szCs w:val="20"/>
                <w:color w:val="auto"/>
              </w:rPr>
            </w:pPr>
          </w:p>
        </w:tc>
        <w:tc>
          <w:tcPr>
            <w:tcW w:w="17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Series A (2016)</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Series B (2016)</w:t>
            </w: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Series A (2016)</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Series B (2016)</w:t>
            </w:r>
          </w:p>
        </w:tc>
        <w:tc>
          <w:tcPr>
            <w:tcW w:w="100" w:type="dxa"/>
            <w:vAlign w:val="bottom"/>
          </w:tcPr>
          <w:p>
            <w:pPr>
              <w:spacing w:after="0"/>
              <w:rPr>
                <w:sz w:val="20"/>
                <w:szCs w:val="20"/>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13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7.52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Exercise price</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0.25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such liabilities measured on a recurring basis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Derivative Warrant</w:t>
            </w:r>
          </w:p>
        </w:tc>
        <w:tc>
          <w:tcPr>
            <w:tcW w:w="3920" w:type="dxa"/>
            <w:vAlign w:val="bottom"/>
          </w:tcPr>
          <w:p>
            <w:pPr>
              <w:spacing w:after="0"/>
              <w:rPr>
                <w:sz w:val="18"/>
                <w:szCs w:val="18"/>
                <w:color w:val="auto"/>
              </w:rPr>
            </w:pPr>
          </w:p>
        </w:tc>
      </w:tr>
      <w:tr>
        <w:trPr>
          <w:trHeight w:val="241"/>
        </w:trPr>
        <w:tc>
          <w:tcPr>
            <w:tcW w:w="6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Liabilities</w:t>
            </w:r>
          </w:p>
        </w:tc>
        <w:tc>
          <w:tcPr>
            <w:tcW w:w="3920" w:type="dxa"/>
            <w:vAlign w:val="bottom"/>
          </w:tcPr>
          <w:p>
            <w:pPr>
              <w:spacing w:after="0"/>
              <w:rPr>
                <w:sz w:val="20"/>
                <w:szCs w:val="20"/>
                <w:color w:val="auto"/>
              </w:rPr>
            </w:pPr>
          </w:p>
        </w:tc>
      </w:tr>
      <w:tr>
        <w:trPr>
          <w:trHeight w:val="243"/>
        </w:trPr>
        <w:tc>
          <w:tcPr>
            <w:tcW w:w="660" w:type="dxa"/>
            <w:vAlign w:val="bottom"/>
          </w:tcPr>
          <w:p>
            <w:pPr>
              <w:spacing w:after="0"/>
              <w:rPr>
                <w:sz w:val="21"/>
                <w:szCs w:val="21"/>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15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right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28</w:t>
            </w:r>
          </w:p>
        </w:tc>
        <w:tc>
          <w:tcPr>
            <w:tcW w:w="392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Revaluation of warrants</w:t>
            </w:r>
          </w:p>
        </w:tc>
        <w:tc>
          <w:tcPr>
            <w:tcW w:w="15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(23)</w:t>
            </w:r>
          </w:p>
        </w:tc>
        <w:tc>
          <w:tcPr>
            <w:tcW w:w="392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September 30, 2018</w:t>
            </w:r>
          </w:p>
        </w:tc>
        <w:tc>
          <w:tcPr>
            <w:tcW w:w="15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right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w:t>
            </w:r>
          </w:p>
        </w:tc>
        <w:tc>
          <w:tcPr>
            <w:tcW w:w="39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F-36</w:t>
            </w:r>
          </w:p>
        </w:tc>
        <w:tc>
          <w:tcPr>
            <w:tcW w:w="15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70" w:name="page71"/>
    <w:bookmarkEnd w:id="70"/>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2016</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Revaluation of warrants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warrants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209550</wp:posOffset>
            </wp:positionV>
            <wp:extent cx="170688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160" w:hanging="504"/>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br w:type="column"/>
      </w:r>
    </w:p>
    <w:p>
      <w:pPr>
        <w:jc w:val="center"/>
        <w:ind w:right="3992"/>
        <w:spacing w:after="0"/>
        <w:rPr>
          <w:sz w:val="20"/>
          <w:szCs w:val="20"/>
          <w:color w:val="auto"/>
        </w:rPr>
      </w:pPr>
      <w:r>
        <w:rPr>
          <w:rFonts w:ascii="Arial" w:cs="Arial" w:eastAsia="Arial" w:hAnsi="Arial"/>
          <w:sz w:val="17"/>
          <w:szCs w:val="17"/>
          <w:b w:val="1"/>
          <w:bCs w:val="1"/>
          <w:color w:val="auto"/>
        </w:rPr>
        <w:t>Derivative Warrant</w:t>
      </w:r>
    </w:p>
    <w:p>
      <w:pPr>
        <w:spacing w:after="0" w:line="39" w:lineRule="exact"/>
        <w:rPr>
          <w:sz w:val="20"/>
          <w:szCs w:val="20"/>
          <w:color w:val="auto"/>
        </w:rPr>
      </w:pPr>
    </w:p>
    <w:p>
      <w:pPr>
        <w:jc w:val="center"/>
        <w:ind w:right="3992"/>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5715</wp:posOffset>
            </wp:positionV>
            <wp:extent cx="434784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 w:lineRule="exact"/>
        <w:rPr>
          <w:sz w:val="20"/>
          <w:szCs w:val="20"/>
          <w:color w:val="auto"/>
        </w:rPr>
      </w:pPr>
    </w:p>
    <w:p>
      <w:pPr>
        <w:ind w:left="1068" w:hanging="1068"/>
        <w:spacing w:after="0"/>
        <w:tabs>
          <w:tab w:leader="none" w:pos="10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313</w:t>
      </w:r>
    </w:p>
    <w:p>
      <w:pPr>
        <w:spacing w:after="0" w:line="50" w:lineRule="exact"/>
        <w:rPr>
          <w:rFonts w:ascii="Arial" w:cs="Arial" w:eastAsia="Arial" w:hAnsi="Arial"/>
          <w:sz w:val="18"/>
          <w:szCs w:val="18"/>
          <w:color w:val="auto"/>
        </w:rPr>
      </w:pPr>
    </w:p>
    <w:p>
      <w:pPr>
        <w:ind w:left="948"/>
        <w:spacing w:after="0"/>
        <w:rPr>
          <w:rFonts w:ascii="Arial" w:cs="Arial" w:eastAsia="Arial" w:hAnsi="Arial"/>
          <w:sz w:val="18"/>
          <w:szCs w:val="18"/>
          <w:color w:val="auto"/>
        </w:rPr>
      </w:pPr>
      <w:r>
        <w:rPr>
          <w:rFonts w:ascii="Arial" w:cs="Arial" w:eastAsia="Arial" w:hAnsi="Arial"/>
          <w:sz w:val="18"/>
          <w:szCs w:val="18"/>
          <w:color w:val="auto"/>
        </w:rPr>
        <w:t>(285)</w:t>
      </w:r>
    </w:p>
    <w:p>
      <w:pPr>
        <w:spacing w:after="0" w:line="21" w:lineRule="exact"/>
        <w:rPr>
          <w:rFonts w:ascii="Arial" w:cs="Arial" w:eastAsia="Arial" w:hAnsi="Arial"/>
          <w:sz w:val="18"/>
          <w:szCs w:val="18"/>
          <w:color w:val="auto"/>
        </w:rPr>
      </w:pPr>
    </w:p>
    <w:p>
      <w:pPr>
        <w:ind w:left="1128"/>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-121920</wp:posOffset>
            </wp:positionV>
            <wp:extent cx="434784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57" w:lineRule="exact"/>
        <w:rPr>
          <w:sz w:val="20"/>
          <w:szCs w:val="20"/>
          <w:color w:val="auto"/>
        </w:rPr>
      </w:pPr>
    </w:p>
    <w:p>
      <w:pPr>
        <w:ind w:left="1168" w:hanging="1168"/>
        <w:spacing w:after="0"/>
        <w:tabs>
          <w:tab w:leader="none" w:pos="11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836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1836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915" w:lineRule="exact"/>
        <w:rPr>
          <w:sz w:val="20"/>
          <w:szCs w:val="20"/>
          <w:color w:val="auto"/>
        </w:rPr>
      </w:pPr>
    </w:p>
    <w:p>
      <w:pPr>
        <w:sectPr>
          <w:pgSz w:w="11900" w:h="16838" w:orient="portrait"/>
          <w:cols w:equalWidth="0" w:num="2">
            <w:col w:w="4852" w:space="720"/>
            <w:col w:w="5848"/>
          </w:cols>
          <w:pgMar w:left="240" w:top="661" w:right="239" w:bottom="1440" w:gutter="0" w:footer="0" w:header="0"/>
        </w:sectPr>
      </w:pPr>
    </w:p>
    <w:p>
      <w:pPr>
        <w:spacing w:after="0" w:line="25"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or ‘increase in volatility would not have materially changed the value of the warrants. A 5.0% decrease or increase in the risk-free rate would not have materially changed the value of the warrants; the value of the warrants is not strongly correlated with small changes in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September 30, 2018 in the total amount of approximately $1,310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December 2016, the Company entered into car lease agreements, which will end on December 31, 2019. According to the lease agreement, the monthly car lease payment is approximately $2.5.</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January 2018, the Company entered into an office lease agreement in the U.S., with a term ending on December 31, 2021. According to the lease agreement, the monthly office lease payment is approximately $4.</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May 2017, the Company entered into an office lease agreement IN Israel effective from February 1, 2018, with a term ending on December 31, 2020. According to the lease agreement, the monthly office lease payment is approximately $14.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Contract Research Agreement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study in Washington U. includes several phases. The first phase (initial research) was completed. The parties are in the final stage of planning the next phase, including the related various costs.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On August 3, 2018, both Plaintiffs and the Company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the Company’s motion for summary judgment regarding Plaintiffs’ claim for monetary damages and denying the Company’s motion for summary judgment on Plaintiffs’ claim for rescission, finding that there were material questions of fact that would need to be resolved at trial. A trial date has not been set.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Tolling and Standstill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4,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6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Pursuant to the Agreement, Microbot Israel made an initial payment of $50 to CardioSert and has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(100,000 common shares before the Reverse Split) common shares estimated of $74. (see note 5).</w:t>
      </w:r>
    </w:p>
    <w:p>
      <w:pPr>
        <w:spacing w:after="0" w:line="18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covering up to 60 consulting hours per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Agreement with Simon Sharon</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Effective as of April 1, 2018, the Company hired Simon Sharon to replace its former Vice President of R&amp;D. Pursuant to the terms thereof, among other things, Mr. Sharon is entitled to options to purchase 10,000 shares (150,000 shares before the Reverse Split) of the Company’s common stock, subject and pursuant to the Company’s 2017 Equity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is convertible, at the option of the holder, into 67 shares of Common Stock (1,000 shares of Common Stock before the Reverse Split), and confer upon the holder dividend rights on an as converted basis.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52 warrants (768 warrants before the Reverse Split) and 24 shares (359 shares before the Reverse Split) of Common Stock were issued in connection therewith.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color w:val="auto"/>
        </w:rPr>
        <w:t>The authorized capital stock consists of 221,000,000 shares of capital stock, which consists of 220,000,000 shares of Common Stock and 1,000,000 shares of undesignated preferred stock, par value $0.01 (the “Preferred Stock”). As of March 31, 2018, the Company had 2,837,863 shares (42,120,127 shares before the Reverse Split) of Common Stock issued and outstanding, and 2,464 shares of Series A Convertible Preferred Stock issued and outstanding.</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December 27, 2016, the Company exchanged 655,962 shares (9,735,925 shares before the Reverse Split) or rights to acquire shares of its Common Stock, for 9,736 shares of a newly designated class of Series A Convertible Preferred Stock.</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 per share ($5.00 per share before the Reverse Split) or gross proceeds of $3,500. The Company paid the placement agent a fee of $210 plus reimbursement of out-of-pocket expenses, as well as other offering-related expenses.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3" w:name="page74"/>
    <w:bookmarkEnd w:id="73"/>
    <w:p>
      <w:pPr>
        <w:jc w:val="both"/>
        <w:spacing w:after="0" w:line="259" w:lineRule="auto"/>
        <w:rPr>
          <w:sz w:val="20"/>
          <w:szCs w:val="20"/>
          <w:color w:val="auto"/>
        </w:rPr>
      </w:pPr>
      <w:r>
        <w:rPr>
          <w:rFonts w:ascii="Arial" w:cs="Arial" w:eastAsia="Arial" w:hAnsi="Arial"/>
          <w:sz w:val="18"/>
          <w:szCs w:val="18"/>
          <w:color w:val="auto"/>
        </w:rPr>
        <w:t>On June 5, 2017, the Company entered into a Securities Purchase Agreement with certain institutional investors (the “Investors”) providing for the issuance and sale by the Company to the Investors of an aggregate of 252,658 shares (3,750,000 shares before the Reverse Split) of Common Stock, at a purchase price per share of $40 ($2.70 before the Reverse Split). The gross proceeds to the Company was $10,125 before deducting placement agent fees and offering expenses of $922.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2014, Microbot Israel’s board of directors approved a grant of 26,906 stock options (403,592 stock options before the Reverse Split) (77,846 stock options as retroactively adjusted to reflect the Merger) to its CEO, through MEDX Venture Group LLC. Each option was exercisable into an ordinary share, at an exercise price of $12 ($0.8 before the Reverse Split) ($4.2 as retroactively adjusted to reflect the Merger). The stock options were fully vested at the date of grant.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2, 2016, Microbot Israel’s board of directors approved a grant of 33,333 stock options (500,000 stock options before the Reverse Split) (96,482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Israel estimated the fair value of the options as equal to the Company’s share price of $20.25 ($1.35 before the Reverse Split) ($7.05 as retroactively adjusted to reflect the Merger) at the date of grant.</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120,848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in the amount of $460 and $0 included in general and administrative expenses for the nine months ended September 30, 2018 and 2017 respectively.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$329 and $0 included in general and administrative expenses for the nine months ended September 30, 2018 and 2017 respectively.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2017, the board of directors approved a grant of 12,698 stock options (190,475 stock options before the Reverse Split) to purchase an aggregate of up to 12,698 shares of Common Stock to certain of its directors, at an exercise price per share of $15.75 ($1.05 before the Reverse Split). The stock options vest over a period of 3 years as outlined in the option agreements. As a result, the Company recognized compensation expenses in the amount of $55 and $0 included in general and administrative expenses for the nine months ended September 30, 2018 and 2017 respectively.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of Common Stock to certain of its employees, at an exercise price per share of $15.3 ($1.02 before the Reverse Split). The stock options vest over a period of 3 years as outlined in the option agreements. As a result, the Company recognized compensation expenses in the amount of $273 and $0 included in general and administrative expenses and research and development expenses for the nine months ended September 30, 2018 and 2017 respectively.</w:t>
      </w:r>
    </w:p>
    <w:p>
      <w:pPr>
        <w:spacing w:after="0" w:line="18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74" w:name="page75"/>
    <w:bookmarkEnd w:id="74"/>
    <w:p>
      <w:pPr>
        <w:jc w:val="both"/>
        <w:ind w:left="660"/>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at exercise price of 0.001 NIS.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February 2018, an employee exercised options to purchase 2,487 shares (37,300 shares of common stock before the Reverse Split) at an exercise price of $0.001 per share</w:t>
      </w:r>
    </w:p>
    <w:p>
      <w:pPr>
        <w:spacing w:after="0" w:line="170"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On August 13, 2018, the board of directors approved a grant of stock options to purchase an aggregate of up to 10,000 shares (150,000 shares before the Reverse Split) of Common Stock to Mr. Simon Sharon, the company’s CTO, at an exercise price per share of $9 ($0.6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$22 and $0 included in general and administrative expenses for the nine months ended September 30, 2018 and 2017 respectively.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9"/>
          </w:tcPr>
          <w:p>
            <w:pPr>
              <w:ind w:left="1320"/>
              <w:spacing w:after="0"/>
              <w:rPr>
                <w:sz w:val="20"/>
                <w:szCs w:val="20"/>
                <w:color w:val="auto"/>
              </w:rPr>
            </w:pPr>
            <w:r>
              <w:rPr>
                <w:rFonts w:ascii="Arial" w:cs="Arial" w:eastAsia="Arial" w:hAnsi="Arial"/>
                <w:sz w:val="18"/>
                <w:szCs w:val="18"/>
                <w:b w:val="1"/>
                <w:bCs w:val="1"/>
                <w:color w:val="auto"/>
              </w:rPr>
              <w:t>For the nine months ended September 30, 2018</w:t>
            </w: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ind w:right="470"/>
              <w:spacing w:after="0" w:line="198" w:lineRule="exact"/>
              <w:rPr>
                <w:sz w:val="20"/>
                <w:szCs w:val="20"/>
                <w:color w:val="auto"/>
              </w:rPr>
            </w:pPr>
            <w:r>
              <w:rPr>
                <w:rFonts w:ascii="Arial" w:cs="Arial" w:eastAsia="Arial" w:hAnsi="Arial"/>
                <w:sz w:val="18"/>
                <w:szCs w:val="18"/>
                <w:b w:val="1"/>
                <w:bCs w:val="1"/>
                <w:color w:val="auto"/>
              </w:rPr>
              <w:t>Number of</w:t>
            </w: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2"/>
          </w:tcPr>
          <w:p>
            <w:pPr>
              <w:jc w:val="center"/>
              <w:ind w:right="50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stock options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exercise price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intrinsic value</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414,965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1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(2,487)</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Cancelled</w:t>
            </w:r>
          </w:p>
        </w:tc>
        <w:tc>
          <w:tcPr>
            <w:tcW w:w="1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422,478</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1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228,758</w:t>
            </w:r>
          </w:p>
        </w:tc>
        <w:tc>
          <w:tcPr>
            <w:tcW w:w="3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7.80</w:t>
            </w:r>
          </w:p>
        </w:tc>
        <w:tc>
          <w:tcPr>
            <w:tcW w:w="3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For the year ended December 31, 2017(*)</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Weighted average</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9"/>
              </w:rPr>
              <w:t>Number of stock options</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exercise price</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Aggregate intrinsic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174,328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272,090</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1,859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142,875</w:t>
            </w:r>
          </w:p>
        </w:tc>
        <w:tc>
          <w:tcPr>
            <w:tcW w:w="340" w:type="dxa"/>
            <w:vAlign w:val="bottom"/>
            <w:tcBorders>
              <w:bottom w:val="single" w:sz="8" w:color="auto"/>
            </w:tcBorders>
          </w:tcPr>
          <w:p>
            <w:pPr>
              <w:spacing w:after="0"/>
              <w:rPr>
                <w:sz w:val="17"/>
                <w:szCs w:val="17"/>
                <w:color w:val="auto"/>
              </w:rPr>
            </w:pPr>
          </w:p>
        </w:tc>
        <w:tc>
          <w:tcPr>
            <w:tcW w:w="3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1.95</w:t>
            </w:r>
          </w:p>
        </w:tc>
        <w:tc>
          <w:tcPr>
            <w:tcW w:w="3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December 31, 2017 options data represents the number of shares adjusted to retroactively reflect the 1:15 Reverse Split effected on September 4, 2018.</w:t>
      </w:r>
    </w:p>
    <w:p>
      <w:pPr>
        <w:spacing w:after="0" w:line="24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September 30, 2018 and December 31, 2017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5" w:name="page76"/>
    <w:bookmarkEnd w:id="75"/>
    <w:p>
      <w:pPr>
        <w:ind w:left="4"/>
        <w:spacing w:after="0"/>
        <w:rPr>
          <w:sz w:val="20"/>
          <w:szCs w:val="20"/>
          <w:color w:val="auto"/>
        </w:rPr>
      </w:pPr>
      <w:r>
        <w:rPr>
          <w:rFonts w:ascii="Arial" w:cs="Arial" w:eastAsia="Arial" w:hAnsi="Arial"/>
          <w:sz w:val="18"/>
          <w:szCs w:val="18"/>
          <w:color w:val="auto"/>
        </w:rPr>
        <w:t>The stock options outstanding as of September 30, 2018 and December 31, 2017, separated by exercise prices, are as follows:</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remaining</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remaining</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Stock options</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Stock options</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contractual life</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contractual life</w:t>
            </w: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 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 options</w:t>
            </w:r>
          </w:p>
        </w:tc>
        <w:tc>
          <w:tcPr>
            <w:tcW w:w="0" w:type="dxa"/>
            <w:vAlign w:val="bottom"/>
          </w:tcPr>
          <w:p>
            <w:pPr>
              <w:spacing w:after="0"/>
              <w:rPr>
                <w:sz w:val="1"/>
                <w:szCs w:val="1"/>
                <w:color w:val="auto"/>
              </w:rPr>
            </w:pPr>
          </w:p>
        </w:tc>
      </w:tr>
      <w:tr>
        <w:trPr>
          <w:trHeight w:val="203"/>
        </w:trPr>
        <w:tc>
          <w:tcPr>
            <w:tcW w:w="1720" w:type="dxa"/>
            <w:vAlign w:val="bottom"/>
            <w:gridSpan w:val="2"/>
            <w:vMerge w:val="continue"/>
          </w:tcPr>
          <w:p>
            <w:pPr>
              <w:spacing w:after="0"/>
              <w:rPr>
                <w:sz w:val="17"/>
                <w:szCs w:val="17"/>
                <w:color w:val="auto"/>
              </w:rPr>
            </w:pPr>
          </w:p>
        </w:tc>
        <w:tc>
          <w:tcPr>
            <w:tcW w:w="150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w w:val="87"/>
              </w:rPr>
              <w:t>outstanding as</w:t>
            </w:r>
          </w:p>
        </w:tc>
        <w:tc>
          <w:tcPr>
            <w:tcW w:w="160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85"/>
              </w:rPr>
              <w:t>outstanding as</w:t>
            </w:r>
          </w:p>
        </w:tc>
        <w:tc>
          <w:tcPr>
            <w:tcW w:w="16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7"/>
              </w:rPr>
              <w:t>– years as of</w:t>
            </w:r>
          </w:p>
        </w:tc>
        <w:tc>
          <w:tcPr>
            <w:tcW w:w="15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6"/>
              </w:rPr>
              <w:t>– years as of</w:t>
            </w:r>
          </w:p>
        </w:tc>
        <w:tc>
          <w:tcPr>
            <w:tcW w:w="144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exercisable as</w:t>
            </w:r>
          </w:p>
        </w:tc>
        <w:tc>
          <w:tcPr>
            <w:tcW w:w="124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86"/>
              </w:rPr>
              <w:t>exercisable as</w:t>
            </w:r>
          </w:p>
        </w:tc>
        <w:tc>
          <w:tcPr>
            <w:tcW w:w="0" w:type="dxa"/>
            <w:vAlign w:val="bottom"/>
          </w:tcPr>
          <w:p>
            <w:pPr>
              <w:spacing w:after="0"/>
              <w:rPr>
                <w:sz w:val="1"/>
                <w:szCs w:val="1"/>
                <w:color w:val="auto"/>
              </w:rPr>
            </w:pPr>
          </w:p>
        </w:tc>
      </w:tr>
      <w:tr>
        <w:trPr>
          <w:trHeight w:val="216"/>
        </w:trPr>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w:t>
            </w: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of September</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December 31,</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of September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December</w:t>
            </w:r>
          </w:p>
        </w:tc>
        <w:tc>
          <w:tcPr>
            <w:tcW w:w="0" w:type="dxa"/>
            <w:vAlign w:val="bottom"/>
          </w:tcPr>
          <w:p>
            <w:pPr>
              <w:spacing w:after="0"/>
              <w:rPr>
                <w:sz w:val="1"/>
                <w:szCs w:val="1"/>
                <w:color w:val="auto"/>
              </w:rPr>
            </w:pPr>
          </w:p>
        </w:tc>
      </w:tr>
      <w:tr>
        <w:trPr>
          <w:trHeight w:val="255"/>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30, 2018</w:t>
            </w:r>
          </w:p>
        </w:tc>
        <w:tc>
          <w:tcPr>
            <w:tcW w:w="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32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2"/>
                <w:szCs w:val="22"/>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30, 2018</w:t>
            </w:r>
          </w:p>
        </w:tc>
        <w:tc>
          <w:tcPr>
            <w:tcW w:w="3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31, 2017(**)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7.25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right"/>
              <w:ind w:right="170"/>
              <w:spacing w:after="0"/>
              <w:rPr>
                <w:sz w:val="20"/>
                <w:szCs w:val="20"/>
                <w:color w:val="auto"/>
              </w:rPr>
            </w:pPr>
            <w:r>
              <w:rPr>
                <w:rFonts w:ascii="Arial" w:cs="Arial" w:eastAsia="Arial" w:hAnsi="Arial"/>
                <w:sz w:val="18"/>
                <w:szCs w:val="18"/>
                <w:color w:val="auto"/>
              </w:rPr>
              <w:t>15.75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133,546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133,546</w:t>
            </w:r>
          </w:p>
        </w:tc>
        <w:tc>
          <w:tcPr>
            <w:tcW w:w="32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46,117</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right"/>
              <w:ind w:right="170"/>
              <w:spacing w:after="0"/>
              <w:rPr>
                <w:sz w:val="20"/>
                <w:szCs w:val="20"/>
                <w:color w:val="auto"/>
              </w:rPr>
            </w:pPr>
            <w:r>
              <w:rPr>
                <w:rFonts w:ascii="Arial" w:cs="Arial" w:eastAsia="Arial" w:hAnsi="Arial"/>
                <w:sz w:val="18"/>
                <w:szCs w:val="18"/>
                <w:color w:val="auto"/>
              </w:rPr>
              <w:t>19.35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72,508</w:t>
            </w:r>
          </w:p>
        </w:tc>
        <w:tc>
          <w:tcPr>
            <w:tcW w:w="32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23,565</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15.30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66,036</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18,688</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62,542</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65,029</w:t>
            </w:r>
          </w:p>
        </w:tc>
        <w:tc>
          <w:tcPr>
            <w:tcW w:w="3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8.00</w:t>
            </w: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8.75</w:t>
            </w:r>
          </w:p>
        </w:tc>
        <w:tc>
          <w:tcPr>
            <w:tcW w:w="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62,542</w:t>
            </w: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65,029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422,478</w:t>
            </w: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414,965</w:t>
            </w:r>
          </w:p>
        </w:tc>
        <w:tc>
          <w:tcPr>
            <w:tcW w:w="3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8.55</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228,758</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142,875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 Less than $0.01.</w:t>
      </w:r>
    </w:p>
    <w:p>
      <w:pPr>
        <w:spacing w:after="0" w:line="23" w:lineRule="exact"/>
        <w:rPr>
          <w:sz w:val="20"/>
          <w:szCs w:val="20"/>
          <w:color w:val="auto"/>
        </w:rPr>
      </w:pPr>
    </w:p>
    <w:p>
      <w:pPr>
        <w:ind w:left="324" w:right="20" w:hanging="324"/>
        <w:spacing w:after="0" w:line="261" w:lineRule="auto"/>
        <w:tabs>
          <w:tab w:leader="none" w:pos="3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December 31, 2017 options data represents the number of shares adjusted to retroactively reflect the 1:15 Reverse Split effected on September 4, 2018.</w:t>
      </w:r>
    </w:p>
    <w:p>
      <w:pPr>
        <w:spacing w:after="0" w:line="184"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nine-month ended September 30, 2018 and 2017 was $ 1,139 and $196, respectively.</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Nine months ended</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 ended</w:t>
            </w:r>
          </w:p>
        </w:tc>
      </w:tr>
      <w:tr>
        <w:trPr>
          <w:trHeight w:val="241"/>
        </w:trPr>
        <w:tc>
          <w:tcPr>
            <w:tcW w:w="5560" w:type="dxa"/>
            <w:vAlign w:val="bottom"/>
          </w:tcPr>
          <w:p>
            <w:pPr>
              <w:spacing w:after="0"/>
              <w:rPr>
                <w:sz w:val="20"/>
                <w:szCs w:val="20"/>
                <w:color w:val="auto"/>
              </w:rPr>
            </w:pPr>
          </w:p>
        </w:tc>
        <w:tc>
          <w:tcPr>
            <w:tcW w:w="2460" w:type="dxa"/>
            <w:vAlign w:val="bottom"/>
            <w:gridSpan w:val="2"/>
          </w:tcPr>
          <w:p>
            <w:pPr>
              <w:ind w:left="320"/>
              <w:spacing w:after="0"/>
              <w:rPr>
                <w:sz w:val="20"/>
                <w:szCs w:val="20"/>
                <w:color w:val="auto"/>
              </w:rPr>
            </w:pPr>
            <w:r>
              <w:rPr>
                <w:rFonts w:ascii="Arial" w:cs="Arial" w:eastAsia="Arial" w:hAnsi="Arial"/>
                <w:sz w:val="18"/>
                <w:szCs w:val="18"/>
                <w:b w:val="1"/>
                <w:bCs w:val="1"/>
                <w:color w:val="auto"/>
              </w:rPr>
              <w:t>September 30, 2018</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2017</w:t>
            </w:r>
          </w:p>
        </w:tc>
      </w:tr>
      <w:tr>
        <w:trPr>
          <w:trHeight w:val="216"/>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6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99.4%</w:t>
            </w:r>
          </w:p>
        </w:tc>
        <w:tc>
          <w:tcPr>
            <w:tcW w:w="3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Risk-free interest</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8"/>
                <w:szCs w:val="18"/>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0"/>
                <w:szCs w:val="20"/>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In connection with the Merger, the Company issued an aggregate of 525,706 restricted shares (7,802,639 restricted shares before the Reverse Split) of its Common Stock to certain advisors. The fair value of the award of approximately $10,000 was estimated based on the share price of the Common Stock of $19.2 ($1.28 before the Reverse Split) as of the date of grant. The portion of the expense in excess of the cash and other current assets acquired in the Merger, in the amount of $7,300 was included in general and administrative expenses in the Statements of Comprehensive Loss.</w:t>
      </w:r>
    </w:p>
    <w:p>
      <w:pPr>
        <w:spacing w:after="0" w:line="188"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During 2017, the Company issued an aggregate of 8,085 nonrefundable shares (120,000 nonrefundable shares before the Reverse Split) of Common Stock to a consultant as part of investor relations services. The Company recorded expenses of approximately $225 with respect to the issuance of these shares included in general and administrative expenses</w:t>
      </w:r>
    </w:p>
    <w:p>
      <w:pPr>
        <w:spacing w:after="0" w:line="181"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On May 24, 2018 the Company issued an aggregate of 6,738 nonrefundable shares (100,000 nonrefundable shares before the Reverse Split) of Common Stock to CardioSert as part of certain patent acquisition. The Company recorded expenses of approximately $74 with respect to the issuance of these shares included in research and development expenses.</w:t>
      </w:r>
    </w:p>
    <w:p>
      <w:pPr>
        <w:spacing w:after="0" w:line="181"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5"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December 16, 2016, the Company entered into a Securities Exchange Agreement with Alpha Capital, pursuant to which Alpha Capital exchanged 655,967 shares (9,736,000 shares before the Reverse Split)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655,967 shares (9,735,925 shares before the Reverse Split) of common stock and the rights to acquire common stock were cancelled and the Company’s issued and outstanding shares of Common Stock were reduced to 1,786,684 (26,518,315 before the Reverse Split).</w:t>
      </w:r>
    </w:p>
    <w:p>
      <w:pPr>
        <w:spacing w:after="0" w:line="18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Arial" w:cs="Arial" w:eastAsia="Arial" w:hAnsi="Arial"/>
          <w:sz w:val="18"/>
          <w:szCs w:val="18"/>
          <w:b w:val="1"/>
          <w:bCs w:val="1"/>
          <w:color w:val="auto"/>
        </w:rPr>
        <w:t>.</w:t>
      </w:r>
    </w:p>
    <w:p>
      <w:pPr>
        <w:spacing w:after="0" w:line="193"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During the year 2017, the holder of the Series A Convertible Preferred Stock converted 8,990 shares of the Series A Convertible Preferred Stock for 605,705 shares (8,990,000 shares before the Reverse Split) of Common Stock, pursuant to the terms of conversion of the Series A Convertible Preferred Stock.</w:t>
      </w:r>
    </w:p>
    <w:p>
      <w:pPr>
        <w:spacing w:after="0" w:line="18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For the nine-month ended September 30, 2018, the holder of the Series A Convertible Preferred Stock converted 3,451 shares of the Series A Convertible Preferred Stock for 232,151 shares (3,445,266 shares before the Reverse Split) of Common Stock, pursuant to the terms of conversion of the Series A Convertible Preferred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Company intends to enter into a definitive agreement with up to three Israeli shareholders, one of which is a director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5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7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BASIC AND DILUTED NET LOSS PER SHARE</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8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(5,111)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4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(1,442)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Net loss used in the calculation of basic net loss per share</w:t>
            </w: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(4,885)</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(4,560)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w:t>
            </w:r>
          </w:p>
        </w:tc>
        <w:tc>
          <w:tcPr>
            <w:tcW w:w="4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gridSpan w:val="2"/>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w:t>
            </w:r>
          </w:p>
        </w:tc>
        <w:tc>
          <w:tcPr>
            <w:tcW w:w="4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2,876,020</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2,061,331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80" w:type="dxa"/>
            <w:vAlign w:val="bottom"/>
            <w:tcBorders>
              <w:bottom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September 30, 2017 shares data represents the number of shares adjusted to retroactively reflect the 1:15 Reverse Split effected on September 4, 2018.</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the inclusion of common share equivalents in the calculation would be anti-dilutive for all periods presented, diluted net loss per share is the same as basic net loss per share.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2730500</wp:posOffset>
            </wp:positionH>
            <wp:positionV relativeFrom="page">
              <wp:posOffset>431800</wp:posOffset>
            </wp:positionV>
            <wp:extent cx="2315210" cy="875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231521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Up to 6,024,096 Units (each Units contains one Share of Common Stock and one Common Warrant to purchase one Share of Common Stock)</w:t>
      </w:r>
    </w:p>
    <w:p>
      <w:pPr>
        <w:spacing w:after="0" w:line="237"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Up to 6,024,096 Pre-funded Units (each Pre-funded Unit contains one Pre-funded Warrant to purchase one Share of Common Stock and one Common Warrant to purchase one Share of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6,024,096 Shares of Common Stock Underlying the Pre-funded Warrants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6,024,096 Shares of Common Stock Underlying the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152400</wp:posOffset>
            </wp:positionV>
            <wp:extent cx="144907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154940</wp:posOffset>
            </wp:positionV>
            <wp:extent cx="144907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Sole Book-Running Manager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H.C. Wainwright &amp;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292100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20"/>
          </w:cols>
          <w:pgMar w:left="540" w:top="1440" w:right="5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Microbot Medical Inc. (the “Company” or the “Registrant”) in connection with the sale of the securities being registered under this registration statement. All amounts shown are estimates except for the Securities and Exchange Commission, or SEC, registration fee and the FINRA filing fee.</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FINRA filing fee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7,507.82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 expenses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126,829.87</w:t>
            </w:r>
          </w:p>
        </w:tc>
        <w:tc>
          <w:tcPr>
            <w:tcW w:w="8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510,000.00</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Indemnification Agreements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Securities being registered hereby, the underwriter will agree to indemnify, under certain conditions, us, our directors, our officers and persons who control us within the meaning of the Securities Act of 1933, as amended, against certain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Set forth below is information regarding securities issued and options granted by the Company within the past three years that were not registered under the Securities Act of 1933, as amended, and the rules promulgated thereunder (the “Securities Act”). Also included is the consideration, if any, received by the Registrant, for such securities and options and information relating to the Securities Act, or rule of the SEC, under which exemption from registration was claimed. Except with respect to issuances subsequent to September 4, 2018, the below descriptions of such issuances, including any conversion ratios, do not reflect the Company’s September 4, 2018 1-for-15 reverse stock split.</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November 26, 2018, the holder of the Series A Convertible Preferred Stock, par value $0.01 per share (the “Preferred Stock”), of the Company, converted an aggregate of 550 shares of the Preferred Stock for an aggregate of 36,667 shares of the Company’s common stock. Pursuant to the terms of conversion of the Preferred Stock, each such share is convertible, upon request and for no additional consideration, into 66.667 shares of the common stock of the Company. The issuances of the 36,667 shares of common stock were exempt from registration under Section 4(a)(2) under the Securities Act of 1933, as amended and the rules promulgated thereunder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 All shares of Preferred Stock that had been issued have now been converted into shares of the Company’s common stock. Accordingly, there are currently no shares of Preferred Stock issued or outstanding.</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24, 2018, the holder of the Series A Convertible Preferred Stock, par value $0.01 per share, of the Company, converted 450 shares of the Preferred Stock for 30,000 shares of the Company’s common stock. Pursuant to the terms of conversion of the Preferred Stock, each such share is convertible, upon request and for no additional consideration, into 66.667 shares of the common stock of the Company. The issuances of the 30,000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May 31, 2018, the holder of the Preferred Stock converted 700 shares of the Preferred Stock for 700,000 shares of the Company’s common stock. Pursuant to the terms of conversion of the Preferred Stock, each such share is convertible, upon request and for no additional consideration, into 1,000 shares of the common stock of the Company. The issuances of the 700,000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5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24, 2018, the Company issued 100,000 shares of common stock to CardioSert Ltd. as partial consideration for the acquisition of certain intellectual property assets from CardioSert. The issuance was exempt from registration under Section 4(a)(2) under the Securities Act as a transaction not involving a public offering to a single stockholder as part of a negotiated transaction.</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7, 2018, the holder of the Preferred Stock converted an aggregate of 500 shares of the Preferred Stock for an aggregate of 500,000 shares of the Company’s common stock. Pursuant to the terms of conversion of the Preferred Stock, each such share is convertible, upon request and for no additional consideration, into 1,000 shares of the common stock of the Registrant. The issuances of the 500,000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11, 2018, the holder of the Preferred Stock converted 800 shares of the Preferred Stock for 800,000 shares of the Company’s common stock, pursuant to the terms of conversion of the Preferred Stock. The issuance of the 800,000 shares of common stock was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November 22, 2017 through January 25, 2018, the holder of the Preferred Stock converted an aggregate of 2,436 shares of the Preferred Stock for an aggregate of 2,436,000 shares of the Registrant’s common stock. Pursuant to the terms of conversion of the Preferred Stock, each such share is convertible, upon request and for no additional consideration, into 1,000 shares of the common stock of the Registrant. The issuances of the 2,436,000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11, 2017, the Registrant issued an aggregate of 70,000 shares of the Registrant’s common stock to a consultant as consideration for services. The issuance of the shares was exempt from registration under Section 4(a)(2) under the Securities Act as a transaction not involving a public offering, as the issuance thereof was made to a limited number of persons or entities as compensation for services rendered.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491" w:gutter="0" w:footer="0" w:header="0"/>
        </w:sectPr>
      </w:pPr>
    </w:p>
    <w:bookmarkStart w:id="80" w:name="page81"/>
    <w:bookmarkEnd w:id="80"/>
    <w:p>
      <w:pPr>
        <w:jc w:val="both"/>
        <w:ind w:firstLine="324"/>
        <w:spacing w:after="0" w:line="273" w:lineRule="auto"/>
        <w:rPr>
          <w:sz w:val="20"/>
          <w:szCs w:val="20"/>
          <w:color w:val="auto"/>
        </w:rPr>
      </w:pPr>
      <w:r>
        <w:rPr>
          <w:rFonts w:ascii="Arial" w:cs="Arial" w:eastAsia="Arial" w:hAnsi="Arial"/>
          <w:sz w:val="17"/>
          <w:szCs w:val="17"/>
          <w:color w:val="auto"/>
        </w:rPr>
        <w:t>From October 4, 2017 through October 25, 2017, the holder of the Preferred Stock converted an aggregate of 1,600 shares of the Preferred Stock for an aggregate of 1,600,000 shares of the Company’s common stock. Pursuant to the terms of conversion of the Preferred Stock, each such share is convertible, upon request and for no additional consideration, into 1,000 shares of the common stock of the Registrant. The issuances of the 1,600,000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August 7, 2017 through September 19, 2017, the holder of the Preferred Stock converted an aggregate of 2,200 shares of the Preferred Stock for an aggregate of 2,200,000 shares of the Registrant’s common stock. Pursuant to the terms of conversion of the Preferred Stock, each such share is convertible, upon request and for no additional consideration, into 1,000 shares of the common stock of the Registrant. The issuances of the 2,200,000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Between June 19, 2017 and August 7, 2017, the holder of the Preferred Stock converted an aggregate of 2,029 shares of the Preferred Stock for an aggregate of 2,029,000 shares of the Company’s common stock. Pursuant to the terms of conversion of the Preferred Stock, each such share is convertible, upon request and for no additional consideration, into 1,000 shares of the common stock of the Company. The issuances of the 2,029,000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Between May 18, 2017 and June 12, 2017, the holder of the Preferred Stock converted an aggregate of 1,525 shares of the Preferred Stock for an aggregate of 1,525,000 shares of the Company’s common stock. Pursuant to the terms of conversion of the Preferred Stock, each such share is convertible, upon request and for no additional consideration, into 1,000 shares of the common stock of the Company. The issuances of the 1,525,000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26, 2017, the Company issued an aggregate of 50,000 shares of common stock to a consultant. The issuance of the shares was exempt from registration under Section 4(a)(2) under the Securities Act as a transaction not involving a public offering, as the issuance thereof was made to a limited number of persons or entities as compensation for services rendered.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10, 2017, the Company entered into a Securities Exchange Agreement (the “Exchange Agreement”) with Alpha Capital Anstalt (“Alpha Capital”), pursuant to which the Company agreed to issue 3,255 shares of Series A Convertible Preferred Stock, par value $0.01 per share (the “Preferred Stock”), in exchange for the full satisfaction, termination and cancellation of that outstanding 6% convertible promissory note of the Company in the principal amount of $2,028,767, issued on November 28, 2016 and held by Alpha Capital (the “Convertible Note”). Effective as of May 10, 2017, the Company issued 3,255 shares of Preferred Stock to Alpha Capital pursuant to the Exchange Agreement. The issuance of the 3,255 shares of Preferred Stock was exempt from registration under Section 4(a)(2) and/or 3(a)(9) under the Securities Act.</w:t>
      </w:r>
    </w:p>
    <w:p>
      <w:pPr>
        <w:spacing w:after="0" w:line="19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March 2017, an institutional holder exercised, in a cashless transaction, 768 warrants and 359 shares of common stock were issued in connection therewith. The issuance of the 359 share of common stock was exempt from registration under Section 4(a)(2) and/or 3(a)(9) under the Securities Act.</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Effective as of December 27, 2016, the Company closed on the exchange (the “Exchange”) of approximately 9,735,925 shares or rights to acquire shares of its common stock held by Alpha Capital Anstalt, for 9,736 shares of Preferred Stock. The issuance of the 9,736 shares of Preferred Stock was exempt from registration under Section 4(a)(2) and/or 3(a)(9) under the Securities Act.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issued 26,644,979 shares of common stock to the existing shareholders of Microbot Israel Ltd. (“Microbot Israel”) and assumed options to purchase an aggregate of 2,614,916 shares of common stock of the existing optionholders of Microbot Israel. Additionally, the Company issued an aggregate of 7,802,639 restricted shares of its common stock or rights to receive common stock to certain advisors. Such sales were exempt from registration under Section 4(a)(2) and Regulation D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Exhibit Index immediately preceding the signature page to this registration statement, which is incorporated by reference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1" w:name="page82"/>
    <w:bookmarkEnd w:id="81"/>
    <w:p>
      <w:pPr>
        <w:ind w:left="3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225" w:lineRule="exact"/>
        <w:rPr>
          <w:sz w:val="20"/>
          <w:szCs w:val="20"/>
          <w:color w:val="auto"/>
        </w:rPr>
      </w:pPr>
    </w:p>
    <w:p>
      <w:pPr>
        <w:jc w:val="both"/>
        <w:ind w:right="20" w:firstLine="363"/>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investor.</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the registrant’s annual report pursuant to section 13(a) or section 15(d) of the Securities Exchange Act of 1934, as amended, or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0" w:gutter="0" w:footer="0" w:header="0"/>
        </w:sectPr>
      </w:pPr>
    </w:p>
    <w:bookmarkStart w:id="82" w:name="page83"/>
    <w:bookmarkEnd w:id="82"/>
    <w:p>
      <w:pPr>
        <w:spacing w:after="0" w:line="36"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8"/>
          <w:szCs w:val="18"/>
          <w:color w:val="auto"/>
        </w:rPr>
        <w:t>1.1 †</w:t>
      </w:r>
      <w:r>
        <w:rPr>
          <w:sz w:val="20"/>
          <w:szCs w:val="20"/>
          <w:color w:val="auto"/>
        </w:rPr>
        <w:tab/>
      </w:r>
      <w:r>
        <w:rPr>
          <w:rFonts w:ascii="Arial" w:cs="Arial" w:eastAsia="Arial" w:hAnsi="Arial"/>
          <w:sz w:val="16"/>
          <w:szCs w:val="16"/>
          <w:color w:val="auto"/>
        </w:rPr>
        <w:t>Form of Underwriting Agreement.</w:t>
      </w:r>
    </w:p>
    <w:p>
      <w:pPr>
        <w:spacing w:after="0" w:line="225"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20">
        <w:r>
          <w:rPr>
            <w:rFonts w:ascii="Arial" w:cs="Arial" w:eastAsia="Arial" w:hAnsi="Arial"/>
            <w:sz w:val="18"/>
            <w:szCs w:val="18"/>
            <w:u w:val="single" w:color="auto"/>
            <w:color w:val="0000EE"/>
          </w:rPr>
          <w:t>Agreement and Plan of Merger and Reorganization, dated as of August 15, 2016, by and among StemCells, Inc., C&amp;RD Israel Ltd. and</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Microbot Medical Ltd. (incorporated by reference to the Company’s Current Report on Form 8-K filed on August 15, 2016).</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21">
        <w:r>
          <w:rPr>
            <w:rFonts w:ascii="Arial" w:cs="Arial" w:eastAsia="Arial" w:hAnsi="Arial"/>
            <w:sz w:val="18"/>
            <w:szCs w:val="18"/>
            <w:u w:val="single" w:color="auto"/>
            <w:color w:val="0000EE"/>
          </w:rPr>
          <w:t>Restated Certificate of Incorporation of the Company (incorporated by reference to the Company’s Annual Report on Form 10-K for the fiscal</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year ended December 31, 2006 and filed on March 15, 2007).</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22">
        <w:r>
          <w:rPr>
            <w:rFonts w:ascii="Arial" w:cs="Arial" w:eastAsia="Arial" w:hAnsi="Arial"/>
            <w:sz w:val="18"/>
            <w:szCs w:val="18"/>
            <w:u w:val="single" w:color="auto"/>
            <w:color w:val="0000EE"/>
          </w:rPr>
          <w:t>Certificate of Amendment to the Restated Certificate of Incorporation of the Company (incorporated by reference to the Company’s Current</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Report on Form 8-K filed on November 29, 2016).</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23">
        <w:r>
          <w:rPr>
            <w:rFonts w:ascii="Arial" w:cs="Arial" w:eastAsia="Arial" w:hAnsi="Arial"/>
            <w:sz w:val="18"/>
            <w:szCs w:val="18"/>
            <w:u w:val="single" w:color="auto"/>
            <w:color w:val="0000EE"/>
          </w:rPr>
          <w:t>Certificate of Amendment to the Restated Certificate of Incorporation (incorporated by reference to the Company’s Current Report on Form 8-</w:t>
        </w:r>
      </w:hyperlink>
      <w:hyperlink r:id="rId123">
        <w:r>
          <w:rPr>
            <w:rFonts w:ascii="Arial" w:cs="Arial" w:eastAsia="Arial" w:hAnsi="Arial"/>
            <w:sz w:val="18"/>
            <w:szCs w:val="18"/>
            <w:u w:val="single" w:color="auto"/>
            <w:color w:val="0000EE"/>
          </w:rPr>
          <w:t>K filed on September 4, 2018).</w:t>
        </w:r>
      </w:hyperlink>
    </w:p>
    <w:p>
      <w:pPr>
        <w:spacing w:after="0" w:line="170" w:lineRule="exact"/>
        <w:rPr>
          <w:sz w:val="20"/>
          <w:szCs w:val="20"/>
          <w:color w:val="auto"/>
        </w:rPr>
      </w:pPr>
    </w:p>
    <w:p>
      <w:pPr>
        <w:ind w:left="900" w:right="2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124">
        <w:r>
          <w:rPr>
            <w:rFonts w:ascii="Arial" w:cs="Arial" w:eastAsia="Arial" w:hAnsi="Arial"/>
            <w:sz w:val="18"/>
            <w:szCs w:val="18"/>
            <w:u w:val="single" w:color="auto"/>
            <w:color w:val="0000EE"/>
          </w:rPr>
          <w:t xml:space="preserve">Certificate of Designations of Preferences, Rights and Limitations of the Series A Convertible Preferred Stock </w:t>
        </w:r>
        <w:r>
          <w:rPr>
            <w:rFonts w:ascii="Arial" w:cs="Arial" w:eastAsia="Arial" w:hAnsi="Arial"/>
            <w:sz w:val="18"/>
            <w:szCs w:val="18"/>
            <w:u w:val="single" w:color="auto"/>
            <w:color w:val="0000EE"/>
            <w:highlight w:val="white"/>
          </w:rPr>
          <w:t>(incorporated by reference to the</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Registrant’s Current Report on Form 8-K filed on December 16, 2016).</w:t>
        </w:r>
      </w:hyperlink>
    </w:p>
    <w:p>
      <w:pPr>
        <w:spacing w:after="0" w:line="170" w:lineRule="exact"/>
        <w:rPr>
          <w:sz w:val="20"/>
          <w:szCs w:val="20"/>
          <w:color w:val="auto"/>
        </w:rPr>
      </w:pPr>
    </w:p>
    <w:p>
      <w:pPr>
        <w:ind w:left="900" w:right="2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125">
        <w:r>
          <w:rPr>
            <w:rFonts w:ascii="Arial" w:cs="Arial" w:eastAsia="Arial" w:hAnsi="Arial"/>
            <w:sz w:val="18"/>
            <w:szCs w:val="18"/>
            <w:u w:val="single" w:color="auto"/>
            <w:color w:val="0000EE"/>
          </w:rPr>
          <w:t>Certificate of Designation of Preferences, Rights and Limitations of the Series A Convertible Preferred Stock (ncorporated by reference to the</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Registrant’s Current Report on Form 8-K filed on May 11, 2017).</w:t>
        </w:r>
      </w:hyperlink>
    </w:p>
    <w:p>
      <w:pPr>
        <w:spacing w:after="0" w:line="170"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3.6</w:t>
      </w:r>
      <w:r>
        <w:rPr>
          <w:sz w:val="20"/>
          <w:szCs w:val="20"/>
          <w:color w:val="auto"/>
        </w:rPr>
        <w:tab/>
      </w:r>
      <w:hyperlink r:id="rId126">
        <w:r>
          <w:rPr>
            <w:rFonts w:ascii="Arial" w:cs="Arial" w:eastAsia="Arial" w:hAnsi="Arial"/>
            <w:sz w:val="16"/>
            <w:szCs w:val="16"/>
            <w:u w:val="single" w:color="auto"/>
            <w:color w:val="0000EE"/>
          </w:rPr>
          <w:t>Amended and Restated By-Laws of the Company (incorporated by reference to the Company’s Current Report on Form 8-K filed on May 3,</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2016).</w:t>
        </w:r>
      </w:hyperlink>
    </w:p>
    <w:p>
      <w:pPr>
        <w:spacing w:after="0" w:line="211"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27">
        <w:r>
          <w:rPr>
            <w:rFonts w:ascii="Arial" w:cs="Arial" w:eastAsia="Arial" w:hAnsi="Arial"/>
            <w:sz w:val="16"/>
            <w:szCs w:val="16"/>
            <w:u w:val="single" w:color="auto"/>
            <w:color w:val="0000EE"/>
          </w:rPr>
          <w:t>Form of Series A Warrant (incorporated by reference to the Registrant’s Current Report on Form 8-K filed on December 16, 2016).</w:t>
        </w:r>
      </w:hyperlink>
    </w:p>
    <w:p>
      <w:pPr>
        <w:spacing w:after="0" w:line="225"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28">
        <w:r>
          <w:rPr>
            <w:rFonts w:ascii="Arial" w:cs="Arial" w:eastAsia="Arial" w:hAnsi="Arial"/>
            <w:sz w:val="16"/>
            <w:szCs w:val="16"/>
            <w:u w:val="single" w:color="auto"/>
            <w:color w:val="0000EE"/>
          </w:rPr>
          <w:t>Form of Series B Warrant (incorporated by reference to the Company’s Current Report on Form 8-K filed on December 16, 2016).</w:t>
        </w:r>
      </w:hyperlink>
    </w:p>
    <w:p>
      <w:pPr>
        <w:spacing w:after="0" w:line="225"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8"/>
          <w:szCs w:val="18"/>
          <w:color w:val="auto"/>
        </w:rPr>
        <w:t>4.3 †</w:t>
      </w:r>
      <w:r>
        <w:rPr>
          <w:sz w:val="20"/>
          <w:szCs w:val="20"/>
          <w:color w:val="auto"/>
        </w:rPr>
        <w:tab/>
      </w:r>
      <w:r>
        <w:rPr>
          <w:rFonts w:ascii="Arial" w:cs="Arial" w:eastAsia="Arial" w:hAnsi="Arial"/>
          <w:sz w:val="16"/>
          <w:szCs w:val="16"/>
          <w:color w:val="auto"/>
        </w:rPr>
        <w:t>Form of Pre-Funded Common Stock Purchase Warrant.</w:t>
      </w:r>
    </w:p>
    <w:p>
      <w:pPr>
        <w:spacing w:after="0" w:line="225"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8"/>
          <w:szCs w:val="18"/>
          <w:color w:val="auto"/>
        </w:rPr>
        <w:t>4.4 †</w:t>
      </w:r>
      <w:r>
        <w:rPr>
          <w:sz w:val="20"/>
          <w:szCs w:val="20"/>
          <w:color w:val="auto"/>
        </w:rPr>
        <w:tab/>
      </w:r>
      <w:r>
        <w:rPr>
          <w:rFonts w:ascii="Arial" w:cs="Arial" w:eastAsia="Arial" w:hAnsi="Arial"/>
          <w:sz w:val="16"/>
          <w:szCs w:val="16"/>
          <w:color w:val="auto"/>
        </w:rPr>
        <w:t>Form of Underwriter’s Common Stock Purchase Warrant.</w:t>
      </w:r>
    </w:p>
    <w:p>
      <w:pPr>
        <w:spacing w:after="0" w:line="225" w:lineRule="exact"/>
        <w:rPr>
          <w:sz w:val="20"/>
          <w:szCs w:val="20"/>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Common Stock Purchase Warrant.</w:t>
      </w:r>
    </w:p>
    <w:p>
      <w:pPr>
        <w:spacing w:after="0" w:line="225"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8"/>
          <w:szCs w:val="18"/>
          <w:color w:val="auto"/>
        </w:rPr>
        <w:t>5.1 †</w:t>
      </w:r>
      <w:r>
        <w:rPr>
          <w:sz w:val="20"/>
          <w:szCs w:val="20"/>
          <w:color w:val="auto"/>
        </w:rPr>
        <w:tab/>
      </w:r>
      <w:r>
        <w:rPr>
          <w:rFonts w:ascii="Arial" w:cs="Arial" w:eastAsia="Arial" w:hAnsi="Arial"/>
          <w:sz w:val="16"/>
          <w:szCs w:val="16"/>
          <w:color w:val="auto"/>
        </w:rPr>
        <w:t>Opinion of Mintz, Levin, Cohn, Ferris, Glovsky and Popeo P.C.</w:t>
      </w:r>
    </w:p>
    <w:p>
      <w:pPr>
        <w:spacing w:after="0" w:line="225"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29">
        <w:r>
          <w:rPr>
            <w:rFonts w:ascii="Arial" w:cs="Arial" w:eastAsia="Arial" w:hAnsi="Arial"/>
            <w:sz w:val="18"/>
            <w:szCs w:val="18"/>
            <w:u w:val="single" w:color="auto"/>
            <w:color w:val="0000EE"/>
          </w:rPr>
          <w:t>Letter Agreement between the Company and Alpha Capital Anstalt (incorporated by reference from the Current Report on Form 8-K filed with</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the Securities and Exchange Commission on December 23,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30">
        <w:r>
          <w:rPr>
            <w:rFonts w:ascii="Arial" w:cs="Arial" w:eastAsia="Arial" w:hAnsi="Arial"/>
            <w:sz w:val="18"/>
            <w:szCs w:val="18"/>
            <w:u w:val="single" w:color="auto"/>
            <w:color w:val="0000EE"/>
          </w:rPr>
          <w:t>Securities Exchange Agreement between the Company and Alpha Capital Anstalt (incorporated by reference to the Company’s Current Report</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on Form 8-K filed on November 29,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31">
        <w:r>
          <w:rPr>
            <w:rFonts w:ascii="Arial" w:cs="Arial" w:eastAsia="Arial" w:hAnsi="Arial"/>
            <w:sz w:val="18"/>
            <w:szCs w:val="18"/>
            <w:u w:val="single" w:color="auto"/>
            <w:color w:val="0000EE"/>
          </w:rPr>
          <w:t>Convertible Promissory Note in favor of Alpha Capital Anstalt (incorporated by reference to the Company’s Current Report on Form 8-K filed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on November 29,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32">
        <w:r>
          <w:rPr>
            <w:rFonts w:ascii="Arial" w:cs="Arial" w:eastAsia="Arial" w:hAnsi="Arial"/>
            <w:sz w:val="18"/>
            <w:szCs w:val="18"/>
            <w:u w:val="single" w:color="auto"/>
            <w:color w:val="0000EE"/>
          </w:rPr>
          <w:t>Form of Indemnification Agreement, between the Company and Each of its Directors and Officers (incorporated by reference to the Company’s</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Current Report on Form 8-K filed on November 29, 2016).</w:t>
        </w:r>
      </w:hyperlink>
    </w:p>
    <w:p>
      <w:pPr>
        <w:spacing w:after="0" w:line="170" w:lineRule="exact"/>
        <w:rPr>
          <w:sz w:val="20"/>
          <w:szCs w:val="20"/>
          <w:color w:val="auto"/>
        </w:rPr>
      </w:pPr>
    </w:p>
    <w:p>
      <w:pPr>
        <w:ind w:left="1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133">
        <w:r>
          <w:rPr>
            <w:rFonts w:ascii="Arial" w:cs="Arial" w:eastAsia="Arial" w:hAnsi="Arial"/>
            <w:sz w:val="16"/>
            <w:szCs w:val="16"/>
            <w:u w:val="single" w:color="auto"/>
            <w:color w:val="0000EE"/>
          </w:rPr>
          <w:t>Employment Agreement with Harel Gadot (incorporated by reference to the Company’s Current Report on Form 8-K filed on November 29,</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2016).</w:t>
        </w:r>
      </w:hyperlink>
    </w:p>
    <w:p>
      <w:pPr>
        <w:spacing w:after="0" w:line="211"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34">
        <w:r>
          <w:rPr>
            <w:rFonts w:ascii="Arial" w:cs="Arial" w:eastAsia="Arial" w:hAnsi="Arial"/>
            <w:sz w:val="18"/>
            <w:szCs w:val="18"/>
            <w:u w:val="single" w:color="auto"/>
            <w:color w:val="0000EE"/>
          </w:rPr>
          <w:t>Services Agreement with DBN Finance Services Ltd. (incorporated by reference to the Company’s Current Report on Form 8-K filed on</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November 29,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35">
        <w:r>
          <w:rPr>
            <w:rFonts w:ascii="Arial" w:cs="Arial" w:eastAsia="Arial" w:hAnsi="Arial"/>
            <w:sz w:val="18"/>
            <w:szCs w:val="18"/>
            <w:u w:val="single" w:color="auto"/>
            <w:color w:val="0000EE"/>
          </w:rPr>
          <w:t>Employment Agreement with Yehezkel Himelfarb (incorporated by reference to the Company’s Current Report on Form 8-K filed on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December 8,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36">
        <w:r>
          <w:rPr>
            <w:rFonts w:ascii="Arial" w:cs="Arial" w:eastAsia="Arial" w:hAnsi="Arial"/>
            <w:sz w:val="18"/>
            <w:szCs w:val="18"/>
            <w:u w:val="single" w:color="auto"/>
            <w:color w:val="0000EE"/>
          </w:rPr>
          <w:t>Securities Exchange Agreement, dated December 16, 2016, by and between StemCells, Inc. and Alpha Capital Anstalt (incorporated by</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reference to the Company’s Current Report on Form 8-K filed on December 16, 2016).</w:t>
        </w:r>
      </w:hyperlink>
    </w:p>
    <w:p>
      <w:pPr>
        <w:spacing w:after="0" w:line="170" w:lineRule="exact"/>
        <w:rPr>
          <w:sz w:val="20"/>
          <w:szCs w:val="20"/>
          <w:color w:val="auto"/>
        </w:rPr>
      </w:pPr>
    </w:p>
    <w:p>
      <w:pPr>
        <w:ind w:left="900" w:right="2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37">
        <w:r>
          <w:rPr>
            <w:rFonts w:ascii="Arial" w:cs="Arial" w:eastAsia="Arial" w:hAnsi="Arial"/>
            <w:sz w:val="18"/>
            <w:szCs w:val="18"/>
            <w:u w:val="single" w:color="auto"/>
            <w:color w:val="0000EE"/>
          </w:rPr>
          <w:t>Form of Securities Purchase Agreement, dated January 5, 2017 (incorporated by reference to the Company’s Current Report on Form 8-K filed</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on January 5, 2017).</w:t>
        </w:r>
      </w:hyperlink>
    </w:p>
    <w:p>
      <w:pPr>
        <w:spacing w:after="0" w:line="170"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38">
        <w:r>
          <w:rPr>
            <w:rFonts w:ascii="Arial" w:cs="Arial" w:eastAsia="Arial" w:hAnsi="Arial"/>
            <w:sz w:val="16"/>
            <w:szCs w:val="16"/>
            <w:u w:val="single" w:color="auto"/>
            <w:color w:val="0000EE"/>
          </w:rPr>
          <w:t>Placement Agreement, dated January 4, 2017 (incorporated by reference to the Company’s Current Report on Form 8-K filed on January 5,</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2017).</w:t>
        </w:r>
      </w:hyperlink>
    </w:p>
    <w:p>
      <w:pPr>
        <w:spacing w:after="0" w:line="211" w:lineRule="exact"/>
        <w:rPr>
          <w:sz w:val="20"/>
          <w:szCs w:val="20"/>
          <w:color w:val="auto"/>
        </w:rPr>
      </w:pPr>
    </w:p>
    <w:p>
      <w:pPr>
        <w:jc w:val="both"/>
        <w:ind w:left="900" w:hanging="772"/>
        <w:spacing w:after="0" w:line="264"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39">
        <w:r>
          <w:rPr>
            <w:rFonts w:ascii="Arial" w:cs="Arial" w:eastAsia="Arial" w:hAnsi="Arial"/>
            <w:sz w:val="18"/>
            <w:szCs w:val="18"/>
            <w:u w:val="single" w:color="auto"/>
            <w:color w:val="0000EE"/>
          </w:rPr>
          <w:t>Asset Purchase Agreement, dated November 11, 2016, by and among StemCells, Inc., Stem Cell Sciences Holdings Limited, Stemcells</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California, Inc., and Boco Silicon Valley, Inc. (incorporated by reference to the Company’s Annual Report on Form 10-K for the fiscal year</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ended December 31, 2016 and filed on March 21, 2017).</w:t>
        </w:r>
      </w:hyperlink>
    </w:p>
    <w:p>
      <w:pPr>
        <w:spacing w:after="0" w:line="181" w:lineRule="exact"/>
        <w:rPr>
          <w:rFonts w:ascii="Arial" w:cs="Arial" w:eastAsia="Arial" w:hAnsi="Arial"/>
          <w:sz w:val="18"/>
          <w:szCs w:val="18"/>
          <w:u w:val="single" w:color="auto"/>
          <w:color w:val="0000EE"/>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40">
        <w:r>
          <w:rPr>
            <w:rFonts w:ascii="Arial" w:cs="Arial" w:eastAsia="Arial" w:hAnsi="Arial"/>
            <w:sz w:val="16"/>
            <w:szCs w:val="16"/>
            <w:u w:val="single" w:color="auto"/>
            <w:color w:val="0000EE"/>
          </w:rPr>
          <w:t>Escrow Agreement, dated as of November 11, 2016, by and among BOCO Silicon Valley, Inc., StemCells, Inc., Continental Stock Transfer &amp;</w:t>
        </w:r>
      </w:hyperlink>
    </w:p>
    <w:p>
      <w:pPr>
        <w:sectPr>
          <w:pgSz w:w="11900" w:h="16874" w:orient="portrait"/>
          <w:cols w:equalWidth="0" w:num="1">
            <w:col w:w="11280"/>
          </w:cols>
          <w:pgMar w:left="380" w:top="661" w:right="239" w:bottom="0" w:gutter="0" w:footer="0" w:header="0"/>
        </w:sectPr>
      </w:pPr>
    </w:p>
    <w:bookmarkStart w:id="83" w:name="page84"/>
    <w:bookmarkEnd w:id="83"/>
    <w:p>
      <w:pPr>
        <w:spacing w:after="0" w:line="277" w:lineRule="auto"/>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Trust Company, Kenneth B. Stratton and Alpha Capital Anstalt (incorporated by reference to the Company’s Annual Report on Form 10-K for</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the fiscal year ended December 31, 2016 and filed on March 21, 2017).</w:t>
        </w:r>
      </w:hyperlink>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125"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0380" w:type="dxa"/>
            <w:vAlign w:val="bottom"/>
            <w:gridSpan w:val="20"/>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76"/>
        </w:trPr>
        <w:tc>
          <w:tcPr>
            <w:tcW w:w="9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15"/>
                <w:szCs w:val="15"/>
                <w:color w:val="auto"/>
              </w:rPr>
            </w:pPr>
          </w:p>
        </w:tc>
        <w:tc>
          <w:tcPr>
            <w:tcW w:w="10380" w:type="dxa"/>
            <w:vAlign w:val="bottom"/>
            <w:tcBorders>
              <w:top w:val="single" w:sz="8" w:color="auto"/>
              <w:bottom w:val="single" w:sz="8" w:color="0000EE"/>
            </w:tcBorders>
            <w:gridSpan w:val="20"/>
          </w:tcPr>
          <w:p>
            <w:pPr>
              <w:spacing w:after="0" w:line="17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Contract Research Agreement, dated January 27, 2017, with The Washington University (incorporated by reference to the Company’s Annual</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Report on Form 10-K for the fiscal year ended December 31, 2016 and filed on March 21, 2017).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5"/>
              </w:rPr>
            </w:pPr>
            <w:hyperlink r:id="rId143">
              <w:r>
                <w:rPr>
                  <w:rFonts w:ascii="Arial" w:cs="Arial" w:eastAsia="Arial" w:hAnsi="Arial"/>
                  <w:sz w:val="18"/>
                  <w:szCs w:val="18"/>
                  <w:color w:val="0000EE"/>
                  <w:w w:val="95"/>
                </w:rPr>
                <w:t>License Agreement, dated June 20, 2012, by and between Technion Research and Development Foundation, and Microbot Medical Ltd.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(incorporated by reference to the Company’s Annual Report on Form 10-K for the fiscal year ended December 31, 2016 and filed on March 21,</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43">
              <w:r>
                <w:rPr>
                  <w:rFonts w:ascii="Arial" w:cs="Arial" w:eastAsia="Arial" w:hAnsi="Arial"/>
                  <w:sz w:val="18"/>
                  <w:szCs w:val="18"/>
                  <w:color w:val="0000EE"/>
                  <w:w w:val="86"/>
                </w:rPr>
                <w:t>2017).</w:t>
              </w:r>
            </w:hyperlink>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Microbot Medical Inc. 2017 Equity Incentive Plan (incorporated by reference to the Company’s Quarterly Report on Form 10-Q for the Quarter</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ended September 30, 2017, filed on November 14, 2017).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Letter Agreement, by and between the Company and Martin McGlynn, dated January 10, 2016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Quarterly Report on Form 10-Q for the Quarter ended March 31, 2016, filed on May 10, 2016).</w:t>
              </w:r>
            </w:hyperlink>
          </w:p>
        </w:tc>
        <w:tc>
          <w:tcPr>
            <w:tcW w:w="3500" w:type="dxa"/>
            <w:vAlign w:val="bottom"/>
            <w:gridSpan w:val="8"/>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Severance Buy-Out Agreement, Compromise and Release, by and between StemCells, Inc. and Ken Stratton, dated June 6, 2016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by reference to the Company’s Quarterly Report on Form 10-Q for the Quarter ended June 30, 2016, filed on August 15, 2016).</w:t>
              </w:r>
            </w:hyperlink>
          </w:p>
        </w:tc>
        <w:tc>
          <w:tcPr>
            <w:tcW w:w="1200" w:type="dxa"/>
            <w:vAlign w:val="bottom"/>
            <w:gridSpan w:val="3"/>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5"/>
              </w:rPr>
            </w:pPr>
            <w:hyperlink r:id="rId147">
              <w:r>
                <w:rPr>
                  <w:rFonts w:ascii="Arial" w:cs="Arial" w:eastAsia="Arial" w:hAnsi="Arial"/>
                  <w:sz w:val="18"/>
                  <w:szCs w:val="18"/>
                  <w:color w:val="0000EE"/>
                  <w:w w:val="95"/>
                </w:rPr>
                <w:t>Severance Buy-Out Agreement, Compromise and Release, by and between StemCells, Inc. and Gregory Schiffman, dated June 6, 2016</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(incorporated by reference to the Company’s Quarterly Report on Form 10-Q for the Quarter ended June 30, 2016, filed on August 15, 2016).</w:t>
              </w:r>
            </w:hyperlink>
          </w:p>
        </w:tc>
        <w:tc>
          <w:tcPr>
            <w:tcW w:w="180" w:type="dxa"/>
            <w:vAlign w:val="bottom"/>
            <w:gridSpan w:val="2"/>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Severance Buy-Out Agreement, Compromise and Release, by and between StemCells, Inc. and Ian Massey, dated June 6, 2016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by reference to the Company’s Quarterly Report on Form 10-Q for the Quarter ended June 30, 2016, filed on August 15, 2016).</w:t>
              </w:r>
            </w:hyperlink>
          </w:p>
        </w:tc>
        <w:tc>
          <w:tcPr>
            <w:tcW w:w="1200" w:type="dxa"/>
            <w:vAlign w:val="bottom"/>
            <w:gridSpan w:val="3"/>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Cooperation and Consulting Agreement, by and between StemCells, Inc. and Ken Stratton, dated June 6, 2016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Company’s 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Cooperation and Consulting Agreement, by and between StemCells, Inc. and Gregory Schiffman, dated June 6, 2016 (incorporated by reference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to the Company’s Quarterly Report on Form 10-Q for the Quarter ended June 30, 2016, filed on August 15, 2016).</w:t>
              </w:r>
            </w:hyperlink>
          </w:p>
        </w:tc>
        <w:tc>
          <w:tcPr>
            <w:tcW w:w="2140" w:type="dxa"/>
            <w:vAlign w:val="bottom"/>
            <w:gridSpan w:val="4"/>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Cooperation and Consulting Agreement, by and between StemCells, Inc. and Ian Massey, dated June 6, 2016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Company’s 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3"/>
              </w:rPr>
            </w:pPr>
            <w:hyperlink r:id="rId152">
              <w:r>
                <w:rPr>
                  <w:rFonts w:ascii="Arial" w:cs="Arial" w:eastAsia="Arial" w:hAnsi="Arial"/>
                  <w:sz w:val="18"/>
                  <w:szCs w:val="18"/>
                  <w:color w:val="0000EE"/>
                  <w:w w:val="93"/>
                </w:rPr>
                <w:t>Trust Agreement, by and between StemCells, Inc. and David A. Bradlow, dated June 16, 2016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4"/>
              </w:rPr>
            </w:pPr>
            <w:hyperlink r:id="rId153">
              <w:r>
                <w:rPr>
                  <w:rFonts w:ascii="Arial" w:cs="Arial" w:eastAsia="Arial" w:hAnsi="Arial"/>
                  <w:sz w:val="18"/>
                  <w:szCs w:val="18"/>
                  <w:color w:val="0000EE"/>
                  <w:w w:val="94"/>
                </w:rPr>
                <w:t>Securities Exchange Agreement, dated May 10, 2017, by and between the Company and Capital Anstalt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Company’s Current Report on Form 8-K filed on January 8, 2018).</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10380" w:type="dxa"/>
            <w:vAlign w:val="bottom"/>
            <w:gridSpan w:val="20"/>
          </w:tcPr>
          <w:p>
            <w:pPr>
              <w:spacing w:after="0"/>
              <w:rPr>
                <w:rFonts w:ascii="Arial" w:cs="Arial" w:eastAsia="Arial" w:hAnsi="Arial"/>
                <w:sz w:val="18"/>
                <w:szCs w:val="18"/>
                <w:color w:val="0000EE"/>
                <w:w w:val="93"/>
              </w:rPr>
            </w:pPr>
            <w:hyperlink r:id="rId154">
              <w:r>
                <w:rPr>
                  <w:rFonts w:ascii="Arial" w:cs="Arial" w:eastAsia="Arial" w:hAnsi="Arial"/>
                  <w:sz w:val="18"/>
                  <w:szCs w:val="18"/>
                  <w:color w:val="0000EE"/>
                  <w:w w:val="93"/>
                </w:rPr>
                <w:t>Asset Purchase Agreement, dated July 13, 2016, by and between StemCells, Inc. and Miltenyi Biotec, Inc.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Company’s Current Report on Form 8-K filed on August 15, 2016).</w:t>
              </w:r>
            </w:hyperlink>
          </w:p>
        </w:tc>
        <w:tc>
          <w:tcPr>
            <w:tcW w:w="54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4"/>
              </w:rPr>
            </w:pPr>
            <w:hyperlink r:id="rId155">
              <w:r>
                <w:rPr>
                  <w:rFonts w:ascii="Arial" w:cs="Arial" w:eastAsia="Arial" w:hAnsi="Arial"/>
                  <w:sz w:val="18"/>
                  <w:szCs w:val="18"/>
                  <w:color w:val="0000EE"/>
                  <w:w w:val="94"/>
                </w:rPr>
                <w:t>Settlement Agreement, dated as of July 29, 2016, by and between BMR-Pacific Research Center LP and StemCells, Inc. (incorporated by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reference to the Company’s Current Report on Form 8-K filed on August 15, 2016).</w:t>
              </w:r>
            </w:hyperlink>
          </w:p>
        </w:tc>
        <w:tc>
          <w:tcPr>
            <w:tcW w:w="4340" w:type="dxa"/>
            <w:vAlign w:val="bottom"/>
            <w:gridSpan w:val="9"/>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3"/>
              </w:rPr>
            </w:pPr>
            <w:hyperlink r:id="rId156">
              <w:r>
                <w:rPr>
                  <w:rFonts w:ascii="Arial" w:cs="Arial" w:eastAsia="Arial" w:hAnsi="Arial"/>
                  <w:sz w:val="18"/>
                  <w:szCs w:val="18"/>
                  <w:color w:val="0000EE"/>
                  <w:w w:val="93"/>
                </w:rPr>
                <w:t>Agreement, dated January 4, 2018, by and between CardioSert Ltd. and Microbot Medical Ltd.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Current Report on Form 8-K filed on January 8, 2018).</w:t>
              </w:r>
            </w:hyperlink>
          </w:p>
        </w:tc>
        <w:tc>
          <w:tcPr>
            <w:tcW w:w="6420" w:type="dxa"/>
            <w:vAlign w:val="bottom"/>
            <w:gridSpan w:val="14"/>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9"/>
              </w:rPr>
              <w:t>10.29^</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Tolling and Standstill Agreement, dated as of April 2, 2018, by and among (a) Schulte Roth &amp; Zabel LLP, on behalf of Empery Asset Master,</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r:id="rId157">
              <w:r>
                <w:rPr>
                  <w:rFonts w:ascii="Arial" w:cs="Arial" w:eastAsia="Arial" w:hAnsi="Arial"/>
                  <w:sz w:val="18"/>
                  <w:szCs w:val="18"/>
                  <w:color w:val="0000EE"/>
                  <w:w w:val="95"/>
                </w:rPr>
                <w:t>Ltd., Empery Tax Efficient LP, Empery Tax Efficient II LP, and Hudson Bay Master Fund, Ltd. and (b) Mintz, Levin, Cohn, Ferris, Glovsky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57">
              <w:r>
                <w:rPr>
                  <w:rFonts w:ascii="Arial" w:cs="Arial" w:eastAsia="Arial" w:hAnsi="Arial"/>
                  <w:sz w:val="18"/>
                  <w:szCs w:val="18"/>
                  <w:color w:val="0000EE"/>
                  <w:w w:val="88"/>
                </w:rPr>
                <w:t>and Popeo, P.C., on behalf of the Company.</w:t>
              </w:r>
            </w:hyperlink>
          </w:p>
        </w:tc>
        <w:tc>
          <w:tcPr>
            <w:tcW w:w="7240" w:type="dxa"/>
            <w:vAlign w:val="bottom"/>
            <w:gridSpan w:val="15"/>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Subsidiaries of the Company (incorporated by reference to the Company’s Annual Report on Form 10-K for the fiscal year ended December 31,</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2016 and filed on March 21, 2017).</w:t>
              </w:r>
            </w:hyperlink>
          </w:p>
        </w:tc>
        <w:tc>
          <w:tcPr>
            <w:tcW w:w="7820" w:type="dxa"/>
            <w:vAlign w:val="bottom"/>
            <w:gridSpan w:val="16"/>
          </w:tcPr>
          <w:p>
            <w:pPr>
              <w:spacing w:after="0"/>
              <w:rPr>
                <w:sz w:val="17"/>
                <w:szCs w:val="17"/>
                <w:color w:val="auto"/>
              </w:rPr>
            </w:pPr>
          </w:p>
        </w:tc>
      </w:tr>
      <w:tr>
        <w:trPr>
          <w:trHeight w:val="453"/>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23.1 †</w:t>
            </w:r>
          </w:p>
        </w:tc>
        <w:tc>
          <w:tcPr>
            <w:tcW w:w="10380" w:type="dxa"/>
            <w:vAlign w:val="bottom"/>
            <w:gridSpan w:val="20"/>
          </w:tcPr>
          <w:p>
            <w:pPr>
              <w:spacing w:after="0"/>
              <w:rPr>
                <w:sz w:val="20"/>
                <w:szCs w:val="20"/>
                <w:color w:val="auto"/>
              </w:rPr>
            </w:pPr>
            <w:r>
              <w:rPr>
                <w:rFonts w:ascii="Arial" w:cs="Arial" w:eastAsia="Arial" w:hAnsi="Arial"/>
                <w:sz w:val="18"/>
                <w:szCs w:val="18"/>
                <w:color w:val="auto"/>
              </w:rPr>
              <w:t>Consent of Mintz, Levin, Cohn, Ferris, Glovsky and Popeo, P.C. Reference is made to Exhibit 5.1.</w:t>
            </w:r>
          </w:p>
        </w:tc>
      </w:tr>
      <w:tr>
        <w:trPr>
          <w:trHeight w:val="392"/>
        </w:trPr>
        <w:tc>
          <w:tcPr>
            <w:tcW w:w="920" w:type="dxa"/>
            <w:vAlign w:val="bottom"/>
          </w:tcPr>
          <w:p>
            <w:pPr>
              <w:jc w:val="center"/>
              <w:spacing w:after="0"/>
              <w:rPr>
                <w:sz w:val="20"/>
                <w:szCs w:val="20"/>
                <w:color w:val="auto"/>
              </w:rPr>
            </w:pPr>
            <w:r>
              <w:rPr>
                <w:rFonts w:ascii="Arial" w:cs="Arial" w:eastAsia="Arial" w:hAnsi="Arial"/>
                <w:sz w:val="18"/>
                <w:szCs w:val="18"/>
                <w:color w:val="auto"/>
                <w:w w:val="93"/>
              </w:rPr>
              <w:t>23.2 *</w:t>
            </w:r>
          </w:p>
        </w:tc>
        <w:tc>
          <w:tcPr>
            <w:tcW w:w="120" w:type="dxa"/>
            <w:vAlign w:val="bottom"/>
          </w:tcPr>
          <w:p>
            <w:pPr>
              <w:spacing w:after="0"/>
              <w:rPr>
                <w:sz w:val="24"/>
                <w:szCs w:val="24"/>
                <w:color w:val="auto"/>
              </w:rPr>
            </w:pPr>
          </w:p>
        </w:tc>
        <w:tc>
          <w:tcPr>
            <w:tcW w:w="43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6020" w:type="dxa"/>
            <w:vAlign w:val="bottom"/>
            <w:gridSpan w:val="12"/>
          </w:tcPr>
          <w:p>
            <w:pPr>
              <w:spacing w:after="0"/>
              <w:rPr>
                <w:sz w:val="24"/>
                <w:szCs w:val="24"/>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20" w:type="dxa"/>
            <w:vAlign w:val="bottom"/>
          </w:tcPr>
          <w:p>
            <w:pPr>
              <w:spacing w:after="0"/>
              <w:rPr>
                <w:sz w:val="24"/>
                <w:szCs w:val="24"/>
                <w:color w:val="auto"/>
              </w:rPr>
            </w:pPr>
          </w:p>
        </w:tc>
        <w:tc>
          <w:tcPr>
            <w:tcW w:w="10380" w:type="dxa"/>
            <w:vAlign w:val="bottom"/>
            <w:gridSpan w:val="20"/>
          </w:tcPr>
          <w:p>
            <w:pPr>
              <w:spacing w:after="0"/>
              <w:rPr>
                <w:rFonts w:ascii="Arial" w:cs="Arial" w:eastAsia="Arial" w:hAnsi="Arial"/>
                <w:sz w:val="18"/>
                <w:szCs w:val="18"/>
                <w:color w:val="0000EE"/>
              </w:rPr>
            </w:pPr>
            <w:hyperlink r:id="rId159">
              <w:r>
                <w:rPr>
                  <w:rFonts w:ascii="Arial" w:cs="Arial" w:eastAsia="Arial" w:hAnsi="Arial"/>
                  <w:sz w:val="18"/>
                  <w:szCs w:val="18"/>
                  <w:color w:val="0000EE"/>
                </w:rPr>
                <w:t>Power of Attorney.</w:t>
              </w:r>
            </w:hyperlink>
          </w:p>
        </w:tc>
      </w:tr>
      <w:tr>
        <w:trPr>
          <w:trHeight w:val="453"/>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13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w:t>
            </w:r>
          </w:p>
        </w:tc>
        <w:tc>
          <w:tcPr>
            <w:tcW w:w="9020" w:type="dxa"/>
            <w:vAlign w:val="bottom"/>
            <w:gridSpan w:val="18"/>
          </w:tcPr>
          <w:p>
            <w:pPr>
              <w:spacing w:after="0"/>
              <w:rPr>
                <w:sz w:val="24"/>
                <w:szCs w:val="24"/>
                <w:color w:val="auto"/>
              </w:rPr>
            </w:pP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101.SCH</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Calculation.</w:t>
            </w: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101.DEF</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Definition.</w:t>
            </w: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Labels.</w:t>
            </w: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w:t>
            </w:r>
          </w:p>
        </w:tc>
      </w:tr>
      <w:tr>
        <w:trPr>
          <w:trHeight w:val="250"/>
        </w:trPr>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ectPr>
          <w:pgSz w:w="11900" w:h="16838" w:orient="portrait"/>
          <w:cols w:equalWidth="0" w:num="1">
            <w:col w:w="11420"/>
          </w:cols>
          <w:pgMar w:left="240" w:top="661" w:right="239" w:bottom="0" w:gutter="0" w:footer="0" w:header="0"/>
        </w:sectPr>
      </w:pPr>
    </w:p>
    <w:bookmarkStart w:id="85" w:name="page86"/>
    <w:bookmarkEnd w:id="85"/>
    <w:p>
      <w:pPr>
        <w:ind w:left="622" w:hanging="622"/>
        <w:spacing w:after="0"/>
        <w:tabs>
          <w:tab w:leader="none" w:pos="622"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rFonts w:ascii="Arial" w:cs="Arial" w:eastAsia="Arial" w:hAnsi="Arial"/>
          <w:sz w:val="18"/>
          <w:szCs w:val="18"/>
          <w:color w:val="auto"/>
        </w:rPr>
      </w:pPr>
    </w:p>
    <w:p>
      <w:pPr>
        <w:ind w:left="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ind w:left="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by amendment.</w:t>
      </w:r>
    </w:p>
    <w:p>
      <w:pPr>
        <w:spacing w:after="0" w:line="21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14605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01"/>
          </w:cols>
          <w:pgMar w:left="658" w:top="125" w:right="1440"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No.1 to registration statement on Form S-1 to be signed on its behalf by the undersigned, thereunto duly authorized in the City of Hingham, Commonwealth of Massachusetts, on December 28 , 2018.</w:t>
      </w:r>
    </w:p>
    <w:p>
      <w:pPr>
        <w:spacing w:after="0" w:line="1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3"/>
              </w:rPr>
              <w:t>Name</w:t>
            </w:r>
          </w:p>
        </w:tc>
        <w:tc>
          <w:tcPr>
            <w:tcW w:w="240" w:type="dxa"/>
            <w:vAlign w:val="bottom"/>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i w:val="1"/>
                <w:iCs w:val="1"/>
                <w:color w:val="auto"/>
                <w:w w:val="92"/>
              </w:rPr>
              <w:t>/s/ Harel Gadot</w:t>
            </w:r>
          </w:p>
        </w:tc>
        <w:tc>
          <w:tcPr>
            <w:tcW w:w="240" w:type="dxa"/>
            <w:vAlign w:val="bottom"/>
          </w:tcPr>
          <w:p>
            <w:pPr>
              <w:spacing w:after="0"/>
              <w:rPr>
                <w:sz w:val="19"/>
                <w:szCs w:val="19"/>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Chairman, President and Chief Executive Officer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28 , 2018</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2640" w:type="dxa"/>
            <w:vAlign w:val="bottom"/>
          </w:tcPr>
          <w:p>
            <w:pPr>
              <w:jc w:val="center"/>
              <w:ind w:right="350"/>
              <w:spacing w:after="0" w:line="189" w:lineRule="exact"/>
              <w:rPr>
                <w:sz w:val="20"/>
                <w:szCs w:val="20"/>
                <w:color w:val="auto"/>
              </w:rPr>
            </w:pPr>
            <w:r>
              <w:rPr>
                <w:rFonts w:ascii="Arial" w:cs="Arial" w:eastAsia="Arial" w:hAnsi="Arial"/>
                <w:sz w:val="18"/>
                <w:szCs w:val="18"/>
                <w:color w:val="auto"/>
                <w:w w:val="90"/>
              </w:rPr>
              <w:t>Harel Gadot</w:t>
            </w:r>
          </w:p>
        </w:tc>
        <w:tc>
          <w:tcPr>
            <w:tcW w:w="240" w:type="dxa"/>
            <w:vAlign w:val="bottom"/>
          </w:tcPr>
          <w:p>
            <w:pPr>
              <w:spacing w:after="0"/>
              <w:rPr>
                <w:sz w:val="16"/>
                <w:szCs w:val="16"/>
                <w:color w:val="auto"/>
              </w:rPr>
            </w:pPr>
          </w:p>
        </w:tc>
        <w:tc>
          <w:tcPr>
            <w:tcW w:w="5920" w:type="dxa"/>
            <w:vAlign w:val="bottom"/>
            <w:gridSpan w:val="3"/>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i w:val="1"/>
                <w:iCs w:val="1"/>
                <w:color w:val="auto"/>
                <w:w w:val="92"/>
              </w:rPr>
              <w:t>/s/ David Ben Naim</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Chief Financial Officer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28 , 2018</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2640" w:type="dxa"/>
            <w:vAlign w:val="bottom"/>
          </w:tcPr>
          <w:p>
            <w:pPr>
              <w:jc w:val="center"/>
              <w:ind w:right="370"/>
              <w:spacing w:after="0" w:line="189" w:lineRule="exact"/>
              <w:rPr>
                <w:sz w:val="20"/>
                <w:szCs w:val="20"/>
                <w:color w:val="auto"/>
              </w:rPr>
            </w:pPr>
            <w:r>
              <w:rPr>
                <w:rFonts w:ascii="Arial" w:cs="Arial" w:eastAsia="Arial" w:hAnsi="Arial"/>
                <w:sz w:val="18"/>
                <w:szCs w:val="18"/>
                <w:color w:val="auto"/>
                <w:w w:val="93"/>
              </w:rPr>
              <w:t>David Ben Naim</w:t>
            </w:r>
          </w:p>
        </w:tc>
        <w:tc>
          <w:tcPr>
            <w:tcW w:w="240" w:type="dxa"/>
            <w:vAlign w:val="bottom"/>
          </w:tcPr>
          <w:p>
            <w:pPr>
              <w:spacing w:after="0"/>
              <w:rPr>
                <w:sz w:val="16"/>
                <w:szCs w:val="16"/>
                <w:color w:val="auto"/>
              </w:rPr>
            </w:pPr>
          </w:p>
        </w:tc>
        <w:tc>
          <w:tcPr>
            <w:tcW w:w="5920" w:type="dxa"/>
            <w:vAlign w:val="bottom"/>
            <w:gridSpan w:val="3"/>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i w:val="1"/>
                <w:iCs w:val="1"/>
                <w:color w:val="auto"/>
                <w:w w:val="90"/>
              </w:rPr>
              <w:t>/s/ Yehezkel (Hezi) Himelfarb</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Chief Operating Officer, General Manager and 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28,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3"/>
              </w:rPr>
              <w:t>Yehezkel (Hezi) Himelfarb</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28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0"/>
              </w:rPr>
              <w:t>Yoav Waizer</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28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0"/>
              </w:rPr>
              <w:t>Yoseph Bornstein</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28,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70"/>
              <w:spacing w:after="0"/>
              <w:rPr>
                <w:sz w:val="20"/>
                <w:szCs w:val="20"/>
                <w:color w:val="auto"/>
              </w:rPr>
            </w:pPr>
            <w:r>
              <w:rPr>
                <w:rFonts w:ascii="Arial" w:cs="Arial" w:eastAsia="Arial" w:hAnsi="Arial"/>
                <w:sz w:val="18"/>
                <w:szCs w:val="18"/>
                <w:color w:val="auto"/>
                <w:w w:val="93"/>
              </w:rPr>
              <w:t>Pratipatti Laxminarain</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28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70"/>
              <w:spacing w:after="0"/>
              <w:rPr>
                <w:sz w:val="20"/>
                <w:szCs w:val="20"/>
                <w:color w:val="auto"/>
              </w:rPr>
            </w:pPr>
            <w:r>
              <w:rPr>
                <w:rFonts w:ascii="Arial" w:cs="Arial" w:eastAsia="Arial" w:hAnsi="Arial"/>
                <w:sz w:val="18"/>
                <w:szCs w:val="18"/>
                <w:color w:val="auto"/>
                <w:w w:val="93"/>
              </w:rPr>
              <w:t>Scott Burell</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28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3"/>
              </w:rPr>
              <w:t>Martin Madden</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Yehezkel (Hezi) Himelfarb</w:t>
            </w:r>
          </w:p>
        </w:tc>
        <w:tc>
          <w:tcPr>
            <w:tcW w:w="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2640" w:type="dxa"/>
            <w:vAlign w:val="bottom"/>
            <w:tcBorders>
              <w:top w:val="single" w:sz="8" w:color="auto"/>
            </w:tcBorders>
          </w:tcPr>
          <w:p>
            <w:pPr>
              <w:spacing w:after="0" w:line="161" w:lineRule="exact"/>
              <w:rPr>
                <w:sz w:val="20"/>
                <w:szCs w:val="20"/>
                <w:color w:val="auto"/>
              </w:rPr>
            </w:pPr>
            <w:r>
              <w:rPr>
                <w:rFonts w:ascii="Arial" w:cs="Arial" w:eastAsia="Arial" w:hAnsi="Arial"/>
                <w:sz w:val="18"/>
                <w:szCs w:val="18"/>
                <w:color w:val="auto"/>
              </w:rPr>
              <w:t>Yehezkel (Hezi) Himelfarb</w:t>
            </w:r>
          </w:p>
        </w:tc>
        <w:tc>
          <w:tcPr>
            <w:tcW w:w="24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i w:val="1"/>
                <w:iCs w:val="1"/>
                <w:color w:val="auto"/>
              </w:rPr>
              <w:t>Attorney-in-fact</w:t>
            </w:r>
          </w:p>
        </w:tc>
        <w:tc>
          <w:tcPr>
            <w:tcW w:w="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87" w:name="page88"/>
    <w:bookmarkEnd w:id="8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use in this Amendment No. 3 to Registration Statement No. 333-228285 on Form S-1/A of our report dated April 2, 2018, except Note 1D, as to which the date is November 8, 2018, relating to the consolidated financial statements of Microbot Medical, Inc. as of December 31, 2017 and 2016 and for each of the years then ended, appearing in the Prospectus, which is a part of this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Public Accountants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 of Deloitte Touche Tohmatsu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28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lowerLetter"/>
      <w:start w:val="1"/>
    </w:lvl>
  </w:abstractNum>
  <w:abstractNum w:abstractNumId="20">
    <w:nsid w:val="7A6D8D3C"/>
    <w:multiLevelType w:val="hybridMultilevel"/>
    <w:lvl w:ilvl="0">
      <w:lvlJc w:val="left"/>
      <w:lvlText w:val="(%1)"/>
      <w:numFmt w:val="lowerLetter"/>
      <w:start w:val="1"/>
    </w:lvl>
  </w:abstractNum>
  <w:abstractNum w:abstractNumId="21">
    <w:nsid w:val="4B588F54"/>
    <w:multiLevelType w:val="hybridMultilevel"/>
    <w:lvl w:ilvl="0">
      <w:lvlJc w:val="left"/>
      <w:lvlText w:val="(%1)"/>
      <w:numFmt w:val="lowerLetter"/>
      <w:start w:val="1"/>
    </w:lvl>
  </w:abstractNum>
  <w:abstractNum w:abstractNumId="22">
    <w:nsid w:val="542289EC"/>
    <w:multiLevelType w:val="hybridMultilevel"/>
    <w:lvl w:ilvl="0">
      <w:lvlJc w:val="left"/>
      <w:lvlText w:val="(%1)"/>
      <w:numFmt w:val="lowerLetter"/>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upperLetter"/>
      <w:start w:val="1"/>
    </w:lvl>
  </w:abstractNum>
  <w:abstractNum w:abstractNumId="28">
    <w:nsid w:val="579478FE"/>
    <w:multiLevelType w:val="hybridMultilevel"/>
    <w:lvl w:ilvl="0">
      <w:lvlJc w:val="left"/>
      <w:lvlText w:val="%1."/>
      <w:numFmt w:val="upperLetter"/>
      <w:start w:val="2"/>
    </w:lvl>
  </w:abstractNum>
  <w:abstractNum w:abstractNumId="29">
    <w:nsid w:val="749ABB43"/>
    <w:multiLevelType w:val="hybridMultilevel"/>
    <w:lvl w:ilvl="0">
      <w:lvlJc w:val="left"/>
      <w:lvlText w:val="%1."/>
      <w:numFmt w:val="upperLetter"/>
      <w:start w:val="3"/>
    </w:lvl>
  </w:abstractNum>
  <w:abstractNum w:abstractNumId="30">
    <w:nsid w:val="3DC240FB"/>
    <w:multiLevelType w:val="hybridMultilevel"/>
    <w:lvl w:ilvl="0">
      <w:lvlJc w:val="left"/>
      <w:lvlText w:val="%1."/>
      <w:numFmt w:val="upperLetter"/>
      <w:start w:val="4"/>
    </w:lvl>
  </w:abstractNum>
  <w:abstractNum w:abstractNumId="31">
    <w:nsid w:val="1BA026FA"/>
    <w:multiLevelType w:val="hybridMultilevel"/>
    <w:lvl w:ilvl="0">
      <w:lvlJc w:val="left"/>
      <w:lvlText w:val="%1."/>
      <w:numFmt w:val="upperLetter"/>
      <w:start w:val="1"/>
    </w:lvl>
  </w:abstractNum>
  <w:abstractNum w:abstractNumId="32">
    <w:nsid w:val="79A1DEAA"/>
    <w:multiLevelType w:val="hybridMultilevel"/>
    <w:lvl w:ilvl="0">
      <w:lvlJc w:val="left"/>
      <w:lvlText w:val="%1."/>
      <w:numFmt w:val="upperLetter"/>
      <w:start w:val="2"/>
    </w:lvl>
  </w:abstractNum>
  <w:abstractNum w:abstractNumId="33">
    <w:nsid w:val="75C6C33A"/>
    <w:multiLevelType w:val="hybridMultilevel"/>
    <w:lvl w:ilvl="0">
      <w:lvlJc w:val="left"/>
      <w:lvlText w:val="%1."/>
      <w:numFmt w:val="upperLetter"/>
      <w:start w:val="3"/>
    </w:lvl>
  </w:abstractNum>
  <w:abstractNum w:abstractNumId="34">
    <w:nsid w:val="12E685FB"/>
    <w:multiLevelType w:val="hybridMultilevel"/>
    <w:lvl w:ilvl="0">
      <w:lvlJc w:val="left"/>
      <w:lvlText w:val="%1."/>
      <w:numFmt w:val="upperLetter"/>
      <w:start w:val="4"/>
    </w:lvl>
  </w:abstractNum>
  <w:abstractNum w:abstractNumId="35">
    <w:nsid w:val="70C6A529"/>
    <w:multiLevelType w:val="hybridMultilevel"/>
    <w:lvl w:ilvl="0">
      <w:lvlJc w:val="left"/>
      <w:lvlText w:val="%1."/>
      <w:numFmt w:val="upperLetter"/>
      <w:start w:val="5"/>
    </w:lvl>
  </w:abstractNum>
  <w:abstractNum w:abstractNumId="36">
    <w:nsid w:val="520EEDD1"/>
    <w:multiLevelType w:val="hybridMultilevel"/>
    <w:lvl w:ilvl="0">
      <w:lvlJc w:val="left"/>
      <w:lvlText w:val="%1."/>
      <w:numFmt w:val="upperLetter"/>
      <w:start w:val="6"/>
    </w:lvl>
  </w:abstractNum>
  <w:abstractNum w:abstractNumId="37">
    <w:nsid w:val="374A3FE6"/>
    <w:multiLevelType w:val="hybridMultilevel"/>
    <w:lvl w:ilvl="0">
      <w:lvlJc w:val="left"/>
      <w:lvlText w:val="%1."/>
      <w:numFmt w:val="upperLetter"/>
      <w:start w:val="7"/>
    </w:lvl>
  </w:abstractNum>
  <w:abstractNum w:abstractNumId="38">
    <w:nsid w:val="4F4EF005"/>
    <w:multiLevelType w:val="hybridMultilevel"/>
    <w:lvl w:ilvl="0">
      <w:lvlJc w:val="left"/>
      <w:lvlText w:val="%1."/>
      <w:numFmt w:val="upperLetter"/>
      <w:start w:val="8"/>
    </w:lvl>
  </w:abstractNum>
  <w:abstractNum w:abstractNumId="39">
    <w:nsid w:val="23F9C13C"/>
    <w:multiLevelType w:val="hybridMultilevel"/>
    <w:lvl w:ilvl="0">
      <w:lvlJc w:val="left"/>
      <w:lvlText w:val="%1."/>
      <w:numFmt w:val="upperLetter"/>
      <w:start w:val="9"/>
    </w:lvl>
  </w:abstractNum>
  <w:abstractNum w:abstractNumId="40">
    <w:nsid w:val="649BB77C"/>
    <w:multiLevelType w:val="hybridMultilevel"/>
    <w:lvl w:ilvl="0">
      <w:lvlJc w:val="left"/>
      <w:lvlText w:val="%1."/>
      <w:numFmt w:val="upperLetter"/>
      <w:start w:val="10"/>
    </w:lvl>
  </w:abstractNum>
  <w:abstractNum w:abstractNumId="41">
    <w:nsid w:val="275AC794"/>
    <w:multiLevelType w:val="hybridMultilevel"/>
    <w:lvl w:ilvl="0">
      <w:lvlJc w:val="left"/>
      <w:lvlText w:val="%1."/>
      <w:numFmt w:val="upperLetter"/>
      <w:start w:val="11"/>
    </w:lvl>
  </w:abstractNum>
  <w:abstractNum w:abstractNumId="42">
    <w:nsid w:val="39386575"/>
    <w:multiLevelType w:val="hybridMultilevel"/>
    <w:lvl w:ilvl="0">
      <w:lvlJc w:val="left"/>
      <w:lvlText w:val="%1."/>
      <w:numFmt w:val="upperLetter"/>
      <w:start w:val="12"/>
    </w:lvl>
  </w:abstractNum>
  <w:abstractNum w:abstractNumId="43">
    <w:nsid w:val="1CF10FD8"/>
    <w:multiLevelType w:val="hybridMultilevel"/>
    <w:lvl w:ilvl="0">
      <w:lvlJc w:val="left"/>
      <w:lvlText w:val="%1."/>
      <w:numFmt w:val="upperLetter"/>
      <w:start w:val="13"/>
    </w:lvl>
  </w:abstractNum>
  <w:abstractNum w:abstractNumId="44">
    <w:nsid w:val="180115BE"/>
    <w:multiLevelType w:val="hybridMultilevel"/>
    <w:lvl w:ilvl="0">
      <w:lvlJc w:val="left"/>
      <w:lvlText w:val="%1."/>
      <w:numFmt w:val="upperLetter"/>
      <w:start w:val="14"/>
    </w:lvl>
  </w:abstractNum>
  <w:abstractNum w:abstractNumId="45">
    <w:nsid w:val="235BA861"/>
    <w:multiLevelType w:val="hybridMultilevel"/>
    <w:lvl w:ilvl="0">
      <w:lvlJc w:val="left"/>
      <w:lvlText w:val="(%1)"/>
      <w:numFmt w:val="lowerRoman"/>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upperLetter"/>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1."/>
      <w:numFmt w:val="upperLetter"/>
      <w:start w:val="1"/>
    </w:lvl>
  </w:abstractNum>
  <w:abstractNum w:abstractNumId="61">
    <w:nsid w:val="1DBABF00"/>
    <w:multiLevelType w:val="hybridMultilevel"/>
    <w:lvl w:ilvl="0">
      <w:lvlJc w:val="left"/>
      <w:lvlText w:val="%1."/>
      <w:numFmt w:val="upperLetter"/>
      <w:start w:val="4"/>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1)"/>
      <w:numFmt w:val="decimal"/>
      <w:start w:val="1"/>
    </w:lvl>
    <w:lvl w:ilvl="1">
      <w:lvlJc w:val="left"/>
      <w:lvlText w:val="(%2)"/>
      <w:numFmt w:val="lowerRoman"/>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41"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20" Type="http://schemas.openxmlformats.org/officeDocument/2006/relationships/hyperlink" Target="http://www.sec.gov/Archives/edgar/data/883975/000119312516682077/d161430dex21.htm" TargetMode="External"/><Relationship Id="rId121" Type="http://schemas.openxmlformats.org/officeDocument/2006/relationships/hyperlink" Target="http://www.sec.gov/Archives/edgar/data/883975/000095013407005808/f27726exv3w1.htm" TargetMode="External"/><Relationship Id="rId122" Type="http://schemas.openxmlformats.org/officeDocument/2006/relationships/hyperlink" Target="http://www.sec.gov/Archives/edgar/data/883975/000119312516779597/d296933dex31.htm" TargetMode="External"/><Relationship Id="rId123" Type="http://schemas.openxmlformats.org/officeDocument/2006/relationships/hyperlink" Target="http://www.sec.gov/Archives/edgar/data/883975/000149315218012872/ex3-1.htm" TargetMode="External"/><Relationship Id="rId124" Type="http://schemas.openxmlformats.org/officeDocument/2006/relationships/hyperlink" Target="http://www.sec.gov/Archives/edgar/data/883975/000100944816000082/exhibit31.htm" TargetMode="External"/><Relationship Id="rId125" Type="http://schemas.openxmlformats.org/officeDocument/2006/relationships/hyperlink" Target="http://www.sec.gov/Archives/edgar/data/883975/000149315217005017/ex3-1.htm" TargetMode="External"/><Relationship Id="rId126" Type="http://schemas.openxmlformats.org/officeDocument/2006/relationships/hyperlink" Target="http://www.sec.gov/Archives/edgar/data/883975/000129993316002374/exhibit1.htm" TargetMode="External"/><Relationship Id="rId127" Type="http://schemas.openxmlformats.org/officeDocument/2006/relationships/hyperlink" Target="http://www.sec.gov/Archives/edgar/data/883975/000119312516501361/d68391dex41.htm" TargetMode="External"/><Relationship Id="rId128" Type="http://schemas.openxmlformats.org/officeDocument/2006/relationships/hyperlink" Target="http://www.sec.gov/Archives/edgar/data/883975/000119312516501361/d68391dex42.htm" TargetMode="External"/><Relationship Id="rId129" Type="http://schemas.openxmlformats.org/officeDocument/2006/relationships/hyperlink" Target="http://www.sec.gov/Archives/edgar/data/883975/000119312516779597/d296933dex101.htm" TargetMode="External"/><Relationship Id="rId130" Type="http://schemas.openxmlformats.org/officeDocument/2006/relationships/hyperlink" Target="http://www.sec.gov/Archives/edgar/data/883975/000119312516779597/d296933dex102.htm" TargetMode="External"/><Relationship Id="rId131" Type="http://schemas.openxmlformats.org/officeDocument/2006/relationships/hyperlink" Target="http://www.sec.gov/Archives/edgar/data/883975/000119312516779597/d296933dex103.htm" TargetMode="External"/><Relationship Id="rId132" Type="http://schemas.openxmlformats.org/officeDocument/2006/relationships/hyperlink" Target="http://www.sec.gov/Archives/edgar/data/883975/000119312516779597/d296933dex104.htm" TargetMode="External"/><Relationship Id="rId133" Type="http://schemas.openxmlformats.org/officeDocument/2006/relationships/hyperlink" Target="http://www.sec.gov/Archives/edgar/data/883975/000119312516779597/d296933dex105.htm" TargetMode="External"/><Relationship Id="rId134" Type="http://schemas.openxmlformats.org/officeDocument/2006/relationships/hyperlink" Target="http://www.sec.gov/Archives/edgar/data/883975/000119312516779597/d296933dex106.htm" TargetMode="External"/><Relationship Id="rId135" Type="http://schemas.openxmlformats.org/officeDocument/2006/relationships/hyperlink" Target="http://www.sec.gov/Archives/edgar/data/883975/000100944816000078/exhibit101.htm" TargetMode="External"/><Relationship Id="rId136" Type="http://schemas.openxmlformats.org/officeDocument/2006/relationships/hyperlink" Target="http://www.sec.gov/Archives/edgar/data/883975/000100944816000082/exhibit101.htm" TargetMode="External"/><Relationship Id="rId137" Type="http://schemas.openxmlformats.org/officeDocument/2006/relationships/hyperlink" Target="http://www.sec.gov/Archives/edgar/data/883975/000119312517003127/d288153dex101.htm" TargetMode="External"/><Relationship Id="rId138" Type="http://schemas.openxmlformats.org/officeDocument/2006/relationships/hyperlink" Target="http://www.sec.gov/Archives/edgar/data/883975/000119312517003127/d288153dex102.htm" TargetMode="External"/><Relationship Id="rId139" Type="http://schemas.openxmlformats.org/officeDocument/2006/relationships/hyperlink" Target="http://www.sec.gov/Archives/edgar/data/883975/000149315217002678/ex10-11.htm" TargetMode="External"/><Relationship Id="rId140" Type="http://schemas.openxmlformats.org/officeDocument/2006/relationships/hyperlink" Target="http://www.sec.gov/Archives/edgar/data/883975/000149315217002678/ex10-12.htm" TargetMode="External"/><Relationship Id="rId142" Type="http://schemas.openxmlformats.org/officeDocument/2006/relationships/hyperlink" Target="http://www.sec.gov/Archives/edgar/data/883975/000149315217002678/ex10-13.htm" TargetMode="External"/><Relationship Id="rId143" Type="http://schemas.openxmlformats.org/officeDocument/2006/relationships/hyperlink" Target="http://www.sec.gov/Archives/edgar/data/883975/000149315217002678/ex10-14.htm" TargetMode="External"/><Relationship Id="rId144" Type="http://schemas.openxmlformats.org/officeDocument/2006/relationships/hyperlink" Target="http://www.sec.gov/Archives/edgar/data/883975/000149315217013222/ex10-1.htm" TargetMode="External"/><Relationship Id="rId145" Type="http://schemas.openxmlformats.org/officeDocument/2006/relationships/hyperlink" Target="http://www.sec.gov/Archives/edgar/data/883975/000119312516585591/d184554dex101.htm" TargetMode="External"/><Relationship Id="rId146" Type="http://schemas.openxmlformats.org/officeDocument/2006/relationships/hyperlink" Target="http://www.sec.gov/Archives/edgar/data/883975/000119312516681927/d398404dex101.htm" TargetMode="External"/><Relationship Id="rId147" Type="http://schemas.openxmlformats.org/officeDocument/2006/relationships/hyperlink" Target="http://www.sec.gov/Archives/edgar/data/883975/000119312516681927/d398404dex102.htm" TargetMode="External"/><Relationship Id="rId148" Type="http://schemas.openxmlformats.org/officeDocument/2006/relationships/hyperlink" Target="http://www.sec.gov/Archives/edgar/data/883975/000119312516681927/d398404dex103.htm" TargetMode="External"/><Relationship Id="rId149" Type="http://schemas.openxmlformats.org/officeDocument/2006/relationships/hyperlink" Target="http://www.sec.gov/Archives/edgar/data/883975/000119312516681927/d398404dex104.htm" TargetMode="External"/><Relationship Id="rId150" Type="http://schemas.openxmlformats.org/officeDocument/2006/relationships/hyperlink" Target="http://www.sec.gov/Archives/edgar/data/883975/000119312516681927/d398404dex105.htm" TargetMode="External"/><Relationship Id="rId151" Type="http://schemas.openxmlformats.org/officeDocument/2006/relationships/hyperlink" Target="http://www.sec.gov/Archives/edgar/data/883975/000119312516681927/d398404dex106.htm" TargetMode="External"/><Relationship Id="rId152" Type="http://schemas.openxmlformats.org/officeDocument/2006/relationships/hyperlink" Target="http://www.sec.gov/Archives/edgar/data/883975/000119312516681927/d398404dex107.htm" TargetMode="External"/><Relationship Id="rId153" Type="http://schemas.openxmlformats.org/officeDocument/2006/relationships/hyperlink" Target="http://www.sec.gov/Archives/edgar/data/883975/000149315217005017/ex10-1.htm" TargetMode="External"/><Relationship Id="rId154" Type="http://schemas.openxmlformats.org/officeDocument/2006/relationships/hyperlink" Target="http://www.sec.gov/Archives/edgar/data/883975/000119312516682077/d161430dex104.htm" TargetMode="External"/><Relationship Id="rId155" Type="http://schemas.openxmlformats.org/officeDocument/2006/relationships/hyperlink" Target="http://www.sec.gov/Archives/edgar/data/883975/000119312516682077/d161430dex105.htm" TargetMode="External"/><Relationship Id="rId156" Type="http://schemas.openxmlformats.org/officeDocument/2006/relationships/hyperlink" Target="http://www.sec.gov/Archives/edgar/data/883975/000149315218000286/ex10-1.htm" TargetMode="External"/><Relationship Id="rId157" Type="http://schemas.openxmlformats.org/officeDocument/2006/relationships/hyperlink" Target="http://www.sec.gov/Archives/edgar/data/883975/000149315218016474/ex10-29.htm" TargetMode="External"/><Relationship Id="rId158" Type="http://schemas.openxmlformats.org/officeDocument/2006/relationships/hyperlink" Target="http://www.sec.gov/Archives/edgar/data/883975/000149315217002678/ex21-1.htm" TargetMode="External"/><Relationship Id="rId159" Type="http://schemas.openxmlformats.org/officeDocument/2006/relationships/hyperlink" Target="http://www.sec.gov/Archives/edgar/data/883975/000149315218015496/forms-1.htm#t_0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2019-12-05T22:55:44Z</dcterms:created>
  <dcterms:modified xsi:type="dcterms:W3CDTF">2019-12-05T22:55:44Z</dcterms:modified>
</cp:coreProperties>
</file>