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Cytotherapeutics</w:t>
      </w:r>
    </w:p>
    <w:p>
      <w:pPr>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232923102</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Filing Fee: Yes</w:t>
      </w: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 232923102</w:t>
      </w:r>
    </w:p>
    <w:p>
      <w:pPr>
        <w:sectPr>
          <w:pgSz w:w="11900" w:h="16838" w:orient="portrait"/>
          <w:cols w:equalWidth="0" w:num="1">
            <w:col w:w="10219"/>
          </w:cols>
          <w:pgMar w:left="240" w:top="649" w:right="1440" w:bottom="0" w:gutter="0" w:footer="0" w:header="0"/>
        </w:sectPr>
      </w:pPr>
    </w:p>
    <w:p>
      <w:pPr>
        <w:spacing w:after="0" w:line="16"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FMR Corp. - (Tax ID:</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Commonwealth of Massachusetts</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6,500</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800,730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800,730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7.71%</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HC</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7" w:lineRule="exact"/>
        <w:rPr>
          <w:sz w:val="24"/>
          <w:szCs w:val="24"/>
          <w:color w:val="auto"/>
        </w:rPr>
      </w:pPr>
    </w:p>
    <w:p>
      <w:pPr>
        <w:sectPr>
          <w:pgSz w:w="11900" w:h="16838" w:orient="portrait"/>
          <w:cols w:equalWidth="0" w:num="2">
            <w:col w:w="5160" w:space="220"/>
            <w:col w:w="4839"/>
          </w:cols>
          <w:pgMar w:left="240" w:top="649"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232923102</w:t>
      </w: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Reporting Person - Edward C. Johnson 3d - (Tax ID:</w:t>
      </w:r>
    </w:p>
    <w:p>
      <w:pPr>
        <w:spacing w:after="0"/>
        <w:rPr>
          <w:sz w:val="20"/>
          <w:szCs w:val="20"/>
          <w:color w:val="auto"/>
        </w:rPr>
      </w:pPr>
      <w:r>
        <w:rPr>
          <w:rFonts w:ascii="Courier New" w:cs="Courier New" w:eastAsia="Courier New" w:hAnsi="Courier New"/>
          <w:sz w:val="18"/>
          <w:szCs w:val="18"/>
          <w:color w:val="auto"/>
        </w:rPr>
        <w:t>###-##-####)</w:t>
      </w: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United States of America</w:t>
      </w: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800,730</w:t>
      </w: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None</w:t>
      </w: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800,730</w:t>
      </w:r>
    </w:p>
    <w:p>
      <w:pPr>
        <w:spacing w:after="0"/>
        <w:tabs>
          <w:tab w:leader="none" w:pos="104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7.71%</w:t>
      </w:r>
    </w:p>
    <w:p>
      <w:pPr>
        <w:spacing w:after="0" w:line="237" w:lineRule="auto"/>
        <w:tabs>
          <w:tab w:leader="none" w:pos="1040" w:val="left"/>
        </w:tabs>
        <w:rPr>
          <w:sz w:val="20"/>
          <w:szCs w:val="20"/>
          <w:color w:val="auto"/>
        </w:rPr>
      </w:pPr>
      <w:r>
        <w:rPr>
          <w:rFonts w:ascii="Courier New" w:cs="Courier New" w:eastAsia="Courier New" w:hAnsi="Courier New"/>
          <w:sz w:val="18"/>
          <w:szCs w:val="18"/>
          <w:color w:val="auto"/>
        </w:rPr>
        <w:t>Item 12:</w:t>
        <w:tab/>
        <w:t>IN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Cytotherapeutics</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 Richmond Square</w:t>
      </w:r>
    </w:p>
    <w:p>
      <w:pPr>
        <w:ind w:left="960"/>
        <w:spacing w:after="0"/>
        <w:tabs>
          <w:tab w:leader="none" w:pos="2620" w:val="left"/>
        </w:tabs>
        <w:rPr>
          <w:sz w:val="20"/>
          <w:szCs w:val="20"/>
          <w:color w:val="auto"/>
        </w:rPr>
      </w:pPr>
      <w:r>
        <w:rPr>
          <w:rFonts w:ascii="Courier New" w:cs="Courier New" w:eastAsia="Courier New" w:hAnsi="Courier New"/>
          <w:sz w:val="18"/>
          <w:szCs w:val="18"/>
          <w:color w:val="auto"/>
        </w:rPr>
        <w:t>Providence, RI</w:t>
      </w:r>
      <w:r>
        <w:rPr>
          <w:sz w:val="20"/>
          <w:szCs w:val="20"/>
          <w:color w:val="auto"/>
        </w:rPr>
        <w:tab/>
      </w:r>
      <w:r>
        <w:rPr>
          <w:rFonts w:ascii="Courier New" w:cs="Courier New" w:eastAsia="Courier New" w:hAnsi="Courier New"/>
          <w:sz w:val="16"/>
          <w:szCs w:val="16"/>
          <w:color w:val="auto"/>
        </w:rPr>
        <w:t>02906</w:t>
      </w:r>
    </w:p>
    <w:p>
      <w:pPr>
        <w:spacing w:after="0" w:line="202"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FMR Corp.</w:t>
      </w:r>
    </w:p>
    <w:p>
      <w:pPr>
        <w:spacing w:after="0" w:line="207" w:lineRule="exact"/>
        <w:rPr>
          <w:sz w:val="24"/>
          <w:szCs w:val="24"/>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960"/>
        <w:spacing w:after="0"/>
        <w:tabs>
          <w:tab w:leader="none" w:pos="568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232923102</w:t>
      </w:r>
    </w:p>
    <w:p>
      <w:pPr>
        <w:spacing w:after="0" w:line="207"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w:t>
      </w:r>
    </w:p>
    <w:p>
      <w:pPr>
        <w:spacing w:after="0" w:line="6" w:lineRule="exact"/>
        <w:rPr>
          <w:sz w:val="24"/>
          <w:szCs w:val="24"/>
          <w:color w:val="auto"/>
        </w:rPr>
      </w:pPr>
    </w:p>
    <w:p>
      <w:pPr>
        <w:ind w:right="4839"/>
        <w:spacing w:after="0" w:line="235" w:lineRule="auto"/>
        <w:rPr>
          <w:sz w:val="20"/>
          <w:szCs w:val="20"/>
          <w:color w:val="auto"/>
        </w:rPr>
      </w:pPr>
      <w:r>
        <w:rPr>
          <w:rFonts w:ascii="Courier New" w:cs="Courier New" w:eastAsia="Courier New" w:hAnsi="Courier New"/>
          <w:sz w:val="18"/>
          <w:szCs w:val="18"/>
          <w:color w:val="auto"/>
        </w:rPr>
        <w:t>holding company in accordance with Section 240.13d-1(b)(ii)(G). (Note: See Item 7).</w:t>
      </w:r>
    </w:p>
    <w:p>
      <w:pPr>
        <w:spacing w:after="0" w:line="203"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800,730</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7.71%</w:t>
      </w:r>
    </w:p>
    <w:p>
      <w:pPr>
        <w:spacing w:after="0" w:line="201"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6,500</w:t>
      </w:r>
    </w:p>
    <w:p>
      <w:pPr>
        <w:spacing w:after="0" w:line="202" w:lineRule="exact"/>
        <w:rPr>
          <w:sz w:val="20"/>
          <w:szCs w:val="20"/>
          <w:color w:val="auto"/>
        </w:rPr>
      </w:pPr>
    </w:p>
    <w:p>
      <w:pPr>
        <w:jc w:val="right"/>
        <w:ind w:right="3579"/>
        <w:spacing w:after="0"/>
        <w:tabs>
          <w:tab w:leader="none" w:pos="450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power to vote or to direct the vote:</w:t>
      </w:r>
    </w:p>
    <w:p>
      <w:pPr>
        <w:ind w:left="420"/>
        <w:spacing w:after="0" w:line="238" w:lineRule="auto"/>
        <w:rPr>
          <w:sz w:val="20"/>
          <w:szCs w:val="20"/>
          <w:color w:val="auto"/>
        </w:rPr>
      </w:pPr>
      <w:r>
        <w:rPr>
          <w:rFonts w:ascii="Courier New" w:cs="Courier New" w:eastAsia="Courier New" w:hAnsi="Courier New"/>
          <w:sz w:val="18"/>
          <w:szCs w:val="18"/>
          <w:color w:val="auto"/>
        </w:rPr>
        <w:t>None</w:t>
      </w:r>
    </w:p>
    <w:p>
      <w:pPr>
        <w:spacing w:after="0" w:line="202" w:lineRule="exact"/>
        <w:rPr>
          <w:sz w:val="20"/>
          <w:szCs w:val="20"/>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w:t>
      </w:r>
      <w:r>
        <w:rPr>
          <w:rFonts w:ascii="Courier New" w:cs="Courier New" w:eastAsia="Courier New" w:hAnsi="Courier New"/>
          <w:sz w:val="16"/>
          <w:szCs w:val="16"/>
          <w:color w:val="auto"/>
        </w:rPr>
        <w:t>800,730</w:t>
      </w:r>
    </w:p>
    <w:p>
      <w:pPr>
        <w:spacing w:after="0" w:line="201" w:lineRule="exact"/>
        <w:rPr>
          <w:rFonts w:ascii="Courier New" w:cs="Courier New" w:eastAsia="Courier New" w:hAnsi="Courier New"/>
          <w:sz w:val="18"/>
          <w:szCs w:val="18"/>
          <w:color w:val="auto"/>
        </w:rPr>
      </w:pPr>
    </w:p>
    <w:p>
      <w:pPr>
        <w:ind w:left="2120" w:hanging="637"/>
        <w:spacing w:after="0"/>
        <w:tabs>
          <w:tab w:leader="none" w:pos="21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disposition of:None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4199" w:firstLine="948"/>
        <w:spacing w:after="0" w:line="235"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w:t>
      </w:r>
    </w:p>
    <w:p>
      <w:pPr>
        <w:spacing w:after="0" w:line="6" w:lineRule="exact"/>
        <w:rPr>
          <w:sz w:val="20"/>
          <w:szCs w:val="20"/>
          <w:color w:val="auto"/>
        </w:rPr>
      </w:pPr>
    </w:p>
    <w:p>
      <w:pPr>
        <w:jc w:val="both"/>
        <w:ind w:right="4939"/>
        <w:spacing w:after="0" w:line="275" w:lineRule="auto"/>
        <w:rPr>
          <w:sz w:val="20"/>
          <w:szCs w:val="20"/>
          <w:color w:val="auto"/>
        </w:rPr>
      </w:pPr>
      <w:r>
        <w:rPr>
          <w:rFonts w:ascii="Courier New" w:cs="Courier New" w:eastAsia="Courier New" w:hAnsi="Courier New"/>
          <w:sz w:val="16"/>
          <w:szCs w:val="16"/>
          <w:color w:val="auto"/>
        </w:rPr>
        <w:t>the proceeds from the sale of, the common stock of Cytotherapeutics. No one person's interest in the common stock of Cytotherapeutics is more than five percent of the total outstanding common stock.</w:t>
      </w:r>
    </w:p>
    <w:p>
      <w:pPr>
        <w:spacing w:after="0" w:line="182" w:lineRule="exact"/>
        <w:rPr>
          <w:sz w:val="20"/>
          <w:szCs w:val="20"/>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attached Exhibit(s) A and B.</w:t>
      </w:r>
    </w:p>
    <w:p>
      <w:pPr>
        <w:spacing w:after="0" w:line="207"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3999" w:firstLine="948"/>
        <w:spacing w:after="0" w:line="23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w:t>
      </w:r>
    </w:p>
    <w:p>
      <w:pPr>
        <w:spacing w:after="0" w:line="6" w:lineRule="exact"/>
        <w:rPr>
          <w:sz w:val="20"/>
          <w:szCs w:val="20"/>
          <w:color w:val="auto"/>
        </w:rPr>
      </w:pPr>
    </w:p>
    <w:p>
      <w:pPr>
        <w:ind w:right="4519"/>
        <w:spacing w:after="0" w:line="237" w:lineRule="auto"/>
        <w:rPr>
          <w:sz w:val="20"/>
          <w:szCs w:val="20"/>
          <w:color w:val="auto"/>
        </w:rPr>
      </w:pPr>
      <w:r>
        <w:rPr>
          <w:rFonts w:ascii="Courier New" w:cs="Courier New" w:eastAsia="Courier New" w:hAnsi="Courier New"/>
          <w:sz w:val="18"/>
          <w:szCs w:val="18"/>
          <w:color w:val="auto"/>
        </w:rPr>
        <w:t>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4419" w:firstLine="948"/>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February 11, 1994</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133" w:gutter="0" w:footer="0" w:header="0"/>
        </w:sectPr>
      </w:pPr>
    </w:p>
    <w:bookmarkStart w:id="2" w:name="page3"/>
    <w:bookmarkEnd w:id="2"/>
    <w:p>
      <w:pPr>
        <w:ind w:left="42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3679" w:firstLine="421"/>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771,130 shares or 7.43% of the common stock outstanding of Cytotherapeutics ("the Company") as a result of acting as investment adviser to several investment companies registered under Section 8 of the Investment Company Act of 1940.</w:t>
      </w:r>
    </w:p>
    <w:p>
      <w:pPr>
        <w:spacing w:after="0" w:line="215" w:lineRule="exact"/>
        <w:rPr>
          <w:sz w:val="20"/>
          <w:szCs w:val="20"/>
          <w:color w:val="auto"/>
        </w:rPr>
      </w:pPr>
    </w:p>
    <w:p>
      <w:pPr>
        <w:ind w:right="3779" w:firstLine="421"/>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771,130 shares owned by the Funds.</w:t>
      </w:r>
    </w:p>
    <w:p>
      <w:pPr>
        <w:spacing w:after="0" w:line="209"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10"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29,600 shares or 0.29% of the common stock outstanding of the company as a result of its serving as investment manager of the institutional account(s).</w:t>
      </w:r>
    </w:p>
    <w:p>
      <w:pPr>
        <w:spacing w:after="0" w:line="211" w:lineRule="exact"/>
        <w:rPr>
          <w:sz w:val="20"/>
          <w:szCs w:val="20"/>
          <w:color w:val="auto"/>
        </w:rPr>
      </w:pPr>
    </w:p>
    <w:p>
      <w:pPr>
        <w:ind w:right="3579" w:firstLine="421"/>
        <w:spacing w:after="0" w:line="237" w:lineRule="auto"/>
        <w:rPr>
          <w:sz w:val="20"/>
          <w:szCs w:val="20"/>
          <w:color w:val="auto"/>
        </w:rPr>
      </w:pPr>
      <w:r>
        <w:rPr>
          <w:rFonts w:ascii="Courier New" w:cs="Courier New" w:eastAsia="Courier New" w:hAnsi="Courier New"/>
          <w:sz w:val="18"/>
          <w:szCs w:val="18"/>
          <w:color w:val="auto"/>
        </w:rPr>
        <w:t>FMR Corp., through its control of Fidelity Management Trust Company, has sole dispositive power over 29,600 Shares and sole power to vote or to direct the voting of 6,500 shares, and no power to vote or to direct the voting of 23,100 Shares of common stock owned by the institutional account(s) as reported above.</w:t>
      </w:r>
    </w:p>
    <w:p>
      <w:pPr>
        <w:spacing w:after="0" w:line="210" w:lineRule="exact"/>
        <w:rPr>
          <w:sz w:val="20"/>
          <w:szCs w:val="20"/>
          <w:color w:val="auto"/>
        </w:rPr>
      </w:pPr>
    </w:p>
    <w:p>
      <w:pPr>
        <w:ind w:right="3779" w:firstLine="421"/>
        <w:spacing w:after="0" w:line="237" w:lineRule="auto"/>
        <w:rPr>
          <w:sz w:val="20"/>
          <w:szCs w:val="20"/>
          <w:color w:val="auto"/>
        </w:rPr>
      </w:pPr>
      <w:r>
        <w:rPr>
          <w:rFonts w:ascii="Courier New" w:cs="Courier New" w:eastAsia="Courier New" w:hAnsi="Courier New"/>
          <w:sz w:val="18"/>
          <w:szCs w:val="18"/>
          <w:color w:val="auto"/>
        </w:rPr>
        <w:t>Edward C. Johnson 3d owns 34.0%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form a controlling group with respect to FMR Corp.</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RULE 13d-1(e)</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899" w:firstLine="421"/>
        <w:spacing w:after="0" w:line="268" w:lineRule="auto"/>
        <w:rPr>
          <w:sz w:val="20"/>
          <w:szCs w:val="20"/>
          <w:color w:val="auto"/>
        </w:rPr>
      </w:pPr>
      <w:r>
        <w:rPr>
          <w:rFonts w:ascii="Courier New" w:cs="Courier New" w:eastAsia="Courier New" w:hAnsi="Courier New"/>
          <w:sz w:val="16"/>
          <w:szCs w:val="16"/>
          <w:color w:val="auto"/>
        </w:rPr>
        <w:t>The undersigned persons, on February 11, 1994, agree and consent to the joint filing on their behalf of this Schedule</w:t>
      </w:r>
    </w:p>
    <w:p>
      <w:pPr>
        <w:ind w:right="3579"/>
        <w:spacing w:after="0" w:line="235" w:lineRule="auto"/>
        <w:rPr>
          <w:sz w:val="20"/>
          <w:szCs w:val="20"/>
          <w:color w:val="auto"/>
        </w:rPr>
      </w:pPr>
      <w:r>
        <w:rPr>
          <w:rFonts w:ascii="Courier New" w:cs="Courier New" w:eastAsia="Courier New" w:hAnsi="Courier New"/>
          <w:sz w:val="18"/>
          <w:szCs w:val="18"/>
          <w:color w:val="auto"/>
        </w:rPr>
        <w:t>13G in connection with their beneficial ownership of the common stock of Cytotherapeutics at December 31, 1993.</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FMR Corp.</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960"/>
        <w:spacing w:after="0" w:line="238" w:lineRule="auto"/>
        <w:rPr>
          <w:sz w:val="20"/>
          <w:szCs w:val="20"/>
          <w:color w:val="auto"/>
        </w:rPr>
      </w:pPr>
      <w:r>
        <w:rPr>
          <w:rFonts w:ascii="Courier New" w:cs="Courier New" w:eastAsia="Courier New" w:hAnsi="Courier New"/>
          <w:sz w:val="18"/>
          <w:szCs w:val="18"/>
          <w:color w:val="auto"/>
        </w:rPr>
        <w:t>Edward C. Johnson 3d</w:t>
      </w:r>
    </w:p>
    <w:p>
      <w:pPr>
        <w:ind w:left="420"/>
        <w:spacing w:after="0"/>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w:t>
      </w:r>
    </w:p>
    <w:p>
      <w:pPr>
        <w:spacing w:after="0" w:line="237" w:lineRule="auto"/>
        <w:rPr>
          <w:sz w:val="20"/>
          <w:szCs w:val="20"/>
          <w:color w:val="auto"/>
        </w:rPr>
      </w:pPr>
      <w:r>
        <w:rPr>
          <w:rFonts w:ascii="Courier New" w:cs="Courier New" w:eastAsia="Courier New" w:hAnsi="Courier New"/>
          <w:sz w:val="18"/>
          <w:szCs w:val="18"/>
          <w:color w:val="auto"/>
        </w:rPr>
        <w:t>dated 5/17/89</w:t>
      </w:r>
    </w:p>
    <w:p>
      <w:pPr>
        <w:spacing w:after="0"/>
        <w:rPr>
          <w:sz w:val="20"/>
          <w:szCs w:val="20"/>
          <w:color w:val="auto"/>
        </w:rPr>
      </w:pPr>
      <w:r>
        <w:rPr>
          <w:rFonts w:ascii="Courier New" w:cs="Courier New" w:eastAsia="Courier New" w:hAnsi="Courier New"/>
          <w:sz w:val="18"/>
          <w:szCs w:val="18"/>
          <w:color w:val="auto"/>
        </w:rPr>
        <w:t>On File with Schedule</w:t>
      </w:r>
    </w:p>
    <w:p>
      <w:pPr>
        <w:spacing w:after="0" w:line="237" w:lineRule="auto"/>
        <w:rPr>
          <w:sz w:val="20"/>
          <w:szCs w:val="20"/>
          <w:color w:val="auto"/>
        </w:rPr>
      </w:pPr>
      <w:r>
        <w:rPr>
          <w:rFonts w:ascii="Courier New" w:cs="Courier New" w:eastAsia="Courier New" w:hAnsi="Courier New"/>
          <w:sz w:val="18"/>
          <w:szCs w:val="18"/>
          <w:color w:val="auto"/>
        </w:rPr>
        <w:t>13G for</w:t>
      </w:r>
    </w:p>
    <w:p>
      <w:pPr>
        <w:spacing w:after="0" w:line="238" w:lineRule="auto"/>
        <w:rPr>
          <w:sz w:val="20"/>
          <w:szCs w:val="20"/>
          <w:color w:val="auto"/>
        </w:rPr>
      </w:pPr>
      <w:r>
        <w:rPr>
          <w:rFonts w:ascii="Courier New" w:cs="Courier New" w:eastAsia="Courier New" w:hAnsi="Courier New"/>
          <w:sz w:val="18"/>
          <w:szCs w:val="18"/>
          <w:color w:val="auto"/>
        </w:rPr>
        <w:t>Airborne Freight Corp.</w:t>
      </w:r>
    </w:p>
    <w:p>
      <w:pPr>
        <w:spacing w:after="0"/>
        <w:rPr>
          <w:sz w:val="20"/>
          <w:szCs w:val="20"/>
          <w:color w:val="auto"/>
        </w:rPr>
      </w:pPr>
      <w:r>
        <w:rPr>
          <w:rFonts w:ascii="Courier New" w:cs="Courier New" w:eastAsia="Courier New" w:hAnsi="Courier New"/>
          <w:sz w:val="18"/>
          <w:szCs w:val="18"/>
          <w:color w:val="auto"/>
        </w:rPr>
        <w:t>9/10/91</w:t>
      </w:r>
    </w:p>
    <w:p>
      <w:pPr>
        <w:sectPr>
          <w:pgSz w:w="11900" w:h="16838" w:orient="portrait"/>
          <w:cols w:equalWidth="0" w:num="1">
            <w:col w:w="10219"/>
          </w:cols>
          <w:pgMar w:left="240" w:top="339" w:right="1440" w:bottom="0" w:gutter="0" w:footer="0" w:header="0"/>
        </w:sectPr>
      </w:pPr>
    </w:p>
    <w:bookmarkStart w:id="3" w:name="page4"/>
    <w:bookmarkEnd w:id="3"/>
    <w:p>
      <w:pPr>
        <w:ind w:left="420"/>
        <w:spacing w:after="0"/>
        <w:rPr>
          <w:sz w:val="20"/>
          <w:szCs w:val="20"/>
          <w:color w:val="auto"/>
        </w:rPr>
      </w:pPr>
      <w:r>
        <w:rPr>
          <w:rFonts w:ascii="Courier New" w:cs="Courier New" w:eastAsia="Courier New" w:hAnsi="Courier New"/>
          <w:sz w:val="16"/>
          <w:szCs w:val="16"/>
          <w:color w:val="auto"/>
        </w:rPr>
        <w:t>Fidelity Management &amp; Research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Company</w:t>
      </w:r>
    </w:p>
    <w:p>
      <w:pPr>
        <w:ind w:left="420"/>
        <w:spacing w:after="0" w:line="238" w:lineRule="auto"/>
        <w:tabs>
          <w:tab w:leader="none" w:pos="94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Sr. V.P. and General</w:t>
      </w:r>
    </w:p>
    <w:p>
      <w:pPr>
        <w:spacing w:after="0" w:line="238" w:lineRule="auto"/>
        <w:rPr>
          <w:sz w:val="20"/>
          <w:szCs w:val="20"/>
          <w:color w:val="auto"/>
        </w:rPr>
      </w:pPr>
      <w:r>
        <w:rPr>
          <w:rFonts w:ascii="Courier New" w:cs="Courier New" w:eastAsia="Courier New" w:hAnsi="Courier New"/>
          <w:sz w:val="18"/>
          <w:szCs w:val="18"/>
          <w:color w:val="auto"/>
        </w:rPr>
        <w:t>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lvl w:ilvl="1">
      <w:lvlJc w:val="left"/>
      <w:lvlText w:val="(%2)"/>
      <w:numFmt w:val="lowerLetter"/>
      <w:start w:val="9"/>
    </w:lvl>
  </w:abstractNum>
  <w:abstractNum w:abstractNumId="1">
    <w:nsid w:val="66334873"/>
    <w:multiLevelType w:val="hybridMultilevel"/>
    <w:lvl w:ilvl="0">
      <w:lvlJc w:val="left"/>
      <w:lvlText w:val="(%1)"/>
      <w:numFmt w:val="lowerRoman"/>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2019-12-13T21:48:10Z</dcterms:created>
  <dcterms:modified xsi:type="dcterms:W3CDTF">2019-12-13T21:48:10Z</dcterms:modified>
</cp:coreProperties>
</file>