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333-250966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142875</wp:posOffset>
            </wp:positionV>
            <wp:extent cx="3214370" cy="1174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14370"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624,618 Shares of Common Stock</w:t>
      </w:r>
    </w:p>
    <w:p>
      <w:pPr>
        <w:spacing w:after="0" w:line="229"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offering 624,618 shares of our common stock, par value $0.01 per share (“common stock”), to institutional investors at an offering price of $3.25 per share, pursuant to this prospectus supplement and the accompanying prospectus.</w:t>
      </w:r>
    </w:p>
    <w:p>
      <w:pPr>
        <w:spacing w:after="0" w:line="170" w:lineRule="exact"/>
        <w:rPr>
          <w:sz w:val="24"/>
          <w:szCs w:val="24"/>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 concurrent private placement, we are also selling to the same institutional investors of our shares of common stock, unregistered series D preferred investment options to purchase up to 312,309 shares of our common stock (the “series D preferred investment options”). Each series D preferred investment option will be exercisable for one share of common stock at an exercise price of $3.19 commencing on the date of issuance and will expire five and one-half years from the initial exercise date. The series D preferred investment options and the shares of common stock issuable upon the exercise of such series D preferred investment options are not being registered under the Securities Act of 1933, as amended (the “Securities Act”), are not being offered pursuant to this prospectus supplement and the accompanying prospectus and are being offered pursuant to the exemption provided in Section 4(a)</w:t>
      </w:r>
    </w:p>
    <w:p>
      <w:pPr>
        <w:spacing w:after="0" w:line="4" w:lineRule="exact"/>
        <w:rPr>
          <w:sz w:val="24"/>
          <w:szCs w:val="24"/>
          <w:color w:val="auto"/>
        </w:rPr>
      </w:pPr>
    </w:p>
    <w:p>
      <w:pPr>
        <w:ind w:firstLine="8"/>
        <w:spacing w:after="0" w:line="260" w:lineRule="auto"/>
        <w:tabs>
          <w:tab w:leader="none" w:pos="268"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the Securities Act and Rule 506(b) promulgated thereunder. None of the series D preferred investment options issued in the concurrent private placement are or will be listed for trading on any national securities exchange.</w:t>
      </w:r>
    </w:p>
    <w:p>
      <w:pPr>
        <w:spacing w:after="0" w:line="18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and trades on The Nasdaq Capital Market under the symbol “MBOT.” The last sale price of our shares of common stock on June 23, 2023 was $3.43 per share.</w:t>
      </w:r>
    </w:p>
    <w:p>
      <w:pPr>
        <w:spacing w:after="0" w:line="170" w:lineRule="exact"/>
        <w:rPr>
          <w:sz w:val="24"/>
          <w:szCs w:val="24"/>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the date of this prospectus supplement, the aggregate market value of our outstanding common stock held by non-affiliates, computed by reference to the price at which our common stock was last sold on The Nasdaq Capital Market on June 23, 2023, which was $3.43 per share, was approximately $36.7 million, based on 11,082,699 shares of our outstanding common stock as of the date of this prospectus supplement, of which 10,703,824 shares were held by non-affiliates. Pursuant to General Instruction I.B.6 of Form S-3, in no event will we sell securities in a public primary offering with a value exceeding one-third of our public float in any 12-month period so long as our public float remains below $75.0 million. During the 12 calendar months prior to and including the date of this prospectus supplement (excluding this offering), we have sold $10,204,811 in securities pursuant to General Instruction I.B.6 of Form S-3.</w:t>
      </w:r>
    </w:p>
    <w:p>
      <w:pPr>
        <w:spacing w:after="0" w:line="195"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engaged H.C. Wainwright &amp; Co., LLC, or Wainwright or the placement agent, to act as our exclusive placement agent for this offering. The placement agent has agreed to use its “reasonable best efforts” to arrange for the sale of shares of our common stock offered by this prospectus supplement and the accompanying base prospectus, but the placement agent has no obligation to purchase or sell any of such securities or to arrange for the purchase or sale of any specific number or dollar amount of such securities. There is no required minimum number of securities that must be sold as a condition to completion of this offering. Because there is no minimum offering amount required as a condition to closing this offering, the actual offering amount, placement agent fees, and proceeds to us, if any, are not presently determinable and may be substantially less than the total maximum offering amounts set forth below. We have not arranged to place the funds from investors in an escrow, trust or similar account. We have agreed to pay the placement agent the fees set forth in the table below in connection with this offering, which assumes that we sell all of the shares of common stock we are offering hereby.</w:t>
      </w:r>
    </w:p>
    <w:p>
      <w:pPr>
        <w:spacing w:after="0" w:line="192" w:lineRule="exact"/>
        <w:rPr>
          <w:sz w:val="24"/>
          <w:szCs w:val="24"/>
          <w:color w:val="auto"/>
        </w:rPr>
      </w:pPr>
    </w:p>
    <w:tbl>
      <w:tblPr>
        <w:tblLayout w:type="fixed"/>
        <w:tblInd w:w="1120" w:type="dxa"/>
        <w:tblCellMar>
          <w:top w:w="0" w:type="dxa"/>
          <w:left w:w="0" w:type="dxa"/>
          <w:bottom w:w="0" w:type="dxa"/>
          <w:right w:w="0" w:type="dxa"/>
        </w:tblCellMar>
      </w:tblPr>
      <w:tr>
        <w:trPr>
          <w:trHeight w:val="241"/>
        </w:trPr>
        <w:tc>
          <w:tcPr>
            <w:tcW w:w="6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Per Share</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2,030,008.50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tcPr>
          <w:p>
            <w:pPr>
              <w:ind w:left="20"/>
              <w:spacing w:after="0"/>
              <w:rPr>
                <w:sz w:val="20"/>
                <w:szCs w:val="20"/>
                <w:color w:val="auto"/>
              </w:rPr>
            </w:pPr>
            <w:r>
              <w:rPr>
                <w:rFonts w:ascii="Arial" w:cs="Arial" w:eastAsia="Arial" w:hAnsi="Arial"/>
                <w:sz w:val="18"/>
                <w:szCs w:val="18"/>
                <w:color w:val="auto"/>
              </w:rPr>
              <w:t>Placement agent’s fees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0.2275</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142,100.60</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3.0225</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1,887,907.90</w:t>
            </w:r>
          </w:p>
        </w:tc>
      </w:tr>
    </w:tbl>
    <w:p>
      <w:pPr>
        <w:spacing w:after="0" w:line="202" w:lineRule="exact"/>
        <w:rPr>
          <w:sz w:val="24"/>
          <w:szCs w:val="24"/>
          <w:color w:val="auto"/>
        </w:rPr>
      </w:pPr>
    </w:p>
    <w:p>
      <w:pPr>
        <w:jc w:val="both"/>
        <w:ind w:left="660" w:hanging="652"/>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addition, we have agreed to pay the placement agent a management fee equal to 1.0% of the gross proceeds raised in this offering, to reimburse the placement agent for certain of its expenses and to issue warrants to purchase shares of common stock to the placement agent or its designees (the “placement agent warrants”). Neither the placement agent warrants nor the shares of our common stock issuable upon exercise of the placement agent warrants are being registered hereby. See “Plan of Distribution” beginning on page S-14 of this prospectus supplement for more information.</w:t>
      </w:r>
    </w:p>
    <w:p>
      <w:pPr>
        <w:spacing w:after="0" w:line="187"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Does not include proceeds from the exercise of the placement agent warrants to be issued to the placement agent in cash, if any.</w:t>
      </w:r>
    </w:p>
    <w:p>
      <w:pPr>
        <w:spacing w:after="0" w:line="22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Delivery of the shares of common stock offered hereby is expected to be made on or about June 28, 2023, subject to satisfaction of customary closing conditions.</w:t>
      </w:r>
    </w:p>
    <w:p>
      <w:pPr>
        <w:spacing w:after="0" w:line="166" w:lineRule="exact"/>
        <w:rPr>
          <w:sz w:val="24"/>
          <w:szCs w:val="24"/>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Investing in our securities involves a high degree of risk. Before making any investment decision, you should carefully review and consider all the information in this prospectus supplement, the accompanying base prospectus and the documents incorporated by reference herein and therein, including the risks and uncertainties described under “Risk Factors” beginning on page S-8 of this prospectus supplement and the risk factors incorporated by reference into this prospectus supplement and the accompanying base prospectus.</w:t>
      </w:r>
    </w:p>
    <w:p>
      <w:pPr>
        <w:sectPr>
          <w:pgSz w:w="11900" w:h="16838" w:orient="portrait"/>
          <w:cols w:equalWidth="0" w:num="1">
            <w:col w:w="11240"/>
          </w:cols>
          <w:pgMar w:left="320" w:top="445" w:right="339" w:bottom="63" w:gutter="0" w:footer="0" w:header="0"/>
        </w:sectPr>
      </w:pPr>
    </w:p>
    <w:bookmarkStart w:id="1" w:name="page2"/>
    <w:bookmarkEnd w:id="1"/>
    <w:p>
      <w:pPr>
        <w:ind w:firstLine="648"/>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shares or determined if this prospectus supplement or the accompanying base prospectus is truthful or complete. Any representation to the contrary is a criminal offense.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H.C. Wainwright &amp; Co.</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June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40" w:type="dxa"/>
            <w:vAlign w:val="bottom"/>
            <w:gridSpan w:val="6"/>
          </w:tcPr>
          <w:p>
            <w:pPr>
              <w:ind w:left="1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r>
      <w:tr>
        <w:trPr>
          <w:trHeight w:val="459"/>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32"/>
            <w:shd w:val="clear" w:color="auto" w:fill="CCEEFF"/>
          </w:tcPr>
          <w:p>
            <w:pPr>
              <w:spacing w:after="0"/>
              <w:rPr>
                <w:sz w:val="20"/>
                <w:szCs w:val="20"/>
                <w:color w:val="auto"/>
              </w:rPr>
            </w:pPr>
            <w:r>
              <w:rPr>
                <w:rFonts w:ascii="Arial" w:cs="Arial" w:eastAsia="Arial" w:hAnsi="Arial"/>
                <w:sz w:val="18"/>
                <w:szCs w:val="18"/>
                <w:b w:val="1"/>
                <w:bCs w:val="1"/>
                <w:color w:val="auto"/>
              </w:rPr>
              <w:t>PROSPECTUS SUPPLEMENT</w:t>
            </w:r>
          </w:p>
        </w:tc>
        <w:tc>
          <w:tcPr>
            <w:tcW w:w="64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3440" w:type="dxa"/>
            <w:vAlign w:val="bottom"/>
            <w:tcBorders>
              <w:bottom w:val="single" w:sz="8" w:color="0000EE"/>
            </w:tcBorders>
            <w:gridSpan w:val="22"/>
            <w:shd w:val="clear" w:color="auto" w:fill="CCEEFF"/>
          </w:tcPr>
          <w:p>
            <w:pPr>
              <w:spacing w:after="0" w:line="176" w:lineRule="exact"/>
              <w:rPr>
                <w:sz w:val="20"/>
                <w:szCs w:val="20"/>
                <w:color w:val="auto"/>
              </w:rPr>
            </w:pPr>
            <w:r>
              <w:rPr>
                <w:rFonts w:ascii="Arial" w:cs="Arial" w:eastAsia="Arial" w:hAnsi="Arial"/>
                <w:sz w:val="18"/>
                <w:szCs w:val="18"/>
                <w:color w:val="0000EE"/>
                <w:w w:val="93"/>
              </w:rPr>
              <w:t>ABOUT THIS PROSPECTUS SUPPLEMENT</w:t>
            </w:r>
          </w:p>
        </w:tc>
        <w:tc>
          <w:tcPr>
            <w:tcW w:w="71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S-1</w:t>
            </w:r>
          </w:p>
        </w:tc>
      </w:tr>
      <w:tr>
        <w:trPr>
          <w:trHeight w:val="176"/>
        </w:trPr>
        <w:tc>
          <w:tcPr>
            <w:tcW w:w="10600" w:type="dxa"/>
            <w:vAlign w:val="bottom"/>
            <w:gridSpan w:val="32"/>
          </w:tcPr>
          <w:p>
            <w:pPr>
              <w:spacing w:after="0" w:line="176" w:lineRule="exact"/>
              <w:rPr>
                <w:sz w:val="20"/>
                <w:szCs w:val="20"/>
                <w:color w:val="auto"/>
              </w:rPr>
            </w:pPr>
            <w:r>
              <w:rPr>
                <w:rFonts w:ascii="Arial" w:cs="Arial" w:eastAsia="Arial" w:hAnsi="Arial"/>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5"/>
              </w:rPr>
              <w:t>S-2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4"/>
              </w:rPr>
              <w:t>PROSPECTUS SUPPLEMENT SUMMARY</w:t>
            </w:r>
          </w:p>
        </w:tc>
        <w:tc>
          <w:tcPr>
            <w:tcW w:w="730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S-3</w:t>
            </w:r>
          </w:p>
        </w:tc>
      </w:tr>
      <w:tr>
        <w:trPr>
          <w:trHeight w:val="175"/>
        </w:trPr>
        <w:tc>
          <w:tcPr>
            <w:tcW w:w="10600" w:type="dxa"/>
            <w:vAlign w:val="bottom"/>
            <w:gridSpan w:val="32"/>
          </w:tcPr>
          <w:p>
            <w:pPr>
              <w:spacing w:after="0" w:line="176" w:lineRule="exact"/>
              <w:rPr>
                <w:sz w:val="20"/>
                <w:szCs w:val="20"/>
                <w:color w:val="auto"/>
              </w:rPr>
            </w:pPr>
            <w:r>
              <w:rPr>
                <w:rFonts w:ascii="Arial" w:cs="Arial" w:eastAsia="Arial" w:hAnsi="Arial"/>
                <w:sz w:val="18"/>
                <w:szCs w:val="18"/>
                <w:color w:val="0000EE"/>
              </w:rPr>
              <w:t>THE OFFERING</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5"/>
              </w:rPr>
              <w:t>S-6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3"/>
              </w:rPr>
              <w:t>RISK FACTORS</w:t>
            </w:r>
          </w:p>
        </w:tc>
        <w:tc>
          <w:tcPr>
            <w:tcW w:w="9340" w:type="dxa"/>
            <w:vAlign w:val="bottom"/>
            <w:tcBorders>
              <w:bottom w:val="single" w:sz="8" w:color="CCEEFF"/>
            </w:tcBorders>
            <w:gridSpan w:val="2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S-8</w:t>
            </w:r>
          </w:p>
        </w:tc>
      </w:tr>
      <w:tr>
        <w:trPr>
          <w:trHeight w:val="175"/>
        </w:trPr>
        <w:tc>
          <w:tcPr>
            <w:tcW w:w="10600" w:type="dxa"/>
            <w:vAlign w:val="bottom"/>
            <w:gridSpan w:val="32"/>
          </w:tcPr>
          <w:p>
            <w:pPr>
              <w:spacing w:after="0" w:line="176" w:lineRule="exact"/>
              <w:rPr>
                <w:sz w:val="20"/>
                <w:szCs w:val="20"/>
                <w:color w:val="auto"/>
              </w:rPr>
            </w:pPr>
            <w:r>
              <w:rPr>
                <w:rFonts w:ascii="Arial" w:cs="Arial" w:eastAsia="Arial" w:hAnsi="Arial"/>
                <w:sz w:val="18"/>
                <w:szCs w:val="18"/>
                <w:color w:val="0000EE"/>
              </w:rPr>
              <w:t>USE OF PROCEEDS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0000EE"/>
              </w:rPr>
              <w:t>DILUTION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32"/>
          </w:tcPr>
          <w:p>
            <w:pPr>
              <w:spacing w:after="0" w:line="176" w:lineRule="exact"/>
              <w:rPr>
                <w:sz w:val="20"/>
                <w:szCs w:val="20"/>
                <w:color w:val="auto"/>
              </w:rPr>
            </w:pPr>
            <w:r>
              <w:rPr>
                <w:rFonts w:ascii="Arial" w:cs="Arial" w:eastAsia="Arial" w:hAnsi="Arial"/>
                <w:sz w:val="18"/>
                <w:szCs w:val="18"/>
                <w:color w:val="0000EE"/>
              </w:rPr>
              <w:t>DESCRIPTION OF THE SECURITIES WE ARE OFFERING</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color w:val="0000EE"/>
                <w:w w:val="96"/>
              </w:rPr>
              <w:t>PRIVATE PLACEMENT TRANSACTION</w:t>
            </w:r>
          </w:p>
        </w:tc>
        <w:tc>
          <w:tcPr>
            <w:tcW w:w="744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S-13</w:t>
            </w:r>
          </w:p>
        </w:tc>
      </w:tr>
      <w:tr>
        <w:trPr>
          <w:trHeight w:val="175"/>
        </w:trPr>
        <w:tc>
          <w:tcPr>
            <w:tcW w:w="10600" w:type="dxa"/>
            <w:vAlign w:val="bottom"/>
            <w:gridSpan w:val="32"/>
          </w:tcPr>
          <w:p>
            <w:pPr>
              <w:spacing w:after="0" w:line="176" w:lineRule="exact"/>
              <w:rPr>
                <w:sz w:val="20"/>
                <w:szCs w:val="20"/>
                <w:color w:val="auto"/>
              </w:rPr>
            </w:pPr>
            <w:r>
              <w:rPr>
                <w:rFonts w:ascii="Arial" w:cs="Arial" w:eastAsia="Arial" w:hAnsi="Arial"/>
                <w:sz w:val="18"/>
                <w:szCs w:val="18"/>
                <w:color w:val="0000EE"/>
              </w:rPr>
              <w:t>PLAN OF DISTRIBUTION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6"/>
              </w:rPr>
              <w:t>LEGAL MATTERS</w:t>
            </w:r>
          </w:p>
        </w:tc>
        <w:tc>
          <w:tcPr>
            <w:tcW w:w="9140" w:type="dxa"/>
            <w:vAlign w:val="bottom"/>
            <w:tcBorders>
              <w:bottom w:val="single" w:sz="8" w:color="CCEEFF"/>
            </w:tcBorders>
            <w:gridSpan w:val="2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S-16</w:t>
            </w:r>
          </w:p>
        </w:tc>
      </w:tr>
      <w:tr>
        <w:trPr>
          <w:trHeight w:val="176"/>
        </w:trPr>
        <w:tc>
          <w:tcPr>
            <w:tcW w:w="10600" w:type="dxa"/>
            <w:vAlign w:val="bottom"/>
            <w:gridSpan w:val="32"/>
          </w:tcPr>
          <w:p>
            <w:pPr>
              <w:spacing w:after="0" w:line="176" w:lineRule="exact"/>
              <w:rPr>
                <w:sz w:val="20"/>
                <w:szCs w:val="20"/>
                <w:color w:val="auto"/>
              </w:rPr>
            </w:pPr>
            <w:r>
              <w:rPr>
                <w:rFonts w:ascii="Arial" w:cs="Arial" w:eastAsia="Arial" w:hAnsi="Arial"/>
                <w:sz w:val="18"/>
                <w:szCs w:val="18"/>
                <w:color w:val="0000EE"/>
              </w:rPr>
              <w:t>EXPERTS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23"/>
            <w:shd w:val="clear" w:color="auto" w:fill="CCEEFF"/>
          </w:tcPr>
          <w:p>
            <w:pPr>
              <w:spacing w:after="0" w:line="176" w:lineRule="exact"/>
              <w:rPr>
                <w:sz w:val="20"/>
                <w:szCs w:val="20"/>
                <w:color w:val="auto"/>
              </w:rPr>
            </w:pPr>
            <w:r>
              <w:rPr>
                <w:rFonts w:ascii="Arial" w:cs="Arial" w:eastAsia="Arial" w:hAnsi="Arial"/>
                <w:sz w:val="18"/>
                <w:szCs w:val="18"/>
                <w:color w:val="0000EE"/>
                <w:w w:val="97"/>
              </w:rPr>
              <w:t>WHERE YOU CAN FIND MORE INFORMATION</w:t>
            </w:r>
          </w:p>
        </w:tc>
        <w:tc>
          <w:tcPr>
            <w:tcW w:w="678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S-16</w:t>
            </w:r>
          </w:p>
        </w:tc>
      </w:tr>
      <w:tr>
        <w:trPr>
          <w:trHeight w:val="176"/>
        </w:trPr>
        <w:tc>
          <w:tcPr>
            <w:tcW w:w="10600" w:type="dxa"/>
            <w:vAlign w:val="bottom"/>
            <w:gridSpan w:val="32"/>
          </w:tcPr>
          <w:p>
            <w:pPr>
              <w:spacing w:after="0" w:line="176" w:lineRule="exact"/>
              <w:rPr>
                <w:sz w:val="20"/>
                <w:szCs w:val="20"/>
                <w:color w:val="auto"/>
              </w:rPr>
            </w:pPr>
            <w:r>
              <w:rPr>
                <w:rFonts w:ascii="Arial" w:cs="Arial" w:eastAsia="Arial" w:hAnsi="Arial"/>
                <w:sz w:val="18"/>
                <w:szCs w:val="18"/>
                <w:color w:val="0000EE"/>
              </w:rPr>
              <w:t>INCORPORATION OF CERTAIN DOCUMENTS BY REFERENCE</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S-17</w:t>
            </w:r>
          </w:p>
        </w:tc>
      </w:tr>
      <w:tr>
        <w:trPr>
          <w:trHeight w:val="473"/>
        </w:trPr>
        <w:tc>
          <w:tcPr>
            <w:tcW w:w="780" w:type="dxa"/>
            <w:vAlign w:val="bottom"/>
            <w:tcBorders>
              <w:top w:val="single" w:sz="8" w:color="0000EE"/>
              <w:bottom w:val="single" w:sz="8" w:color="CCEEFF"/>
            </w:tcBorders>
          </w:tcPr>
          <w:p>
            <w:pPr>
              <w:spacing w:after="0"/>
              <w:rPr>
                <w:sz w:val="24"/>
                <w:szCs w:val="24"/>
                <w:color w:val="auto"/>
              </w:rPr>
            </w:pPr>
          </w:p>
        </w:tc>
        <w:tc>
          <w:tcPr>
            <w:tcW w:w="60" w:type="dxa"/>
            <w:vAlign w:val="bottom"/>
            <w:tcBorders>
              <w:top w:val="single" w:sz="8" w:color="0000EE"/>
              <w:bottom w:val="single" w:sz="8" w:color="CCEEFF"/>
            </w:tcBorders>
          </w:tcPr>
          <w:p>
            <w:pPr>
              <w:spacing w:after="0"/>
              <w:rPr>
                <w:sz w:val="24"/>
                <w:szCs w:val="24"/>
                <w:color w:val="auto"/>
              </w:rPr>
            </w:pPr>
          </w:p>
        </w:tc>
        <w:tc>
          <w:tcPr>
            <w:tcW w:w="20" w:type="dxa"/>
            <w:vAlign w:val="bottom"/>
            <w:tcBorders>
              <w:top w:val="single" w:sz="8" w:color="0000EE"/>
              <w:bottom w:val="single" w:sz="8" w:color="CCEEFF"/>
            </w:tcBorders>
          </w:tcPr>
          <w:p>
            <w:pPr>
              <w:spacing w:after="0"/>
              <w:rPr>
                <w:sz w:val="24"/>
                <w:szCs w:val="24"/>
                <w:color w:val="auto"/>
              </w:rPr>
            </w:pPr>
          </w:p>
        </w:tc>
        <w:tc>
          <w:tcPr>
            <w:tcW w:w="400" w:type="dxa"/>
            <w:vAlign w:val="bottom"/>
            <w:tcBorders>
              <w:top w:val="single" w:sz="8" w:color="0000EE"/>
              <w:bottom w:val="single" w:sz="8" w:color="CCEEFF"/>
            </w:tcBorders>
          </w:tcPr>
          <w:p>
            <w:pPr>
              <w:spacing w:after="0"/>
              <w:rPr>
                <w:sz w:val="24"/>
                <w:szCs w:val="24"/>
                <w:color w:val="auto"/>
              </w:rPr>
            </w:pPr>
          </w:p>
        </w:tc>
        <w:tc>
          <w:tcPr>
            <w:tcW w:w="20" w:type="dxa"/>
            <w:vAlign w:val="bottom"/>
            <w:tcBorders>
              <w:top w:val="single" w:sz="8" w:color="0000EE"/>
              <w:bottom w:val="single" w:sz="8" w:color="CCEEFF"/>
            </w:tcBorders>
          </w:tcPr>
          <w:p>
            <w:pPr>
              <w:spacing w:after="0"/>
              <w:rPr>
                <w:sz w:val="24"/>
                <w:szCs w:val="24"/>
                <w:color w:val="auto"/>
              </w:rPr>
            </w:pPr>
          </w:p>
        </w:tc>
        <w:tc>
          <w:tcPr>
            <w:tcW w:w="60" w:type="dxa"/>
            <w:vAlign w:val="bottom"/>
            <w:tcBorders>
              <w:top w:val="single" w:sz="8" w:color="0000EE"/>
              <w:bottom w:val="single" w:sz="8" w:color="CCEEFF"/>
            </w:tcBorders>
          </w:tcPr>
          <w:p>
            <w:pPr>
              <w:spacing w:after="0"/>
              <w:rPr>
                <w:sz w:val="24"/>
                <w:szCs w:val="24"/>
                <w:color w:val="auto"/>
              </w:rPr>
            </w:pPr>
          </w:p>
        </w:tc>
        <w:tc>
          <w:tcPr>
            <w:tcW w:w="120" w:type="dxa"/>
            <w:vAlign w:val="bottom"/>
            <w:tcBorders>
              <w:top w:val="single" w:sz="8" w:color="0000EE"/>
              <w:bottom w:val="single" w:sz="8" w:color="CCEEFF"/>
            </w:tcBorders>
          </w:tcPr>
          <w:p>
            <w:pPr>
              <w:spacing w:after="0"/>
              <w:rPr>
                <w:sz w:val="24"/>
                <w:szCs w:val="24"/>
                <w:color w:val="auto"/>
              </w:rPr>
            </w:pPr>
          </w:p>
        </w:tc>
        <w:tc>
          <w:tcPr>
            <w:tcW w:w="80" w:type="dxa"/>
            <w:vAlign w:val="bottom"/>
            <w:tcBorders>
              <w:top w:val="single" w:sz="8" w:color="0000EE"/>
              <w:bottom w:val="single" w:sz="8" w:color="CCEEFF"/>
            </w:tcBorders>
          </w:tcPr>
          <w:p>
            <w:pPr>
              <w:spacing w:after="0"/>
              <w:rPr>
                <w:sz w:val="24"/>
                <w:szCs w:val="24"/>
                <w:color w:val="auto"/>
              </w:rPr>
            </w:pPr>
          </w:p>
        </w:tc>
        <w:tc>
          <w:tcPr>
            <w:tcW w:w="40" w:type="dxa"/>
            <w:vAlign w:val="bottom"/>
            <w:tcBorders>
              <w:top w:val="single" w:sz="8" w:color="0000EE"/>
              <w:bottom w:val="single" w:sz="8" w:color="CCEEFF"/>
            </w:tcBorders>
          </w:tcPr>
          <w:p>
            <w:pPr>
              <w:spacing w:after="0"/>
              <w:rPr>
                <w:sz w:val="24"/>
                <w:szCs w:val="24"/>
                <w:color w:val="auto"/>
              </w:rPr>
            </w:pPr>
          </w:p>
        </w:tc>
        <w:tc>
          <w:tcPr>
            <w:tcW w:w="100" w:type="dxa"/>
            <w:vAlign w:val="bottom"/>
            <w:tcBorders>
              <w:top w:val="single" w:sz="8" w:color="0000EE"/>
              <w:bottom w:val="single" w:sz="8" w:color="CCEEFF"/>
            </w:tcBorders>
          </w:tcPr>
          <w:p>
            <w:pPr>
              <w:spacing w:after="0"/>
              <w:rPr>
                <w:sz w:val="24"/>
                <w:szCs w:val="24"/>
                <w:color w:val="auto"/>
              </w:rPr>
            </w:pPr>
          </w:p>
        </w:tc>
        <w:tc>
          <w:tcPr>
            <w:tcW w:w="380" w:type="dxa"/>
            <w:vAlign w:val="bottom"/>
            <w:tcBorders>
              <w:top w:val="single" w:sz="8" w:color="0000EE"/>
              <w:bottom w:val="single" w:sz="8" w:color="CCEEFF"/>
            </w:tcBorders>
          </w:tcPr>
          <w:p>
            <w:pPr>
              <w:spacing w:after="0"/>
              <w:rPr>
                <w:sz w:val="24"/>
                <w:szCs w:val="24"/>
                <w:color w:val="auto"/>
              </w:rPr>
            </w:pPr>
          </w:p>
        </w:tc>
        <w:tc>
          <w:tcPr>
            <w:tcW w:w="80" w:type="dxa"/>
            <w:vAlign w:val="bottom"/>
            <w:tcBorders>
              <w:top w:val="single" w:sz="8" w:color="0000EE"/>
              <w:bottom w:val="single" w:sz="8" w:color="CCEEFF"/>
            </w:tcBorders>
          </w:tcPr>
          <w:p>
            <w:pPr>
              <w:spacing w:after="0"/>
              <w:rPr>
                <w:sz w:val="24"/>
                <w:szCs w:val="24"/>
                <w:color w:val="auto"/>
              </w:rPr>
            </w:pPr>
          </w:p>
        </w:tc>
        <w:tc>
          <w:tcPr>
            <w:tcW w:w="20" w:type="dxa"/>
            <w:vAlign w:val="bottom"/>
            <w:tcBorders>
              <w:top w:val="single" w:sz="8" w:color="0000EE"/>
              <w:bottom w:val="single" w:sz="8" w:color="CCEEFF"/>
            </w:tcBorders>
          </w:tcPr>
          <w:p>
            <w:pPr>
              <w:spacing w:after="0"/>
              <w:rPr>
                <w:sz w:val="24"/>
                <w:szCs w:val="24"/>
                <w:color w:val="auto"/>
              </w:rPr>
            </w:pPr>
          </w:p>
        </w:tc>
        <w:tc>
          <w:tcPr>
            <w:tcW w:w="40" w:type="dxa"/>
            <w:vAlign w:val="bottom"/>
            <w:tcBorders>
              <w:top w:val="single" w:sz="8" w:color="0000EE"/>
              <w:bottom w:val="single" w:sz="8" w:color="CCEEFF"/>
            </w:tcBorders>
          </w:tcPr>
          <w:p>
            <w:pPr>
              <w:spacing w:after="0"/>
              <w:rPr>
                <w:sz w:val="24"/>
                <w:szCs w:val="24"/>
                <w:color w:val="auto"/>
              </w:rPr>
            </w:pPr>
          </w:p>
        </w:tc>
        <w:tc>
          <w:tcPr>
            <w:tcW w:w="100" w:type="dxa"/>
            <w:vAlign w:val="bottom"/>
            <w:tcBorders>
              <w:top w:val="single" w:sz="8" w:color="0000EE"/>
              <w:bottom w:val="single" w:sz="8" w:color="CCEEFF"/>
            </w:tcBorders>
          </w:tcPr>
          <w:p>
            <w:pPr>
              <w:spacing w:after="0"/>
              <w:rPr>
                <w:sz w:val="24"/>
                <w:szCs w:val="24"/>
                <w:color w:val="auto"/>
              </w:rPr>
            </w:pPr>
          </w:p>
        </w:tc>
        <w:tc>
          <w:tcPr>
            <w:tcW w:w="320" w:type="dxa"/>
            <w:vAlign w:val="bottom"/>
            <w:tcBorders>
              <w:top w:val="single" w:sz="8" w:color="0000EE"/>
              <w:bottom w:val="single" w:sz="8" w:color="CCEEFF"/>
            </w:tcBorders>
          </w:tcPr>
          <w:p>
            <w:pPr>
              <w:spacing w:after="0"/>
              <w:rPr>
                <w:sz w:val="24"/>
                <w:szCs w:val="24"/>
                <w:color w:val="auto"/>
              </w:rPr>
            </w:pPr>
          </w:p>
        </w:tc>
        <w:tc>
          <w:tcPr>
            <w:tcW w:w="520" w:type="dxa"/>
            <w:vAlign w:val="bottom"/>
            <w:tcBorders>
              <w:top w:val="single" w:sz="8" w:color="0000EE"/>
              <w:bottom w:val="single" w:sz="8" w:color="CCEEFF"/>
            </w:tcBorders>
          </w:tcPr>
          <w:p>
            <w:pPr>
              <w:spacing w:after="0"/>
              <w:rPr>
                <w:sz w:val="24"/>
                <w:szCs w:val="24"/>
                <w:color w:val="auto"/>
              </w:rPr>
            </w:pPr>
          </w:p>
        </w:tc>
        <w:tc>
          <w:tcPr>
            <w:tcW w:w="20" w:type="dxa"/>
            <w:vAlign w:val="bottom"/>
            <w:tcBorders>
              <w:top w:val="single" w:sz="8" w:color="0000EE"/>
              <w:bottom w:val="single" w:sz="8" w:color="CCEEFF"/>
            </w:tcBorders>
          </w:tcPr>
          <w:p>
            <w:pPr>
              <w:spacing w:after="0"/>
              <w:rPr>
                <w:sz w:val="24"/>
                <w:szCs w:val="24"/>
                <w:color w:val="auto"/>
              </w:rPr>
            </w:pPr>
          </w:p>
        </w:tc>
        <w:tc>
          <w:tcPr>
            <w:tcW w:w="60" w:type="dxa"/>
            <w:vAlign w:val="bottom"/>
            <w:tcBorders>
              <w:top w:val="single" w:sz="8" w:color="0000EE"/>
              <w:bottom w:val="single" w:sz="8" w:color="CCEEFF"/>
            </w:tcBorders>
          </w:tcPr>
          <w:p>
            <w:pPr>
              <w:spacing w:after="0"/>
              <w:rPr>
                <w:sz w:val="24"/>
                <w:szCs w:val="24"/>
                <w:color w:val="auto"/>
              </w:rPr>
            </w:pPr>
          </w:p>
        </w:tc>
        <w:tc>
          <w:tcPr>
            <w:tcW w:w="80" w:type="dxa"/>
            <w:vAlign w:val="bottom"/>
            <w:tcBorders>
              <w:top w:val="single" w:sz="8" w:color="0000EE"/>
              <w:bottom w:val="single" w:sz="8" w:color="CCEEFF"/>
            </w:tcBorders>
          </w:tcPr>
          <w:p>
            <w:pPr>
              <w:spacing w:after="0"/>
              <w:rPr>
                <w:sz w:val="24"/>
                <w:szCs w:val="24"/>
                <w:color w:val="auto"/>
              </w:rPr>
            </w:pPr>
          </w:p>
        </w:tc>
        <w:tc>
          <w:tcPr>
            <w:tcW w:w="60" w:type="dxa"/>
            <w:vAlign w:val="bottom"/>
            <w:tcBorders>
              <w:top w:val="single" w:sz="8" w:color="0000EE"/>
              <w:bottom w:val="single" w:sz="8" w:color="CCEEFF"/>
            </w:tcBorders>
          </w:tcPr>
          <w:p>
            <w:pPr>
              <w:spacing w:after="0"/>
              <w:rPr>
                <w:sz w:val="24"/>
                <w:szCs w:val="24"/>
                <w:color w:val="auto"/>
              </w:rPr>
            </w:pPr>
          </w:p>
        </w:tc>
        <w:tc>
          <w:tcPr>
            <w:tcW w:w="80" w:type="dxa"/>
            <w:vAlign w:val="bottom"/>
            <w:tcBorders>
              <w:top w:val="single" w:sz="8" w:color="0000EE"/>
              <w:bottom w:val="single" w:sz="8" w:color="CCEEFF"/>
            </w:tcBorders>
          </w:tcPr>
          <w:p>
            <w:pPr>
              <w:spacing w:after="0"/>
              <w:rPr>
                <w:sz w:val="24"/>
                <w:szCs w:val="24"/>
                <w:color w:val="auto"/>
              </w:rPr>
            </w:pPr>
          </w:p>
        </w:tc>
        <w:tc>
          <w:tcPr>
            <w:tcW w:w="380" w:type="dxa"/>
            <w:vAlign w:val="bottom"/>
            <w:tcBorders>
              <w:top w:val="single" w:sz="8" w:color="0000EE"/>
              <w:bottom w:val="single" w:sz="8" w:color="CCEEFF"/>
            </w:tcBorders>
          </w:tcPr>
          <w:p>
            <w:pPr>
              <w:spacing w:after="0"/>
              <w:rPr>
                <w:sz w:val="24"/>
                <w:szCs w:val="24"/>
                <w:color w:val="auto"/>
              </w:rPr>
            </w:pPr>
          </w:p>
        </w:tc>
        <w:tc>
          <w:tcPr>
            <w:tcW w:w="220" w:type="dxa"/>
            <w:vAlign w:val="bottom"/>
            <w:tcBorders>
              <w:top w:val="single" w:sz="8" w:color="0000EE"/>
              <w:bottom w:val="single" w:sz="8" w:color="CCEEFF"/>
            </w:tcBorders>
          </w:tcPr>
          <w:p>
            <w:pPr>
              <w:spacing w:after="0"/>
              <w:rPr>
                <w:sz w:val="24"/>
                <w:szCs w:val="24"/>
                <w:color w:val="auto"/>
              </w:rPr>
            </w:pPr>
          </w:p>
        </w:tc>
        <w:tc>
          <w:tcPr>
            <w:tcW w:w="480" w:type="dxa"/>
            <w:vAlign w:val="bottom"/>
            <w:tcBorders>
              <w:top w:val="single" w:sz="8" w:color="0000EE"/>
              <w:bottom w:val="single" w:sz="8" w:color="CCEEFF"/>
            </w:tcBorders>
          </w:tcPr>
          <w:p>
            <w:pPr>
              <w:spacing w:after="0"/>
              <w:rPr>
                <w:sz w:val="24"/>
                <w:szCs w:val="24"/>
                <w:color w:val="auto"/>
              </w:rPr>
            </w:pPr>
          </w:p>
        </w:tc>
        <w:tc>
          <w:tcPr>
            <w:tcW w:w="40" w:type="dxa"/>
            <w:vAlign w:val="bottom"/>
            <w:tcBorders>
              <w:top w:val="single" w:sz="8" w:color="0000EE"/>
              <w:bottom w:val="single" w:sz="8" w:color="CCEEFF"/>
            </w:tcBorders>
          </w:tcPr>
          <w:p>
            <w:pPr>
              <w:spacing w:after="0"/>
              <w:rPr>
                <w:sz w:val="24"/>
                <w:szCs w:val="24"/>
                <w:color w:val="auto"/>
              </w:rPr>
            </w:pPr>
          </w:p>
        </w:tc>
        <w:tc>
          <w:tcPr>
            <w:tcW w:w="100" w:type="dxa"/>
            <w:vAlign w:val="bottom"/>
            <w:tcBorders>
              <w:top w:val="single" w:sz="8" w:color="0000EE"/>
              <w:bottom w:val="single" w:sz="8" w:color="CCEEFF"/>
            </w:tcBorders>
          </w:tcPr>
          <w:p>
            <w:pPr>
              <w:spacing w:after="0"/>
              <w:rPr>
                <w:sz w:val="24"/>
                <w:szCs w:val="24"/>
                <w:color w:val="auto"/>
              </w:rPr>
            </w:pPr>
          </w:p>
        </w:tc>
        <w:tc>
          <w:tcPr>
            <w:tcW w:w="400" w:type="dxa"/>
            <w:vAlign w:val="bottom"/>
            <w:tcBorders>
              <w:top w:val="single" w:sz="8" w:color="0000EE"/>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Pages</w:t>
            </w:r>
          </w:p>
        </w:tc>
      </w:tr>
      <w:tr>
        <w:trPr>
          <w:trHeight w:val="216"/>
        </w:trPr>
        <w:tc>
          <w:tcPr>
            <w:tcW w:w="10600" w:type="dxa"/>
            <w:vAlign w:val="bottom"/>
            <w:gridSpan w:val="32"/>
            <w:shd w:val="clear" w:color="auto" w:fill="CCEEFF"/>
          </w:tcPr>
          <w:p>
            <w:pPr>
              <w:spacing w:after="0"/>
              <w:rPr>
                <w:sz w:val="20"/>
                <w:szCs w:val="20"/>
                <w:color w:val="auto"/>
              </w:rPr>
            </w:pPr>
            <w:r>
              <w:rPr>
                <w:rFonts w:ascii="Arial" w:cs="Arial" w:eastAsia="Arial" w:hAnsi="Arial"/>
                <w:sz w:val="18"/>
                <w:szCs w:val="18"/>
                <w:b w:val="1"/>
                <w:bCs w:val="1"/>
                <w:color w:val="auto"/>
              </w:rPr>
              <w:t>PROSPECTUS</w:t>
            </w:r>
          </w:p>
        </w:tc>
        <w:tc>
          <w:tcPr>
            <w:tcW w:w="64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00" w:type="dxa"/>
            <w:vAlign w:val="bottom"/>
            <w:tcBorders>
              <w:bottom w:val="single" w:sz="8" w:color="0000EE"/>
            </w:tcBorders>
            <w:gridSpan w:val="14"/>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8"/>
              </w:rPr>
              <w:t>PROSPECTUS SUMMARY</w:t>
            </w:r>
          </w:p>
        </w:tc>
        <w:tc>
          <w:tcPr>
            <w:tcW w:w="840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6"/>
        </w:trPr>
        <w:tc>
          <w:tcPr>
            <w:tcW w:w="10600" w:type="dxa"/>
            <w:vAlign w:val="bottom"/>
            <w:gridSpan w:val="32"/>
          </w:tcPr>
          <w:p>
            <w:pPr>
              <w:spacing w:after="0" w:line="176" w:lineRule="exact"/>
              <w:rPr>
                <w:sz w:val="20"/>
                <w:szCs w:val="20"/>
                <w:color w:val="auto"/>
              </w:rPr>
            </w:pPr>
            <w:r>
              <w:rPr>
                <w:rFonts w:ascii="Arial" w:cs="Arial" w:eastAsia="Arial" w:hAnsi="Arial"/>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30"/>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9"/>
              </w:rPr>
              <w:t>SPECIAL NOTE REGARDING FORWARD-LOOKING STATEMENTS</w:t>
            </w:r>
          </w:p>
        </w:tc>
        <w:tc>
          <w:tcPr>
            <w:tcW w:w="494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5"/>
        </w:trPr>
        <w:tc>
          <w:tcPr>
            <w:tcW w:w="10600" w:type="dxa"/>
            <w:vAlign w:val="bottom"/>
            <w:gridSpan w:val="32"/>
          </w:tcPr>
          <w:p>
            <w:pPr>
              <w:spacing w:after="0" w:line="176" w:lineRule="exact"/>
              <w:rPr>
                <w:sz w:val="20"/>
                <w:szCs w:val="20"/>
                <w:color w:val="auto"/>
              </w:rPr>
            </w:pPr>
            <w:r>
              <w:rPr>
                <w:rFonts w:ascii="Arial" w:cs="Arial" w:eastAsia="Arial" w:hAnsi="Arial"/>
                <w:sz w:val="18"/>
                <w:szCs w:val="18"/>
                <w:b w:val="1"/>
                <w:bCs w:val="1"/>
                <w:color w:val="0000EE"/>
              </w:rPr>
              <w:t>USE OF PROCEEDS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32"/>
          </w:tcPr>
          <w:p>
            <w:pPr>
              <w:spacing w:after="0" w:line="176" w:lineRule="exact"/>
              <w:rPr>
                <w:sz w:val="20"/>
                <w:szCs w:val="20"/>
                <w:color w:val="auto"/>
              </w:rPr>
            </w:pPr>
            <w:r>
              <w:rPr>
                <w:rFonts w:ascii="Arial" w:cs="Arial" w:eastAsia="Arial" w:hAnsi="Arial"/>
                <w:sz w:val="18"/>
                <w:szCs w:val="18"/>
                <w:b w:val="1"/>
                <w:bCs w:val="1"/>
                <w:color w:val="0000EE"/>
              </w:rPr>
              <w:t>DESCRIPTION OF COMMON STOCK</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175"/>
        </w:trPr>
        <w:tc>
          <w:tcPr>
            <w:tcW w:w="3360" w:type="dxa"/>
            <w:vAlign w:val="bottom"/>
            <w:tcBorders>
              <w:top w:val="single" w:sz="8" w:color="0000EE"/>
            </w:tcBorders>
            <w:gridSpan w:val="21"/>
          </w:tcPr>
          <w:p>
            <w:pPr>
              <w:spacing w:after="0" w:line="176" w:lineRule="exact"/>
              <w:rPr>
                <w:sz w:val="20"/>
                <w:szCs w:val="20"/>
                <w:color w:val="auto"/>
              </w:rPr>
            </w:pPr>
            <w:r>
              <w:rPr>
                <w:rFonts w:ascii="Arial" w:cs="Arial" w:eastAsia="Arial" w:hAnsi="Arial"/>
                <w:sz w:val="18"/>
                <w:szCs w:val="18"/>
                <w:b w:val="1"/>
                <w:bCs w:val="1"/>
                <w:color w:val="0000EE"/>
              </w:rPr>
              <w:t>DESCRIPTION OF WARRANTS</w:t>
            </w:r>
          </w:p>
        </w:tc>
        <w:tc>
          <w:tcPr>
            <w:tcW w:w="724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9"/>
              </w:rPr>
              <w:t>DESCRIPTION OF DEBT SECURITIES</w:t>
            </w:r>
          </w:p>
        </w:tc>
        <w:tc>
          <w:tcPr>
            <w:tcW w:w="73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176"/>
        </w:trPr>
        <w:tc>
          <w:tcPr>
            <w:tcW w:w="10600" w:type="dxa"/>
            <w:vAlign w:val="bottom"/>
            <w:gridSpan w:val="32"/>
          </w:tcPr>
          <w:p>
            <w:pPr>
              <w:spacing w:after="0" w:line="176" w:lineRule="exact"/>
              <w:rPr>
                <w:sz w:val="20"/>
                <w:szCs w:val="20"/>
                <w:color w:val="auto"/>
              </w:rPr>
            </w:pPr>
            <w:r>
              <w:rPr>
                <w:rFonts w:ascii="Arial" w:cs="Arial" w:eastAsia="Arial" w:hAnsi="Arial"/>
                <w:sz w:val="18"/>
                <w:szCs w:val="18"/>
                <w:b w:val="1"/>
                <w:bCs w:val="1"/>
                <w:color w:val="0000EE"/>
              </w:rPr>
              <w:t>DESCRIPTION OF RIGHTS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175"/>
        </w:trPr>
        <w:tc>
          <w:tcPr>
            <w:tcW w:w="214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b w:val="1"/>
                <w:bCs w:val="1"/>
                <w:color w:val="0000EE"/>
              </w:rPr>
              <w:t>LEGAL MATTERS</w:t>
            </w:r>
          </w:p>
        </w:tc>
        <w:tc>
          <w:tcPr>
            <w:tcW w:w="846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7"/>
              </w:rPr>
              <w:t>EXPERTS</w:t>
            </w:r>
          </w:p>
        </w:tc>
        <w:tc>
          <w:tcPr>
            <w:tcW w:w="9760" w:type="dxa"/>
            <w:vAlign w:val="bottom"/>
            <w:tcBorders>
              <w:bottom w:val="single" w:sz="8" w:color="CCEEFF"/>
            </w:tcBorders>
            <w:gridSpan w:val="3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175"/>
        </w:trPr>
        <w:tc>
          <w:tcPr>
            <w:tcW w:w="10600" w:type="dxa"/>
            <w:vAlign w:val="bottom"/>
            <w:gridSpan w:val="32"/>
          </w:tcPr>
          <w:p>
            <w:pPr>
              <w:spacing w:after="0" w:line="176" w:lineRule="exact"/>
              <w:rPr>
                <w:sz w:val="20"/>
                <w:szCs w:val="20"/>
                <w:color w:val="auto"/>
              </w:rPr>
            </w:pPr>
            <w:r>
              <w:rPr>
                <w:rFonts w:ascii="Arial" w:cs="Arial" w:eastAsia="Arial" w:hAnsi="Arial"/>
                <w:sz w:val="18"/>
                <w:szCs w:val="18"/>
                <w:b w:val="1"/>
                <w:bCs w:val="1"/>
                <w:color w:val="0000EE"/>
              </w:rPr>
              <w:t>WHERE YOU CAN FIND MORE INFORMATION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INCORPORATION OF DOCUMENTS BY REFERENCE</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and the accompanying prospectus. Neither we nor the placement agent have authorized anyone to provide you with different information. If anyone provides you with different or inconsistent information, you should not rely on it. This prospectus supplement and the accompanying prospectus do not constitute an offer to sell, or a solicitation of an offer to purchase, the securities offered by this prospectus supplement and the accompanying prospectus in any jurisdiction where it is unlawful to make such offer or solicitation. You should assume that the information contained in this prospectus supplement or the accompanying prospectus, or any document incorporated by reference in this prospectus supplement or the accompanying prospectus, is accurate only as of the date of those respective documents. Neither the delivery of this prospectus supplement nor any distribution of securities pursuant to this prospectus supplement shall, under any circumstances, create any implication that there has been no change in the information set forth or incorporated by reference into this prospectus supplement or in our affairs since the date of this prospectus supplement. Our business, financial condition, results of operations and prospects may have changed since that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4830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7875" cy="4830445"/>
                    </a:xfrm>
                    <a:prstGeom prst="rect">
                      <a:avLst/>
                    </a:prstGeom>
                    <a:noFill/>
                  </pic:spPr>
                </pic:pic>
              </a:graphicData>
            </a:graphic>
          </wp:anchor>
        </w:drawing>
        <w:t>ABOUT THIS PROSPECTUS SUPPLEMENT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registration statement on Form S-3 (File No. 333-250966) utilizing a shelf registration process relating to the securities described in this prospectus supplement was initially filed with the Securities and Exchange Commission, or the SEC, on November 25, 2020 and was declared effective on December 4, 2020.</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of securities.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It is also important for you to read and consider all information contained in this prospectus supplement and the accompanying prospectus, including the documents we have referred you to in the section entitled “Where You Can Find More Information” below in this prospectus supplement.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You should assume that the information contained in this prospectus supplement, the accompanying prospectus and the documents incorporated by reference is accurate only as of their respective dates.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distribution of this prospectus supplement and the accompanying prospectus and the offering of the common stock in certain jurisdictions may be restricted by law. We are not, and the placement agent is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Unless the context indicates otherwise, in this prospectus supplement and the accompanying prospectus the terms, the terms “Microbot,” the “Company,” “we,” “our” or “us” in this prospectus supplement refer to Microbot Medical Inc. and its wholly-owned subsidiaries.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613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6613525"/>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prospectus supplement and the documents incorporated by reference in this prospectus supplement include forward-looking statements within the meaning of Section 27A of the Securities Act of 1933, as amended, or the Securities Act, and Section 21E of the Securities Exchange Act of 1934, as amended, or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our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supplement, in the documents incorporated by reference in this prospectus supplement,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light of these assumptions, risks and uncertainties, the results and events discussed in the forward-looking statements contained in this prospectus supplement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8559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8559165"/>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base prospectus, including the documents incorporated by reference, which are described under “Where You Can Find Additional Information” and “Incorporation of Certain Information by Reference” in this prospectus supplement. You should also carefully consider the matters discussed in the section in this prospectus supplement entitled “Risk Factors.”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pre-clinical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81"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color w:val="auto"/>
        </w:rPr>
        <w:t>Using our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technological platform, we are developing the first ever fully disposable robot for various endovascular interventional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Concurrent Private Placement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 concurrent private placement, we are also issuing to the purchasers of our shares of common stock in this offering, series D preferred investment options to purchase up to 312,309 shares of our common stock. Each series D preferred investment option will be exercisable for one share of common stock at an exercise price of $3.19 commencing on the date of issuance and will expire five and one-half years from the initial exercise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Offerings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June 2, 2023, we entered into a securities purchase agreement with institutional investors, pursuant to which we agreed to issue and sell in a registered direct offering an aggregate of 701,756 shares of our common stock, at an offering price of $2.1375 per share for aggregate gross proceeds of approximately $1.5 million before deducting the placement agent fee and related offering expenses (the “June Offering”). We also agreed to issue to H.C. Wainwright &amp; Co., LLC or its designees preferred investment options to purchase 35,088 shares of our common stock. In a concurrent private placement with the June Offering, we also issued to the purchasers of our shares of common stock, series C preferred investment options to purchase up to 350,878 shares of our common stock. Each series C preferred investment option is exercisable for one share of common stock at an exercise price of $2.075 commencing on June 6, 2023 and will expire five and one-half years from the initial exercise date. The registered direct offering and the concurrent private placement were consummated on June 6, 2023.</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23, 2023, we entered into a securities purchase agreement with an institutional investor, pursuant to which we agreed to issue and sell in a registered direct offering (i) an aggregate of 975,000 shares of our common stock, at an offering price of $2.20 per share and (ii) pre-funded warrants exercisable for up to 234,500 shares of our common stock, at an offering price of $2.1999 per pre-funded warrant, for aggregate gross proceeds of approximately $2.66 million before deducting the placement agent fee and related offering expenses (the “Second May Offering”). We also agreed to issue to H.C. Wainwright &amp; Co., LLC or its designees preferred investment options to purchase 60,475 shares of our common stock. The registered direct offering was consummated on May 24, 2023.</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22, 2023, we entered into a securities purchase agreement with an institutional investor, pursuant to which we agreed to issue and sell in a registered direct offering an aggregate of 655,569 shares of our common stock, at an offering price of $2.20 per share, for aggregate gross proceeds of approximately $1.4 million before deducting the placement agent fee and related offering expenses. We also agreed to issue to H.C. Wainwright &amp; Co., LLC or its designees preferred investment options to purchase 32,778 shares of our common stock. The registered direct offering was consummated on May 23,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Investment Options Amendment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the Second May Offering, we agreed to amend the terms of (i) the Series A preferred investment options to purchase 1,022,495 shares of our common stock for an exercise price of $4.64 per share which are scheduled to expire on October 25, 2027 and (ii) the Series B preferred investment options to purchase 1,022,495 shares of our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and further described in our Current Report on Form 8-K filed on October 25,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7479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7479030"/>
                    </a:xfrm>
                    <a:prstGeom prst="rect">
                      <a:avLst/>
                    </a:prstGeom>
                    <a:noFill/>
                  </pic:spPr>
                </pic:pic>
              </a:graphicData>
            </a:graphic>
          </wp:anchor>
        </w:drawing>
        <w:t>Grant from The Israel Innovation Authority</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June 2, 2023, we announced that we received a grant from the Israel Innovation Authority (“IIA”) in the amount of NIS 1.62 million, which based on a recent exchange rate to the U.S. dollar, would be approximately $440,000, to further finance the development of our manufacturing</w:t>
      </w:r>
    </w:p>
    <w:p>
      <w:pPr>
        <w:spacing w:after="0"/>
        <w:rPr>
          <w:sz w:val="20"/>
          <w:szCs w:val="20"/>
          <w:color w:val="auto"/>
        </w:rPr>
      </w:pPr>
      <w:r>
        <w:rPr>
          <w:rFonts w:ascii="Arial" w:cs="Arial" w:eastAsia="Arial" w:hAnsi="Arial"/>
          <w:sz w:val="18"/>
          <w:szCs w:val="18"/>
          <w:color w:val="auto"/>
        </w:rPr>
        <w:t>process of our flagship robotic surgical system, the LIBERTY</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relation to the IIA grant, we are obligated to pay royalties amounting to between 3%-5% of our future sales of the LIBERTY product up to the grant amount plus interest. The grant is linked to the U.S. dollar and bears interest at Libor per annum. The grant monies will be paid over time based on the terms of the grant, and the U.S. dollar amount actually received will be based on the exchange rate of the U.S. dollar to the New Israeli Shekel at the time of payment.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Core-Business Focus Program</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15, 2023, our Board of Directors authorized, and we commenced, a core-business focus program while we seek to raise additional capital to continue development of the LIBERTY robotic system. This core-business focus program includes the cessation of research and development activities not related to LIBERTY, including terminating our agreement with CardioSert Ltd. for that technology, and returning intellectual property relating to the Self Cleaning Shunt (Virob) and TipCat to Technion Research and Development Foundation.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Reduction Plan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15, 2023, in addition to the core-business focus program described above, our Board of Directors authorized, and we commenced, a cost reduction plan while we seek to raise additional capital to continue development of the LIBERTY robotic system. This cost reduction plan includes:</w:t>
      </w:r>
    </w:p>
    <w:p>
      <w:pPr>
        <w:spacing w:after="0" w:line="184" w:lineRule="exact"/>
        <w:rPr>
          <w:sz w:val="20"/>
          <w:szCs w:val="20"/>
          <w:color w:val="auto"/>
        </w:rPr>
      </w:pPr>
    </w:p>
    <w:p>
      <w:pPr>
        <w:ind w:left="320" w:hanging="315"/>
        <w:spacing w:after="0" w:line="277"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 its research &amp; development and regulatory efforts to complete the LIBERTY’s verification and validation process (“V&amp;V”), complete robotics build-up and execute first in human cases outside the USA.</w:t>
      </w:r>
    </w:p>
    <w:p>
      <w:pPr>
        <w:spacing w:after="0" w:line="170" w:lineRule="exact"/>
        <w:rPr>
          <w:rFonts w:ascii="Arial" w:cs="Arial" w:eastAsia="Arial" w:hAnsi="Arial"/>
          <w:sz w:val="18"/>
          <w:szCs w:val="18"/>
          <w:color w:val="auto"/>
        </w:rPr>
      </w:pPr>
    </w:p>
    <w:p>
      <w:pPr>
        <w:ind w:left="320" w:hanging="315"/>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Postpone a Good Laboratory Practice study for LIBERTY until the completion of the V&amp;V.</w:t>
      </w:r>
    </w:p>
    <w:p>
      <w:pPr>
        <w:spacing w:after="0" w:line="225" w:lineRule="exact"/>
        <w:rPr>
          <w:rFonts w:ascii="Arial" w:cs="Arial" w:eastAsia="Arial" w:hAnsi="Arial"/>
          <w:sz w:val="18"/>
          <w:szCs w:val="18"/>
          <w:color w:val="auto"/>
        </w:rPr>
      </w:pPr>
    </w:p>
    <w:p>
      <w:pPr>
        <w:ind w:left="320" w:hanging="315"/>
        <w:spacing w:after="0" w:line="277"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Harel Gadot, Chairman, our President and CEO, has agreed to a reduction of 50% of his base salary, with terms and conditions with respect to the reduction period to be determined.</w:t>
      </w:r>
    </w:p>
    <w:p>
      <w:pPr>
        <w:spacing w:after="0" w:line="197" w:lineRule="exact"/>
        <w:rPr>
          <w:rFonts w:ascii="Arial" w:cs="Arial" w:eastAsia="Arial" w:hAnsi="Arial"/>
          <w:sz w:val="18"/>
          <w:szCs w:val="18"/>
          <w:color w:val="auto"/>
        </w:rPr>
      </w:pPr>
    </w:p>
    <w:p>
      <w:pPr>
        <w:ind w:left="320" w:hanging="315"/>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executive officers have agreed to a reduction of 30-40% of base salary, as follows:</w:t>
      </w:r>
    </w:p>
    <w:p>
      <w:pPr>
        <w:spacing w:after="0" w:line="225" w:lineRule="exact"/>
        <w:rPr>
          <w:rFonts w:ascii="Arial" w:cs="Arial" w:eastAsia="Arial" w:hAnsi="Arial"/>
          <w:sz w:val="18"/>
          <w:szCs w:val="18"/>
          <w:color w:val="auto"/>
        </w:rPr>
      </w:pPr>
    </w:p>
    <w:p>
      <w:pPr>
        <w:jc w:val="both"/>
        <w:ind w:left="660" w:hanging="331"/>
        <w:spacing w:after="0" w:line="275"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Rachel Vaknin, CFO</w:t>
      </w:r>
      <w:r>
        <w:rPr>
          <w:rFonts w:ascii="Arial" w:cs="Arial" w:eastAsia="Arial" w:hAnsi="Arial"/>
          <w:sz w:val="17"/>
          <w:szCs w:val="17"/>
          <w:color w:val="auto"/>
        </w:rPr>
        <w:t>. Pursuant to an Addendum to Employment Agreement, Ms. Vaknin’s gross monthly salary was decreased to a gross</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NIS 35,000. Social and fringe benefits due to Ms. Vaknin shall be calculated based upon the updated salary, excluding sick days and vacation days which will continue to be accumulated per her existing employment agreement. Notwithstanding the foregoing, in the event of termination of Ms. Vaknin’s employment, either by us or by Ms. Vaknin, the redemption of accrued vacation days and the payment of prior notice period shall be calculated based on Ms. Vaknin’s salary prior to May 15, 2023.</w:t>
      </w:r>
    </w:p>
    <w:p>
      <w:pPr>
        <w:spacing w:after="0" w:line="176" w:lineRule="exact"/>
        <w:rPr>
          <w:rFonts w:ascii="Arial" w:cs="Arial" w:eastAsia="Arial" w:hAnsi="Arial"/>
          <w:sz w:val="17"/>
          <w:szCs w:val="17"/>
          <w:color w:val="auto"/>
        </w:rPr>
      </w:pPr>
    </w:p>
    <w:p>
      <w:pPr>
        <w:jc w:val="both"/>
        <w:ind w:left="660" w:hanging="331"/>
        <w:spacing w:after="0" w:line="275"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Simon Sharon, CTO and General Manager</w:t>
      </w:r>
      <w:r>
        <w:rPr>
          <w:rFonts w:ascii="Arial" w:cs="Arial" w:eastAsia="Arial" w:hAnsi="Arial"/>
          <w:sz w:val="17"/>
          <w:szCs w:val="17"/>
          <w:color w:val="auto"/>
        </w:rPr>
        <w:t>. Pursuant to an Addendum to Employment Agreement, Mr. Sharon’s gross monthly salary was</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to a gross amount of NIS 44,496. Social and fringe benefits due to Mr. Sharon shall be calculated based upon the updated salary, excluding sick days and vacation days which will continue to be accumulated per his existing employment agreement. Notwithstanding the foregoing, in the event of termination of Mr. Sharon’s employment, either by us or by Mr. Sharon, the redemption of accrued vacation days and the payment of prior notice period shall be calculated based on Mr. Sharon’s salary prior to May 15, 2023.</w:t>
      </w:r>
    </w:p>
    <w:p>
      <w:pPr>
        <w:spacing w:after="0" w:line="176" w:lineRule="exact"/>
        <w:rPr>
          <w:rFonts w:ascii="Arial" w:cs="Arial" w:eastAsia="Arial" w:hAnsi="Arial"/>
          <w:sz w:val="17"/>
          <w:szCs w:val="17"/>
          <w:color w:val="auto"/>
        </w:rPr>
      </w:pPr>
    </w:p>
    <w:p>
      <w:pPr>
        <w:jc w:val="both"/>
        <w:ind w:left="660" w:hanging="331"/>
        <w:spacing w:after="0" w:line="293" w:lineRule="auto"/>
        <w:tabs>
          <w:tab w:leader="none" w:pos="660"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Eyal Morag, CMO</w:t>
      </w:r>
      <w:r>
        <w:rPr>
          <w:rFonts w:ascii="Arial" w:cs="Arial" w:eastAsia="Arial" w:hAnsi="Arial"/>
          <w:sz w:val="16"/>
          <w:szCs w:val="16"/>
          <w:color w:val="auto"/>
        </w:rPr>
        <w:t>. Pursuant to an Addendum to Employment Agreement, Dr. Morag’s gross monthly salary was decreased to a gross amount</w:t>
      </w:r>
      <w:r>
        <w:rPr>
          <w:rFonts w:ascii="Arial" w:cs="Arial" w:eastAsia="Arial" w:hAnsi="Arial"/>
          <w:sz w:val="16"/>
          <w:szCs w:val="16"/>
          <w:i w:val="1"/>
          <w:iCs w:val="1"/>
          <w:color w:val="auto"/>
        </w:rPr>
        <w:t xml:space="preserve"> </w:t>
      </w:r>
      <w:r>
        <w:rPr>
          <w:rFonts w:ascii="Arial" w:cs="Arial" w:eastAsia="Arial" w:hAnsi="Arial"/>
          <w:sz w:val="16"/>
          <w:szCs w:val="16"/>
          <w:color w:val="auto"/>
        </w:rPr>
        <w:t>of NIS 49,440. Social and fringe benefits due to Dr. Morag shall be calculated based upon the updated salary, excluding sick days and vacation days which will continue to be accumulated per his existing employment agreement. Notwithstanding the foregoing, in the event of termination of Dr. Morag’s employment, either by us or by Dr. Morag, the redemption of accrued vacation days and the payment of prior notice period shall be calculated based on Dr. Morag’s salary prior to May 15, 2023. Pursuant to a separate Addendum to Employment Agreement, the advance notice period upon termination of Dr. Morag’s Employment Agreement was shortened to ninety days.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7" w:name="page8"/>
    <w:bookmarkEnd w:id="7"/>
    <w:p>
      <w:pPr>
        <w:ind w:left="320" w:hanging="315"/>
        <w:spacing w:after="0" w:line="27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10067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10067925"/>
                    </a:xfrm>
                    <a:prstGeom prst="rect">
                      <a:avLst/>
                    </a:prstGeom>
                    <a:noFill/>
                  </pic:spPr>
                </pic:pic>
              </a:graphicData>
            </a:graphic>
          </wp:anchor>
        </w:drawing>
        <w:t>The independent members of the Board of Directors have agreed to a suspension of their director fees, with reinstatement of such fees to be determined.</w:t>
      </w:r>
    </w:p>
    <w:p>
      <w:pPr>
        <w:spacing w:after="0" w:line="170" w:lineRule="exact"/>
        <w:rPr>
          <w:rFonts w:ascii="Arial" w:cs="Arial" w:eastAsia="Arial" w:hAnsi="Arial"/>
          <w:sz w:val="18"/>
          <w:szCs w:val="18"/>
          <w:color w:val="auto"/>
        </w:rPr>
      </w:pPr>
    </w:p>
    <w:p>
      <w:pPr>
        <w:ind w:left="320" w:hanging="315"/>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Freeze on new hires.</w:t>
      </w:r>
    </w:p>
    <w:p>
      <w:pPr>
        <w:spacing w:after="0" w:line="225" w:lineRule="exact"/>
        <w:rPr>
          <w:rFonts w:ascii="Arial" w:cs="Arial" w:eastAsia="Arial" w:hAnsi="Arial"/>
          <w:sz w:val="18"/>
          <w:szCs w:val="18"/>
          <w:color w:val="auto"/>
        </w:rPr>
      </w:pPr>
    </w:p>
    <w:p>
      <w:pPr>
        <w:jc w:val="both"/>
        <w:ind w:left="320" w:hanging="315"/>
        <w:spacing w:after="0" w:line="263"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 employee headcount in both the US and Israel offices which are not directly involved in the research &amp; development and/or regulatory process of LIBERTY, while retaining research &amp; development and clinical-related employees to support the completion of the V&amp;V and production of LIBERTY systems.</w:t>
      </w:r>
    </w:p>
    <w:p>
      <w:pPr>
        <w:spacing w:after="0" w:line="183" w:lineRule="exact"/>
        <w:rPr>
          <w:rFonts w:ascii="Arial" w:cs="Arial" w:eastAsia="Arial" w:hAnsi="Arial"/>
          <w:sz w:val="18"/>
          <w:szCs w:val="18"/>
          <w:color w:val="auto"/>
        </w:rPr>
      </w:pPr>
    </w:p>
    <w:p>
      <w:pPr>
        <w:ind w:left="320" w:hanging="315"/>
        <w:spacing w:after="0" w:line="27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Professor Moshe Shoham, a co-founder of the Company and currently a member of our Scientific Advisory Board (“SAB”), waived his SAB fees, with fees payable to the remaining SAB members to be restructured.</w:t>
      </w:r>
    </w:p>
    <w:p>
      <w:pPr>
        <w:spacing w:after="0" w:line="170" w:lineRule="exact"/>
        <w:rPr>
          <w:rFonts w:ascii="Arial" w:cs="Arial" w:eastAsia="Arial" w:hAnsi="Arial"/>
          <w:sz w:val="18"/>
          <w:szCs w:val="18"/>
          <w:color w:val="auto"/>
        </w:rPr>
      </w:pPr>
    </w:p>
    <w:p>
      <w:pPr>
        <w:ind w:left="320" w:hanging="315"/>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Postpone CE activities for the LIBERTY device.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expect that the savings generated from such cost-reduction activities will enable us to continue the V&amp;V and first-in-human cases planned in Brazil or elsewhere, through September 30, 2023, while we continue to seek new sources of financings to stabilize our finances.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First-In-Human Clinical Cases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recently announced that we have initiated preparations for potential First-In-Human cases in Brazil, by engaging with interventional radiologist Prof. Francisco Cesar Carnevale. The engagement with Prof. Carnevale, from University of Sao Paulo Medical School Hospital, is expected to support our intention to conduct a first-in-human clinical trial in Brazil as part of our ongoing clinical and regulatory efforts. The potential clinical cases are expected to commence upon completion of the V&amp;V process of our LIBERTY Robotic system, as well as obtaining the necessary regulatory approvals to perform those cases.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also exploring options to conduct First-In-Human trials or cases in other places where the regulatory laws allow.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Catheterization Milestone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8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Relating to 48 of such catheterizations, a team of six leading European interventional radiologists used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and achieved a 100% success rate in an extensive pre-clinical animal study, held at a leading European-based research lab. The team of radiologists utilized the system and performed a total of 48 catheterizations to pre-determined vascular targets including distal branches of hepatic, gastric, splenic, mesenteric, renal, and hypogastric arteries.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including our Annual Report on Form 10-K for the year ended December 31, 2022 as described under the caption “Incorporation of Documents by Reference” on page S-17 of this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Our principal executive offices are located at 25 Recreation Park Drive, Unit 108, Hingham, Massachusetts 02043. Microbot also has an executive office at 6 Hayozma Street, Yoqneam, P.O.B. 242, Israel 2069204. Our telephone number is (781) 875-3605. We maintain an Internet website at </w:t>
      </w:r>
      <w:r>
        <w:rPr>
          <w:rFonts w:ascii="Arial" w:cs="Arial" w:eastAsia="Arial" w:hAnsi="Arial"/>
          <w:sz w:val="16"/>
          <w:szCs w:val="16"/>
          <w:i w:val="1"/>
          <w:iCs w:val="1"/>
          <w:color w:val="auto"/>
        </w:rPr>
        <w:t>www.microbotmedical.com</w:t>
      </w:r>
      <w:r>
        <w:rPr>
          <w:rFonts w:ascii="Arial" w:cs="Arial" w:eastAsia="Arial" w:hAnsi="Arial"/>
          <w:sz w:val="16"/>
          <w:szCs w:val="16"/>
          <w:color w:val="auto"/>
        </w:rPr>
        <w:t>. The information contained on, connected to or that can be accessed via our website is not part of this prospectus supplement. We have included our website address in this prospectus supplement as an inactive textual reference only and not as an active hyperlink.</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Annual Reports on Form 10-K, Quarterly Reports on Form 10-Q, Current Reports on Form 8-K and all amendments to those reports filed or furnished pursuant to Section 13(a) or 15(d) of the Exchange Act, are available free of charge through the investor relations page of our internet website as soon as reasonably practicable after we electronically file such material with, or furnish it to,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“smaller reporting company” as defined in the Exchange Act, and have elected to take advantage of certain of the scaled disclosures available to smaller reporting companies, including certain of the reduced disclosure obligations in the registration statement of which this prospectus supplement is a part. As a result, the information that we provide to our stockholders may be different than you might receive from other public reporting companies in which you hold equity interests.</w:t>
      </w:r>
    </w:p>
    <w:p>
      <w:pPr>
        <w:sectPr>
          <w:pgSz w:w="11900" w:h="16838" w:orient="portrait"/>
          <w:cols w:equalWidth="0" w:num="1">
            <w:col w:w="10920"/>
          </w:cols>
          <w:pgMar w:left="480" w:top="908" w:right="49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36830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455"/>
        </w:trPr>
        <w:tc>
          <w:tcPr>
            <w:tcW w:w="40" w:type="dxa"/>
            <w:vAlign w:val="bottom"/>
            <w:tcBorders>
              <w:right w:val="single" w:sz="8" w:color="auto"/>
            </w:tcBorders>
          </w:tcPr>
          <w:p>
            <w:pPr>
              <w:spacing w:after="0"/>
              <w:rPr>
                <w:sz w:val="24"/>
                <w:szCs w:val="24"/>
                <w:color w:val="auto"/>
              </w:rPr>
            </w:pPr>
          </w:p>
        </w:tc>
        <w:tc>
          <w:tcPr>
            <w:tcW w:w="3480" w:type="dxa"/>
            <w:vAlign w:val="bottom"/>
            <w:tcBorders>
              <w:top w:val="single" w:sz="8" w:color="auto"/>
            </w:tcBorders>
          </w:tcPr>
          <w:p>
            <w:pPr>
              <w:spacing w:after="0"/>
              <w:rPr>
                <w:sz w:val="24"/>
                <w:szCs w:val="24"/>
                <w:color w:val="auto"/>
              </w:rPr>
            </w:pPr>
          </w:p>
        </w:tc>
        <w:tc>
          <w:tcPr>
            <w:tcW w:w="772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40" w:type="dxa"/>
            <w:vAlign w:val="bottom"/>
            <w:tcBorders>
              <w:right w:val="single" w:sz="8" w:color="auto"/>
            </w:tcBorders>
          </w:tcPr>
          <w:p>
            <w:pPr>
              <w:spacing w:after="0"/>
              <w:rPr>
                <w:sz w:val="24"/>
                <w:szCs w:val="24"/>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Common Stock Offered in This Offering</w:t>
            </w: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624,618 shares of our common stock, par value $0.01 per share</w:t>
            </w:r>
          </w:p>
        </w:tc>
      </w:tr>
      <w:tr>
        <w:trPr>
          <w:trHeight w:val="634"/>
        </w:trPr>
        <w:tc>
          <w:tcPr>
            <w:tcW w:w="40" w:type="dxa"/>
            <w:vAlign w:val="bottom"/>
            <w:tcBorders>
              <w:right w:val="single" w:sz="8" w:color="auto"/>
            </w:tcBorders>
          </w:tcPr>
          <w:p>
            <w:pPr>
              <w:spacing w:after="0"/>
              <w:rPr>
                <w:sz w:val="24"/>
                <w:szCs w:val="24"/>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Common Stock Outstanding Before This</w:t>
            </w: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11,082,699 shares.</w:t>
            </w:r>
          </w:p>
        </w:tc>
      </w:tr>
      <w:tr>
        <w:trPr>
          <w:trHeight w:val="230"/>
        </w:trPr>
        <w:tc>
          <w:tcPr>
            <w:tcW w:w="4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Offering</w:t>
            </w:r>
          </w:p>
        </w:tc>
        <w:tc>
          <w:tcPr>
            <w:tcW w:w="7720" w:type="dxa"/>
            <w:vAlign w:val="bottom"/>
            <w:tcBorders>
              <w:right w:val="single" w:sz="8" w:color="auto"/>
            </w:tcBorders>
          </w:tcPr>
          <w:p>
            <w:pPr>
              <w:spacing w:after="0"/>
              <w:rPr>
                <w:sz w:val="20"/>
                <w:szCs w:val="20"/>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w w:val="94"/>
              </w:rPr>
              <w:t>Common Stock to be Outstanding After This</w:t>
            </w: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11,707,317 shares.</w:t>
            </w:r>
          </w:p>
        </w:tc>
      </w:tr>
      <w:tr>
        <w:trPr>
          <w:trHeight w:val="230"/>
        </w:trPr>
        <w:tc>
          <w:tcPr>
            <w:tcW w:w="4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Offering</w:t>
            </w:r>
          </w:p>
        </w:tc>
        <w:tc>
          <w:tcPr>
            <w:tcW w:w="7720" w:type="dxa"/>
            <w:vAlign w:val="bottom"/>
            <w:tcBorders>
              <w:right w:val="single" w:sz="8" w:color="auto"/>
            </w:tcBorders>
          </w:tcPr>
          <w:p>
            <w:pPr>
              <w:spacing w:after="0"/>
              <w:rPr>
                <w:sz w:val="20"/>
                <w:szCs w:val="20"/>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6"/>
              </w:rPr>
              <w:t>We estimate the net proceeds from this offering will be approximately $1.75 million after deducting</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7"/>
              </w:rPr>
              <w:t>estimated offering expenses payable by us. We currently intend to use the net proceeds from this</w:t>
            </w:r>
          </w:p>
        </w:tc>
      </w:tr>
      <w:tr>
        <w:trPr>
          <w:trHeight w:val="214"/>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offering  for  the  continued  development,  commercialization  and  regulatory  activities  for  the</w:t>
            </w:r>
          </w:p>
        </w:tc>
      </w:tr>
      <w:tr>
        <w:trPr>
          <w:trHeight w:val="259"/>
        </w:trPr>
        <w:tc>
          <w:tcPr>
            <w:tcW w:w="40" w:type="dxa"/>
            <w:vAlign w:val="bottom"/>
            <w:tcBorders>
              <w:right w:val="single" w:sz="8" w:color="auto"/>
            </w:tcBorders>
          </w:tcPr>
          <w:p>
            <w:pPr>
              <w:spacing w:after="0"/>
              <w:rPr>
                <w:sz w:val="22"/>
                <w:szCs w:val="22"/>
                <w:color w:val="auto"/>
              </w:rPr>
            </w:pPr>
          </w:p>
        </w:tc>
        <w:tc>
          <w:tcPr>
            <w:tcW w:w="3480" w:type="dxa"/>
            <w:vAlign w:val="bottom"/>
          </w:tcPr>
          <w:p>
            <w:pPr>
              <w:spacing w:after="0"/>
              <w:rPr>
                <w:sz w:val="22"/>
                <w:szCs w:val="22"/>
                <w:color w:val="auto"/>
              </w:rPr>
            </w:pPr>
          </w:p>
        </w:tc>
        <w:tc>
          <w:tcPr>
            <w:tcW w:w="7720" w:type="dxa"/>
            <w:vAlign w:val="bottom"/>
            <w:tcBorders>
              <w:right w:val="single" w:sz="8" w:color="auto"/>
            </w:tcBorders>
          </w:tcPr>
          <w:p>
            <w:pPr>
              <w:ind w:left="140"/>
              <w:spacing w:after="0" w:line="259" w:lineRule="exact"/>
              <w:rPr>
                <w:sz w:val="20"/>
                <w:szCs w:val="20"/>
                <w:color w:val="auto"/>
              </w:rPr>
            </w:pPr>
            <w:r>
              <w:rPr>
                <w:rFonts w:ascii="Arial" w:cs="Arial" w:eastAsia="Arial" w:hAnsi="Arial"/>
                <w:sz w:val="18"/>
                <w:szCs w:val="18"/>
                <w:color w:val="auto"/>
                <w:w w:val="95"/>
              </w:rPr>
              <w:t>LIBERTY</w:t>
            </w:r>
            <w:r>
              <w:rPr>
                <w:rFonts w:ascii="Arial" w:cs="Arial" w:eastAsia="Arial" w:hAnsi="Arial"/>
                <w:sz w:val="29"/>
                <w:szCs w:val="29"/>
                <w:color w:val="auto"/>
                <w:w w:val="95"/>
                <w:vertAlign w:val="superscript"/>
              </w:rPr>
              <w:t>®</w:t>
            </w:r>
            <w:r>
              <w:rPr>
                <w:rFonts w:ascii="Arial" w:cs="Arial" w:eastAsia="Arial" w:hAnsi="Arial"/>
                <w:sz w:val="18"/>
                <w:szCs w:val="18"/>
                <w:color w:val="auto"/>
                <w:w w:val="95"/>
              </w:rPr>
              <w:t xml:space="preserve"> Robotic System, expansion and development of additional applications derived from our</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existing intellectual property portfolio, and for working capital and other general corporate purposes.</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As a result, our management will retain broad discretion in the allocation and use of the net proceeds</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6"/>
              </w:rPr>
              <w:t>of this offering, and investors will be relying on the judgment of our management with regard to the</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0"/>
              </w:rPr>
              <w:t>use of these net proceeds. Pending application of the net proceeds for the purposes as described above,</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we expect to invest the net proceeds in short-term, interest-bearing securities, investment grade</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securities, certificates of deposit or direct or guaranteed obligations of the U.S. government. See “Use</w:t>
            </w:r>
          </w:p>
        </w:tc>
      </w:tr>
      <w:tr>
        <w:trPr>
          <w:trHeight w:val="230"/>
        </w:trPr>
        <w:tc>
          <w:tcPr>
            <w:tcW w:w="40" w:type="dxa"/>
            <w:vAlign w:val="bottom"/>
            <w:tcBorders>
              <w:right w:val="single" w:sz="8" w:color="auto"/>
            </w:tcBorders>
          </w:tcPr>
          <w:p>
            <w:pPr>
              <w:spacing w:after="0"/>
              <w:rPr>
                <w:sz w:val="20"/>
                <w:szCs w:val="20"/>
                <w:color w:val="auto"/>
              </w:rPr>
            </w:pPr>
          </w:p>
        </w:tc>
        <w:tc>
          <w:tcPr>
            <w:tcW w:w="3480" w:type="dxa"/>
            <w:vAlign w:val="bottom"/>
          </w:tcPr>
          <w:p>
            <w:pPr>
              <w:spacing w:after="0"/>
              <w:rPr>
                <w:sz w:val="20"/>
                <w:szCs w:val="20"/>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of Proceeds” on page S-10.</w:t>
            </w:r>
          </w:p>
        </w:tc>
      </w:tr>
      <w:tr>
        <w:trPr>
          <w:trHeight w:val="418"/>
        </w:trPr>
        <w:tc>
          <w:tcPr>
            <w:tcW w:w="40" w:type="dxa"/>
            <w:vAlign w:val="bottom"/>
            <w:tcBorders>
              <w:right w:val="single" w:sz="8" w:color="auto"/>
            </w:tcBorders>
          </w:tcPr>
          <w:p>
            <w:pPr>
              <w:spacing w:after="0"/>
              <w:rPr>
                <w:sz w:val="24"/>
                <w:szCs w:val="24"/>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Investing in our securities involves a high degree of risk. Before you decide to invest in our common</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stock, you should carefully read this prospectus supplement in its entirety and carefully consider the</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risks and uncertainties described in “Risk Factors” beginning on page S-8 of this prospectus</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supplement, beginning on page 4 of the accompanying base prospectus and in our Annual Report on</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Form 10-K for the fiscal year ended December 31, 2022, as such risk factors may be amended,</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updated or modified periodically in our reports filed with the SEC, and the financial data and related</w:t>
            </w:r>
          </w:p>
        </w:tc>
      </w:tr>
      <w:tr>
        <w:trPr>
          <w:trHeight w:val="230"/>
        </w:trPr>
        <w:tc>
          <w:tcPr>
            <w:tcW w:w="40" w:type="dxa"/>
            <w:vAlign w:val="bottom"/>
            <w:tcBorders>
              <w:right w:val="single" w:sz="8" w:color="auto"/>
            </w:tcBorders>
          </w:tcPr>
          <w:p>
            <w:pPr>
              <w:spacing w:after="0"/>
              <w:rPr>
                <w:sz w:val="20"/>
                <w:szCs w:val="20"/>
                <w:color w:val="auto"/>
              </w:rPr>
            </w:pPr>
          </w:p>
        </w:tc>
        <w:tc>
          <w:tcPr>
            <w:tcW w:w="3480" w:type="dxa"/>
            <w:vAlign w:val="bottom"/>
          </w:tcPr>
          <w:p>
            <w:pPr>
              <w:spacing w:after="0"/>
              <w:rPr>
                <w:sz w:val="20"/>
                <w:szCs w:val="20"/>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notes and the reports incorporated by reference herein and therein.</w:t>
            </w:r>
          </w:p>
        </w:tc>
      </w:tr>
      <w:tr>
        <w:trPr>
          <w:trHeight w:val="418"/>
        </w:trPr>
        <w:tc>
          <w:tcPr>
            <w:tcW w:w="40" w:type="dxa"/>
            <w:vAlign w:val="bottom"/>
            <w:tcBorders>
              <w:right w:val="single" w:sz="8" w:color="auto"/>
            </w:tcBorders>
          </w:tcPr>
          <w:p>
            <w:pPr>
              <w:spacing w:after="0"/>
              <w:rPr>
                <w:sz w:val="24"/>
                <w:szCs w:val="24"/>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Concurrent Private Placement</w:t>
            </w: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In a concurrent private placement, we are also selling to the same institutional investors of our shares</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of common stock, unregistered series D preferred investment options to purchase up to 312,309 shares</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of our common stock. Each series D preferred investment option will be exercisable for one share of</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common stock at an exercise price of $3.19 commencing on the date of issuance and will expire five</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and one-half years from the initial exercise date. The series D preferred investment options and the</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0"/>
              </w:rPr>
              <w:t>shares of common stock issuable upon the exercise of such securities are not being registered under the</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Securities Act of 1933, as amended (the “Securities Act”), are not being offered pursuant to this</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prospectus supplement and the accompanying prospectus and are being offered pursuant to the</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exemption provided in Section 4(a)(2) under the Securities Act and Rule 506(b) promulgated</w:t>
            </w:r>
          </w:p>
        </w:tc>
      </w:tr>
      <w:tr>
        <w:trPr>
          <w:trHeight w:val="230"/>
        </w:trPr>
        <w:tc>
          <w:tcPr>
            <w:tcW w:w="40" w:type="dxa"/>
            <w:vAlign w:val="bottom"/>
            <w:tcBorders>
              <w:right w:val="single" w:sz="8" w:color="auto"/>
            </w:tcBorders>
          </w:tcPr>
          <w:p>
            <w:pPr>
              <w:spacing w:after="0"/>
              <w:rPr>
                <w:sz w:val="20"/>
                <w:szCs w:val="20"/>
                <w:color w:val="auto"/>
              </w:rPr>
            </w:pPr>
          </w:p>
        </w:tc>
        <w:tc>
          <w:tcPr>
            <w:tcW w:w="3480" w:type="dxa"/>
            <w:vAlign w:val="bottom"/>
          </w:tcPr>
          <w:p>
            <w:pPr>
              <w:spacing w:after="0"/>
              <w:rPr>
                <w:sz w:val="20"/>
                <w:szCs w:val="20"/>
                <w:color w:val="auto"/>
              </w:rPr>
            </w:pP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thereunder. See the section titled “Private Placement Transaction.”</w:t>
            </w:r>
          </w:p>
        </w:tc>
      </w:tr>
      <w:tr>
        <w:trPr>
          <w:trHeight w:val="432"/>
        </w:trPr>
        <w:tc>
          <w:tcPr>
            <w:tcW w:w="40" w:type="dxa"/>
            <w:vAlign w:val="bottom"/>
            <w:tcBorders>
              <w:right w:val="single" w:sz="8" w:color="auto"/>
            </w:tcBorders>
          </w:tcPr>
          <w:p>
            <w:pPr>
              <w:spacing w:after="0"/>
              <w:rPr>
                <w:sz w:val="24"/>
                <w:szCs w:val="24"/>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Nasdaq Capital Market Symbol</w:t>
            </w:r>
          </w:p>
        </w:tc>
        <w:tc>
          <w:tcPr>
            <w:tcW w:w="7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“MBOT”.</w:t>
            </w:r>
          </w:p>
        </w:tc>
      </w:tr>
      <w:tr>
        <w:trPr>
          <w:trHeight w:val="220"/>
        </w:trPr>
        <w:tc>
          <w:tcPr>
            <w:tcW w:w="40" w:type="dxa"/>
            <w:vAlign w:val="bottom"/>
            <w:tcBorders>
              <w:right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19"/>
                <w:szCs w:val="19"/>
                <w:color w:val="auto"/>
              </w:rPr>
            </w:pPr>
          </w:p>
        </w:tc>
        <w:tc>
          <w:tcPr>
            <w:tcW w:w="7720" w:type="dxa"/>
            <w:vAlign w:val="bottom"/>
            <w:tcBorders>
              <w:bottom w:val="single" w:sz="8" w:color="auto"/>
              <w:right w:val="single" w:sz="8" w:color="auto"/>
            </w:tcBorders>
          </w:tcPr>
          <w:p>
            <w:pPr>
              <w:spacing w:after="0"/>
              <w:rPr>
                <w:sz w:val="19"/>
                <w:szCs w:val="19"/>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240"/>
          </w:cols>
          <w:pgMar w:left="320" w:top="663" w:right="339" w:bottom="1440" w:gutter="0" w:footer="0" w:header="0"/>
        </w:sectPr>
      </w:pPr>
    </w:p>
    <w:bookmarkStart w:id="10" w:name="page11"/>
    <w:bookmarkEnd w:id="10"/>
    <w:p>
      <w:pPr>
        <w:ind w:firstLine="64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4967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4967605"/>
                    </a:xfrm>
                    <a:prstGeom prst="rect">
                      <a:avLst/>
                    </a:prstGeom>
                    <a:noFill/>
                  </pic:spPr>
                </pic:pic>
              </a:graphicData>
            </a:graphic>
          </wp:anchor>
        </w:drawing>
        <w:t>The number of shares of common stock to be outstanding immediately after this offering is based on 11,082,699 shares of our common stock outstanding as of June 23, 2023 and excludes the following securities outstanding on June 23, 2023:</w:t>
      </w:r>
    </w:p>
    <w:p>
      <w:pPr>
        <w:spacing w:after="0" w:line="170" w:lineRule="exact"/>
        <w:rPr>
          <w:sz w:val="20"/>
          <w:szCs w:val="20"/>
          <w:color w:val="auto"/>
        </w:rPr>
      </w:pPr>
    </w:p>
    <w:p>
      <w:pPr>
        <w:ind w:left="320" w:hanging="315"/>
        <w:spacing w:after="0" w:line="277"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1,556,179 shares of our common stock issuable upon the exercise of outstanding stock options, with exercise prices ranging from approximately $0.005 to $19.35 and having a weighted-average exercise price of $7.14 per share;</w:t>
      </w:r>
    </w:p>
    <w:p>
      <w:pPr>
        <w:spacing w:after="0" w:line="170" w:lineRule="exact"/>
        <w:rPr>
          <w:rFonts w:ascii="Arial" w:cs="Arial" w:eastAsia="Arial" w:hAnsi="Arial"/>
          <w:sz w:val="18"/>
          <w:szCs w:val="18"/>
          <w:color w:val="auto"/>
        </w:rPr>
      </w:pPr>
    </w:p>
    <w:p>
      <w:pPr>
        <w:ind w:left="320" w:hanging="315"/>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113,335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320" w:hanging="315"/>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514,279 shares of our common stock reserved for future grant under our 2020 Omnibus Performance Award Plan;</w:t>
      </w:r>
    </w:p>
    <w:p>
      <w:pPr>
        <w:spacing w:after="0" w:line="225" w:lineRule="exact"/>
        <w:rPr>
          <w:rFonts w:ascii="Arial" w:cs="Arial" w:eastAsia="Arial" w:hAnsi="Arial"/>
          <w:sz w:val="18"/>
          <w:szCs w:val="18"/>
          <w:color w:val="auto"/>
        </w:rPr>
      </w:pPr>
    </w:p>
    <w:p>
      <w:pPr>
        <w:jc w:val="both"/>
        <w:ind w:left="320" w:hanging="315"/>
        <w:spacing w:after="0" w:line="263"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preferred investment options expiring in October 2027, originally at an exercise price per share of $4.64 but amended to a reduced exercise price per share of $2.20 in connection with the offering that was consummated on May 24, 2023;</w:t>
      </w:r>
    </w:p>
    <w:p>
      <w:pPr>
        <w:spacing w:after="0" w:line="183" w:lineRule="exact"/>
        <w:rPr>
          <w:rFonts w:ascii="Arial" w:cs="Arial" w:eastAsia="Arial" w:hAnsi="Arial"/>
          <w:sz w:val="18"/>
          <w:szCs w:val="18"/>
          <w:color w:val="auto"/>
        </w:rPr>
      </w:pPr>
    </w:p>
    <w:p>
      <w:pPr>
        <w:ind w:left="320" w:hanging="315"/>
        <w:spacing w:after="0" w:line="277"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45,045 shares of our common stock issuable upon the exercise of outstanding warrants expiring in June 2023, at an exercise price per share of $13.88;</w:t>
      </w:r>
    </w:p>
    <w:p>
      <w:pPr>
        <w:spacing w:after="0" w:line="170" w:lineRule="exact"/>
        <w:rPr>
          <w:rFonts w:ascii="Arial" w:cs="Arial" w:eastAsia="Arial" w:hAnsi="Arial"/>
          <w:sz w:val="18"/>
          <w:szCs w:val="18"/>
          <w:color w:val="auto"/>
        </w:rPr>
      </w:pPr>
    </w:p>
    <w:p>
      <w:pPr>
        <w:ind w:left="320" w:hanging="315"/>
        <w:spacing w:after="0" w:line="277"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51,125 shares of our common stock issuable upon the exercise of outstanding warrants expiring in October 2027, at an exercise price per share of $6.11;</w:t>
      </w:r>
    </w:p>
    <w:p>
      <w:pPr>
        <w:spacing w:after="0" w:line="170" w:lineRule="exact"/>
        <w:rPr>
          <w:rFonts w:ascii="Arial" w:cs="Arial" w:eastAsia="Arial" w:hAnsi="Arial"/>
          <w:sz w:val="18"/>
          <w:szCs w:val="18"/>
          <w:color w:val="auto"/>
        </w:rPr>
      </w:pPr>
    </w:p>
    <w:p>
      <w:pPr>
        <w:ind w:left="320" w:hanging="315"/>
        <w:spacing w:after="0" w:line="277"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32,778 shares of our common stock issuable upon the exercise of outstanding warrants expiring in November 2026, at an exercise price per share of $2.75;</w:t>
      </w:r>
    </w:p>
    <w:p>
      <w:pPr>
        <w:spacing w:after="0" w:line="170" w:lineRule="exact"/>
        <w:rPr>
          <w:rFonts w:ascii="Arial" w:cs="Arial" w:eastAsia="Arial" w:hAnsi="Arial"/>
          <w:sz w:val="18"/>
          <w:szCs w:val="18"/>
          <w:color w:val="auto"/>
        </w:rPr>
      </w:pPr>
    </w:p>
    <w:p>
      <w:pPr>
        <w:ind w:left="320" w:hanging="315"/>
        <w:spacing w:after="0" w:line="277"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350,878 shares of our common stock issuable upon the exercise of outstanding warrants expiring in November 2028, at an exercise price per share of $2.075;</w:t>
      </w:r>
    </w:p>
    <w:p>
      <w:pPr>
        <w:spacing w:after="0" w:line="170" w:lineRule="exact"/>
        <w:rPr>
          <w:rFonts w:ascii="Arial" w:cs="Arial" w:eastAsia="Arial" w:hAnsi="Arial"/>
          <w:sz w:val="18"/>
          <w:szCs w:val="18"/>
          <w:color w:val="auto"/>
        </w:rPr>
      </w:pPr>
    </w:p>
    <w:p>
      <w:pPr>
        <w:ind w:left="320" w:right="140" w:hanging="315"/>
        <w:spacing w:after="0" w:line="277"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60,476 shares of our common stock issuable upon the exercise of outstanding warrants expiring in November 2026, at an exercise price per share of $2.75; and</w:t>
      </w:r>
    </w:p>
    <w:p>
      <w:pPr>
        <w:spacing w:after="0" w:line="170" w:lineRule="exact"/>
        <w:rPr>
          <w:rFonts w:ascii="Arial" w:cs="Arial" w:eastAsia="Arial" w:hAnsi="Arial"/>
          <w:sz w:val="18"/>
          <w:szCs w:val="18"/>
          <w:color w:val="auto"/>
        </w:rPr>
      </w:pPr>
    </w:p>
    <w:p>
      <w:pPr>
        <w:ind w:left="320" w:hanging="315"/>
        <w:spacing w:after="0" w:line="277"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35,088 shares of our common stock issuable upon the exercise of outstanding warrants expiring in November 2026, at an exercise price per share of $2.6719.</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indicated, this prospectus supplement assumes no exercise of the placement agent warrants and any securities issued in the concurrent private placement.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Investing in our shares of common stock involves a high degree of risk. You should carefully consider the risks, uncertainties and other factors described in our most recent Annual Report on Form 10-K, as supplemented and updated by subsequent Quarterly Reports on Form 10-Q and Current Reports on Form 8-K that we have filed or will filed with the SEC, and in other documents incorporated by reference to our filings with the SEC pursuant to Sections 13(a), 13(c), 14 or 15(d) of the Exchange Act and all other information contained or incorporated by reference in this prospectus supplement and the accompanying base prospectus, including our consolidated financial statements and the related notes, before investing in our common stock. If any of these risks materialize, our business, financial condition or results of operations could be materially harmed. In that case, the trading price of our common stock could decline, and you may lose some or all of your investment.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securities sold in this offering, you will incur immediate dilution.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the price per share of our common stock being offered is higher than the pro forma as adjusted net tangible book value per share of our common stock after giving effect to this offering and the registered direct offerings we consummated in May and June 2023, you will suffer dilution with respect to the pro forma as adjusted net tangible book value of the shares of common stock you purchase in this offering. Based on a public offering price of $3.25 per share and our pro forma as adjusted net tangible book value as of March 31, 2023, if you purchase securities in this offering, you will suffer immediate dilution of $2.25 per share with respect to the net tangible book value of the common stock. You may experience additional dilution upon exercise of the outstanding stock options and other equity awards that may be granted under our equity incentive plans, exercise of outstanding warrants and when we otherwise issue additional shares of our common stock. For more information, see “Dilution.”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 including in connection with pending litigation.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securities purchase agreement (“SPA”) related to our June 8, 2017 equity financing (the “Financing”), of which the Plaintiffs participated, and fraudulently induced Plaintiffs into signing the SPA. The complaint seeks rescission of the SPA and return of the Plaintiffs’ $6.75 million purchase price with respect to the Financing. We are currently in the discovery phase. Management is unable to assess the likelihood that we will succeed at trial with respect to the SPA or the Financing, having previously lost another lawsuit with respect to the Financing. Our failure to apply the net proceeds from this offering effectively, including to any adverse outcome with respect to the defense or settlement of litigation, could have a material adverse effect on our business, delay our product development and cause the price of our common stock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may be future sales of our securities or other dilution of our equity, which may adversely affect the market price of our common stock.</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generally not restricted from issuing additional common stock, including any securities that are convertible into or exchangeable for, or that represent the right to receive, common stock; however, we agreed as part of this offering to not issue any common stock or common stock equivalents, or file any registration statement or amendments or supplements thereto, for a period of 5 trading days from the closing of this offering.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need to raise additional capital in the future to remain a going concern, which may not be available on acceptable terms, or at all. Failure to obtain this necessary capital when needed may force us to delay, limit or terminate our product development efforts or other operations.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Based on our cash balance and recurring losses since inception and inadequacy of existing capital resources to fund planned operations during the next 12 months, we will require significant additional funding to continue operations. We received net proceeds of approximately $4.74 million from the registered direct offerings we consummated in May and June 2023, and we will receive net proceeds of approximately $1.75 million from the sale of the securities offered by us in this offering, after deducting the placement agent fees and estimated offering expenses payable by us and excluding any proceeds we may receive upon exercise of the securities issued in the concurrent private placement. We cannot provide assurances that our plans will not change or that changed circumstances will not result in the depletion of our capital resources more rapidly than we currently anticipate. Moreover,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plan to invest all available funds, including the proceeds from this offering, and future earnings, if any, in the development and growth of our business. We currently do not anticipate paying any cash dividends on our common stock in the foreseeable future. As a result, a rise in the market price of our common stock, which is uncertain and unpredictable, will be your sole source of potential gain in the foreseeable future and you should not rely on an investment in our common stock for dividend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price in response to various factors, many of which are beyond our control, including the following:</w:t>
      </w:r>
    </w:p>
    <w:p>
      <w:pPr>
        <w:spacing w:after="0" w:line="170"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of our operations and product development efforts;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our common stock and decline in demand for our common stock;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investor perception of our industry or our prospects;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securities markets have from time to time experienced significant price and volume fluctuations that are unrelated to the operating performance of particular companies. The COVID-19 pandemic has resulted in significant financial market volatility and uncertainty in the recent past. These market fluctuations may also materially and adversely affect the market price of our common stock. As a result, you may be unable to resell your shares of our common stock at a desired price.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selling the securities offered in this prospectus on a “best efforts” basis and may not be able to sell any of the securities offered herein.</w:t>
      </w:r>
    </w:p>
    <w:p>
      <w:pPr>
        <w:spacing w:after="0" w:line="2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engaged Wainwright to act as placement agent in connection with this offering. While Wainwright will use its reasonable best efforts to arrange for the sale of the securities, they are under no obligation to purchase any of the securities. As a result, there are no firm commitments to purchase any of the securities in this offering. Consequently, there is no guarantee that we will be capable of selling all, or any, of the securities being offered hereby.</w:t>
      </w:r>
    </w:p>
    <w:p>
      <w:pPr>
        <w:sectPr>
          <w:pgSz w:w="11900" w:h="16917" w:orient="portrait"/>
          <w:cols w:equalWidth="0" w:num="1">
            <w:col w:w="11240"/>
          </w:cols>
          <w:pgMar w:left="320" w:top="665" w:right="33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36830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estimate the net proceeds to us from the sale of our common stock in this offering will be approximately $1.75 million after deducting the placement agent fees and estimated offering expenses payable by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currently intend to use the net proceeds from this offering for the continued development, commercialization and regulatory activities for the</w:t>
      </w:r>
    </w:p>
    <w:p>
      <w:pPr>
        <w:spacing w:after="0" w:line="4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expansion and development of additional applications derived from our existing intellectual property portfolio,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securities, you will experience immediate and substantial dilution to the extent of the difference between the amount per share paid in this offering and the net tangible book value per share of our common stock immediately after the offering.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March 31, 2023 was approximately $4,848,000, or $0.60 per share, based on 8,130,628 shares of our common stock outstanding at March 31, 2023.</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pro forma net tangible book value as of March 31, 2023, was approximately $9,595,033, or approximately $0.90 per share, on a pro forma basis to give effect to (i) the registered direct offering of 655,569 shares of common stock at the offering price of $2.20 per share that closed on May 23, 2023, after deducting the placement agent’s fees and estimated offering expenses payable by us, (ii) the registered direct offering of 975,000 shares of common stock at the offering price of $2.20 and pre-funded warrants exercisable for up to 234,500 shares of common stock at the offering price of $2.1999 per pre-funded warrant that closed on May 24, 2023, after deducting the placement agent’s fees and estimated offering expenses payable by us, (iii) the exercise of pre-funded warrants for 234,500 shares of common stock, (iv) the registered direct offering of 701,756 shares of common stock at the offering price of $2.1375 per share that closed on June 6, 2023, after deducting the placement agent’s fees and estimated offering expenses payable by us and (v) the cashless exercise of Series B preferred investment options for an aggregate of 385,246 shares of our common stock on June 16, 2023.</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After giving effect to the issuance and sale in this offering of 624,618 shares of common stock at the offering price of $3.25 per share, after deducting the estimated placement agent’s fees and estimated offering expenses payable by us, our pro forma as adjusted net tangible book value on March 31, 2023, would have been approximately $11,326,691 or $1.00 per share. This represents an immediate increase in the net tangible book value of $0.10 per share attributable to this offering and an immediate dilution of $2.25 per share to the new investors in this offering.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660"/>
              <w:spacing w:after="0"/>
              <w:rPr>
                <w:sz w:val="20"/>
                <w:szCs w:val="20"/>
                <w:color w:val="auto"/>
              </w:rPr>
            </w:pPr>
            <w:r>
              <w:rPr>
                <w:rFonts w:ascii="Arial" w:cs="Arial" w:eastAsia="Arial" w:hAnsi="Arial"/>
                <w:sz w:val="18"/>
                <w:szCs w:val="18"/>
                <w:color w:val="auto"/>
              </w:rPr>
              <w:t>The following table illustrates the immediate dilution to the new investors:</w:t>
            </w:r>
          </w:p>
        </w:tc>
        <w:tc>
          <w:tcPr>
            <w:tcW w:w="8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7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r>
      <w:tr>
        <w:trPr>
          <w:trHeight w:val="216"/>
        </w:trPr>
        <w:tc>
          <w:tcPr>
            <w:tcW w:w="7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Historical net tangible book value per share on March 31, 2023</w:t>
            </w:r>
          </w:p>
        </w:tc>
        <w:tc>
          <w:tcPr>
            <w:tcW w:w="8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0.60</w:t>
            </w:r>
          </w:p>
        </w:tc>
        <w:tc>
          <w:tcPr>
            <w:tcW w:w="102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tangible book value per share on March 31, 2023</w:t>
            </w: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0.90</w:t>
            </w:r>
          </w:p>
        </w:tc>
        <w:tc>
          <w:tcPr>
            <w:tcW w:w="102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this offering</w:t>
            </w: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0.10</w:t>
            </w:r>
          </w:p>
        </w:tc>
        <w:tc>
          <w:tcPr>
            <w:tcW w:w="102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7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 forma as adjusted net tangible book value per share as of March 31, 2023, after giving effect to this</w:t>
            </w:r>
          </w:p>
        </w:tc>
        <w:tc>
          <w:tcPr>
            <w:tcW w:w="8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offering</w:t>
            </w:r>
          </w:p>
        </w:tc>
        <w:tc>
          <w:tcPr>
            <w:tcW w:w="8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16"/>
        </w:trPr>
        <w:tc>
          <w:tcPr>
            <w:tcW w:w="7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discussion and table do not take into account further dilution to new investors that could occur upon the exercise of outstanding options or warrants.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above discussion and table are based on 8,130,628, 11,082,699 and 11,707,317 actual, pro forma and pro forma as adjusted shares of our common stock outstanding as of June 23, 2023, respectively, and excludes the following securities outstanding on June 23, 2023:</w:t>
      </w:r>
    </w:p>
    <w:p>
      <w:pPr>
        <w:spacing w:after="0" w:line="146" w:lineRule="exact"/>
        <w:rPr>
          <w:sz w:val="20"/>
          <w:szCs w:val="20"/>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1,556,179 shares of our common stock issuable upon the exercise of outstanding stock options, with exercise prices ranging from approximately $0.005 to $19.35 and having a weighted-average exercise price of $7.14 per share;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113,335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514,279 shares of our common stock reserved for future grant under our 2020 Omnibus Performance Award Plan;</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preferred investment options expiring in October 2027, originally at an exercise price per share of $4.64 but amended to a reduced exercise price per share of $2.20 in connection with the offering that was consummated on May 24, 2023;</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45,045 shares of our common stock issuable upon the exercise of outstanding warrants expiring in June 2023, at an exercise price per share of $13.88;</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51,125 shares of our common stock issuable upon the exercise of outstanding warrants expiring in October 2027, at an exercise price per share of $6.11;</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32,778 shares of our common stock issuable upon the exercise of outstanding warrants expiring in November 2026, at an exercise price per share of $2.75;</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350,878 shares of our common stock issuable upon the exercise of outstanding warrants expiring in November 2028, at an exercise price per share of $2.075;</w:t>
      </w:r>
    </w:p>
    <w:p>
      <w:pPr>
        <w:spacing w:after="0" w:line="170" w:lineRule="exact"/>
        <w:rPr>
          <w:rFonts w:ascii="Arial" w:cs="Arial" w:eastAsia="Arial" w:hAnsi="Arial"/>
          <w:sz w:val="18"/>
          <w:szCs w:val="18"/>
          <w:color w:val="auto"/>
        </w:rPr>
      </w:pPr>
    </w:p>
    <w:p>
      <w:pPr>
        <w:ind w:left="1300" w:right="18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60,476 shares of our common stock issuable upon the exercise of outstanding warrants expiring in November 2026, at an exercise price per share of $2.75; and</w:t>
      </w:r>
    </w:p>
    <w:p>
      <w:pPr>
        <w:sectPr>
          <w:pgSz w:w="11900" w:h="16838" w:orient="portrait"/>
          <w:cols w:equalWidth="0" w:num="1">
            <w:col w:w="11240"/>
          </w:cols>
          <w:pgMar w:left="320" w:top="661" w:right="339" w:bottom="10" w:gutter="0" w:footer="0" w:header="0"/>
        </w:sectPr>
      </w:pPr>
    </w:p>
    <w:bookmarkStart w:id="16" w:name="page17"/>
    <w:bookmarkEnd w:id="16"/>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35,088 shares of our common stock issuable upon the exercise of outstanding warrants expiring in November 2026, at an exercise price per share of $2.6719.</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indicated, this prospectus supplement assumes no exercise of the placement agent warrants and any securities issued in the concurrent private placement.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DESCRIPTION OF THE SECURITIES WE ARE OFFERING</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are offering shares of common stock. The following description of our shares of common stock summarizes the material terms and provisions thereof, including the material terms of the shares of common stock we are offering under this prospectus supplement and the accompanying prospectus.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For a description of the rights associated with the common stock, see “Description of Common Stock” in the accompanying prospectus. Our common stock is listed on The Nasdaq Capital Market under the symbol “MBOT.” Our transfer agent is Computershare Trust Company, N.A.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PRIVATE PLACEMENT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Concurrent Private Placement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 concurrent private placement, we are also selling to the same institutional investors of our shares of common stock, unregistered series D preferred investment options to purchase up to 312,309 shares of our common stock (the “series D preferred investment options”). Each series D preferred investment option will be exercisable for one share of common stock at an exercise price of $3.19 commencing on the date of issuance and will expire five and one-half years from the initial exercise date.</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holder of preferred investment options will not have the right to exercise any portion of its preferred investment options if the holder, together with its affiliates, would beneficially own in excess of 4.99% of the number of shares of common stock outstanding immediately after giving effect to such exercise; provided, however, that upon notice to the Company, the holder may increase or decrease such beneficial ownership limitation, provided that in no event shall such beneficial ownership limitation exceed 9.99% and any increase in the beneficial ownership limitation will not be effective until 61 days following notice of such increase from the holder to us. In addition, the holders of the preferred investment options will have the right to participate in any rights offering or distribution of assets together with the holders of our shares of common stock on an as-exercised basis.</w:t>
      </w:r>
    </w:p>
    <w:p>
      <w:pPr>
        <w:spacing w:after="0" w:line="1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preferred investment options and the shares of common stock issuable upon the exercise of such securities are not being registered under the Securities Act of 1933, as amended (the “Securities Act”), are not being offered pursuant to this prospectus supplement and the accompanying prospectus and are being offered pursuant to the exemption provided in Section 4(a)(2) under the Securities Act and Rule 506(b) promulgated thereunder. Accordingly, purchasers of the preferred investment options, may only sell shares of our common stock issued upon exercise of such securities being sold to them in the concurrent private placement, pursuant to an effective registration statement under the Securities Act covering the resale of those shares, an exemption under Rule 144 under the Securities Act or another applicable exemption under the Securities Act. None of the series D preferred investment options issued in the concurrent private placement are or will be listed for trading on any national securities exchange.</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exercise price and number of the shares of common stock issuable upon the exercise of the preferred investment options will be subject to adjustment for stock splits, reverse splits, and similar capital transactions, as described in the preferred investment options. The preferred investment options will be exercisable on a “cashless” basis in certain circumstances.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Additionally, if a fundamental transaction occurs, then the successor entity will succeed to, and be substituted for us, and may exercise every right and power that we may exercise and will assume all of our obligations under the preferred investment options with the same effect as if such successor entity had been named in the preferred investment option itself. If holders of our shares of common stock are given a choice as to the securities, cash or property to be received in a fundamental transaction, then the holder shall be given the same choice as to the consideration it receives upon any exercise of the preferred investment option following such fundamental transaction. As more fully described in the form of preferred investment option, in the event of certain fundamental transactions, the holders of the preferred investment options will be entitled to receive consideration in an amount equal to the Black Scholes value of the preferred investment option on the date of consummation of the transaction.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an engagement letter agreement dated May 16, 2023, we have engaged H.C. Wainwright &amp; Co., LLC, referred to herein as Wainwright or the placement agent, to act as our exclusive placement agent in connection with this offering. Under the terms of the engagement letter, Wainwright is not purchasing the securities offered by us in this offering, and is not required to sell any specific number or dollar amount of securities, but will assist us in this offering on a reasonable best efforts basis. The terms of this offering were subject to market conditions and negotiations between us, Wainwright and prospective investors. Wainwright will have no authority to bind us by virtue of the engagement letter. Wainwright may engage sub-agents or selected dealers to assist with this offering. We may not sell the entire amount of our shares of Common Stock offered pursuant to this prospectus supplement.</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placement agent proposes to arrange for the sale of the securities we are offering pursuant to this prospectus supplement and accompanying prospectus to one or more institutional or accredited investors through securities purchase agreements directly between the purchaser and us. We will only sell to such investors who have entered into the securities purchase agreement with us.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Delivery of the securities offered hereby is expected to take place on or about June 28, 2023, subject to satisfaction of customary closing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agreed to pay the placement agent a cash fee of 7.0% of the aggregate gross proceeds raised in the offering, as well as a management fee equal to 1.0% of the gross proceeds raised in this offering. The following table shows the per share and total cash fees we will pay to the placement agent in connection with the sale of our securities offered pursuant to this prospectus supplement and the accompanying prospectus, assuming the purchase of all of the securities offered hereby.</w:t>
      </w:r>
    </w:p>
    <w:p>
      <w:pPr>
        <w:spacing w:after="0" w:line="183"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6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Per Share</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2,030,008.50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tcPr>
          <w:p>
            <w:pPr>
              <w:ind w:left="20"/>
              <w:spacing w:after="0"/>
              <w:rPr>
                <w:sz w:val="20"/>
                <w:szCs w:val="20"/>
                <w:color w:val="auto"/>
              </w:rPr>
            </w:pPr>
            <w:r>
              <w:rPr>
                <w:rFonts w:ascii="Arial" w:cs="Arial" w:eastAsia="Arial" w:hAnsi="Arial"/>
                <w:sz w:val="18"/>
                <w:szCs w:val="18"/>
                <w:color w:val="auto"/>
              </w:rPr>
              <w:t>Placement agent’s fees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0.2275</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142,100.60</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3.0225</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1,887,907.90</w:t>
            </w: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we have agreed to reimburse the placement agent for its non-accountable expenses in the amount of $25,000, for its fees and expenses of legal counsel in the amount of up to $35,000, and for its clearing expenses in the amount of $15,950. We estimate the total offering expenses of this offering that will be payable by us, excluding the placement agent’s fees and expenses, will be approximately $60,000.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ind w:firstLine="648"/>
        <w:spacing w:after="0" w:line="263" w:lineRule="auto"/>
        <w:rPr>
          <w:sz w:val="20"/>
          <w:szCs w:val="20"/>
          <w:color w:val="auto"/>
        </w:rPr>
      </w:pPr>
      <w:r>
        <w:rPr>
          <w:rFonts w:ascii="Arial" w:cs="Arial" w:eastAsia="Arial" w:hAnsi="Arial"/>
          <w:sz w:val="18"/>
          <w:szCs w:val="18"/>
          <w:color w:val="auto"/>
        </w:rPr>
        <w:t>In addition, we will issue to the placement agent, or its designees, warrants to purchase up to 31,231 shares of Common Stock. The placement agent warrants will be exercisable immediately following issuance, will have an exercise price equal to $4.0625 and will have a term of five years from the commencement of sales of this offering.</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securities purchase agreement that we entered into with the investor prohibits, with certain limited exceptions, us: (i) for five (5) trading days following the closing date from issuing any shares of Common Stock or Common Stock Equivalents (as defined in the securities purchase agreement) or filing any registration statement (other than a Form S-8), and (ii) for twelve (12) months following the closing date from issuing any shares of Common Stock or Common Stock Equivalents in a Variable Rate Transaction (as defined in the securities purchase agreement).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granted Wainwright, subject to certain exceptions, a right of first refusal for a period of twelve (12) months following the consummation of this offering to act as our exclusive underwriter or placement agent for any further capital raising transactions undertaken by us or any of our subsidiaries.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any investor whom the placement agent had contacted during the term of its engagement or introduced to the Company during the term of our engagement of the placement agent provides any capital to us, in a public or private offering or other financing or capital-raising transaction of any kind, within the six (6) months following the expiration of termination of the engagement of the placement agent, we shall pay the placement agent the cash and warrant compensation provided above, calculated in the same manner.</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agreed to indemnify the placement agent and specified other persons against certain liabilities relating to or arising out of the placement agent’s activities under its engagement letter, including liabilities under the Securities Act, and to contribute to payments that the placement agent may be required to make in respect of such liabilities.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From time to time, the placement agent or its affiliates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the placement agent for any further services.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placement agent acted as our placement agent in connection with our registered direct offerings that were consummated in May and June 2023, for which it received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shares of Common Stock trade on the Nasdaq Capital Market under the ticker symbol “MBOT.”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validity of the shares being offered under this prospectus supplement by us will be passed upon for us by Mintz, Levin, Cohn, Ferris, Glovsky and Popeo, P.C., Boston, Massachusetts. Ellenoff Grossman &amp; Schole LLP, New York, New York is counsel to the placement agent in connection with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consolidated financial statements of Microbot Medical Inc. as of December 31, 2022, and for the year then ended, incorporated by reference in this prospectus supplement and the registration statement of which this prospectus forms a part have been audited by Brightman Almagor Zohar &amp; Co., a Member of Deloitte Touche Tohmatsu Limited, independent registered public accounting firm, as set forth in its report thereon incorporated by reference herein, and are included in reliance upon such reports given on the authority of such firms as experts in accounting and auditing.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supplement and the accompanying prospectus are only part of a registration statement on Form S-3 that we have filed with the SEC under the Securities Act and therefore omit certain information contained in the registration statement. We have also filed exhibits and schedules with the registration statement that are excluded from this prospectus supplement and the accompanying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www.microbotmedical.com</w:t>
      </w:r>
      <w:r>
        <w:rPr>
          <w:rFonts w:ascii="Arial" w:cs="Arial" w:eastAsia="Arial" w:hAnsi="Arial"/>
          <w:sz w:val="18"/>
          <w:szCs w:val="18"/>
          <w:color w:val="auto"/>
        </w:rPr>
        <w:t>, through which you can access our SEC filings. The information set forth on our website is not part of this prospectus supplement or the accompanying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7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March 31, 2023;</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3">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with the SEC on May 17, 2023;</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34">
        <w:r>
          <w:rPr>
            <w:rFonts w:ascii="Arial" w:cs="Arial" w:eastAsia="Arial" w:hAnsi="Arial"/>
            <w:sz w:val="18"/>
            <w:szCs w:val="18"/>
            <w:u w:val="single" w:color="auto"/>
            <w:color w:val="0000EE"/>
          </w:rPr>
          <w:t>January 23, 2023</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EE"/>
          </w:rPr>
          <w:t xml:space="preserve">May 18, 2023 </w:t>
        </w:r>
      </w:hyperlink>
      <w:hyperlink r:id="rId36">
        <w:r>
          <w:rPr>
            <w:rFonts w:ascii="Arial" w:cs="Arial" w:eastAsia="Arial" w:hAnsi="Arial"/>
            <w:sz w:val="18"/>
            <w:szCs w:val="18"/>
            <w:u w:val="single" w:color="auto"/>
            <w:color w:val="auto"/>
          </w:rPr>
          <w:t xml:space="preserve">May </w:t>
        </w:r>
        <w:r>
          <w:rPr>
            <w:rFonts w:ascii="Arial" w:cs="Arial" w:eastAsia="Arial" w:hAnsi="Arial"/>
            <w:sz w:val="18"/>
            <w:szCs w:val="18"/>
            <w:u w:val="single" w:color="auto"/>
            <w:color w:val="0000EE"/>
          </w:rPr>
          <w:t>22, 2023</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May 23, 2023</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May 24, 2023</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May 25, 2023</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May 31,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1">
        <w:r>
          <w:rPr>
            <w:rFonts w:ascii="Arial" w:cs="Arial" w:eastAsia="Arial" w:hAnsi="Arial"/>
            <w:sz w:val="18"/>
            <w:szCs w:val="18"/>
            <w:u w:val="single" w:color="auto"/>
            <w:color w:val="0000EE"/>
          </w:rPr>
          <w:t>June 2,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2">
        <w:r>
          <w:rPr>
            <w:rFonts w:ascii="Arial" w:cs="Arial" w:eastAsia="Arial" w:hAnsi="Arial"/>
            <w:sz w:val="18"/>
            <w:szCs w:val="18"/>
            <w:u w:val="single" w:color="auto"/>
            <w:color w:val="0000EE"/>
          </w:rPr>
          <w:t>June 6,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3">
        <w:r>
          <w:rPr>
            <w:rFonts w:ascii="Arial" w:cs="Arial" w:eastAsia="Arial" w:hAnsi="Arial"/>
            <w:sz w:val="18"/>
            <w:szCs w:val="18"/>
            <w:u w:val="single" w:color="auto"/>
            <w:color w:val="0000EE"/>
          </w:rPr>
          <w:t xml:space="preserve">June 16, 2023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44">
        <w:r>
          <w:rPr>
            <w:rFonts w:ascii="Arial" w:cs="Arial" w:eastAsia="Arial" w:hAnsi="Arial"/>
            <w:sz w:val="18"/>
            <w:szCs w:val="18"/>
            <w:u w:val="single" w:color="auto"/>
            <w:color w:val="0000EE"/>
          </w:rPr>
          <w:t xml:space="preserve">June 22, 2023 </w:t>
        </w:r>
      </w:hyperlink>
      <w:r>
        <w:rPr>
          <w:rFonts w:ascii="Arial" w:cs="Arial" w:eastAsia="Arial" w:hAnsi="Arial"/>
          <w:sz w:val="18"/>
          <w:szCs w:val="18"/>
          <w:color w:val="000000"/>
        </w:rPr>
        <w:t>(except</w:t>
      </w:r>
      <w:r>
        <w:rPr>
          <w:rFonts w:ascii="Arial" w:cs="Arial" w:eastAsia="Arial" w:hAnsi="Arial"/>
          <w:sz w:val="18"/>
          <w:szCs w:val="18"/>
          <w:color w:val="0000EE"/>
        </w:rPr>
        <w:t xml:space="preserve"> </w:t>
      </w:r>
      <w:r>
        <w:rPr>
          <w:rFonts w:ascii="Arial" w:cs="Arial" w:eastAsia="Arial" w:hAnsi="Arial"/>
          <w:sz w:val="18"/>
          <w:szCs w:val="18"/>
          <w:color w:val="000000"/>
        </w:rPr>
        <w:t>in each case for information contained therein which is furnished</w:t>
      </w:r>
      <w:r>
        <w:rPr>
          <w:rFonts w:ascii="Arial" w:cs="Arial" w:eastAsia="Arial" w:hAnsi="Arial"/>
          <w:sz w:val="18"/>
          <w:szCs w:val="18"/>
          <w:color w:val="0000EE"/>
        </w:rPr>
        <w:t xml:space="preserve"> </w:t>
      </w:r>
      <w:r>
        <w:rPr>
          <w:rFonts w:ascii="Arial" w:cs="Arial" w:eastAsia="Arial" w:hAnsi="Arial"/>
          <w:sz w:val="18"/>
          <w:szCs w:val="18"/>
          <w:color w:val="000000"/>
        </w:rPr>
        <w:t>rather than filed); and</w:t>
      </w:r>
    </w:p>
    <w:p>
      <w:pPr>
        <w:spacing w:after="0" w:line="183" w:lineRule="exact"/>
        <w:rPr>
          <w:rFonts w:ascii="Arial" w:cs="Arial" w:eastAsia="Arial" w:hAnsi="Arial"/>
          <w:sz w:val="18"/>
          <w:szCs w:val="18"/>
          <w:color w:val="0000EE"/>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70" w:lineRule="exact"/>
        <w:rPr>
          <w:rFonts w:ascii="Arial" w:cs="Arial" w:eastAsia="Arial" w:hAnsi="Arial"/>
          <w:sz w:val="18"/>
          <w:szCs w:val="18"/>
          <w:color w:val="0000EE"/>
        </w:rPr>
      </w:pPr>
    </w:p>
    <w:p>
      <w:pPr>
        <w:jc w:val="both"/>
        <w:ind w:firstLine="648"/>
        <w:spacing w:after="0" w:line="259" w:lineRule="auto"/>
        <w:rPr>
          <w:sz w:val="20"/>
          <w:szCs w:val="20"/>
          <w:color w:val="auto"/>
        </w:rPr>
      </w:pPr>
      <w:r>
        <w:rPr>
          <w:rFonts w:ascii="Arial" w:cs="Arial" w:eastAsia="Arial" w:hAnsi="Arial"/>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7" w:lineRule="exact"/>
        <w:rPr>
          <w:rFonts w:ascii="Arial" w:cs="Arial" w:eastAsia="Arial" w:hAnsi="Arial"/>
          <w:sz w:val="18"/>
          <w:szCs w:val="18"/>
          <w:color w:val="0000EE"/>
        </w:rPr>
      </w:pPr>
    </w:p>
    <w:p>
      <w:pPr>
        <w:jc w:val="both"/>
        <w:ind w:firstLine="648"/>
        <w:spacing w:after="0" w:line="257" w:lineRule="auto"/>
        <w:rPr>
          <w:sz w:val="20"/>
          <w:szCs w:val="20"/>
          <w:color w:val="auto"/>
        </w:rPr>
      </w:pPr>
      <w:r>
        <w:rPr>
          <w:rFonts w:ascii="Arial" w:cs="Arial" w:eastAsia="Arial" w:hAnsi="Arial"/>
          <w:sz w:val="18"/>
          <w:szCs w:val="18"/>
          <w:color w:val="auto"/>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therein); we will provide this information at no cost to the requester upon written or oral request to: Microbot Medical Inc. Attn: Chief Financial Officer, 25 Recreation Park Drive, Unit 108, Hingham, Massachusetts 02043. You may also telephone us at (781) 875-3605.</w:t>
      </w:r>
    </w:p>
    <w:p>
      <w:pPr>
        <w:spacing w:after="0" w:line="188" w:lineRule="exact"/>
        <w:rPr>
          <w:rFonts w:ascii="Arial" w:cs="Arial" w:eastAsia="Arial" w:hAnsi="Arial"/>
          <w:sz w:val="18"/>
          <w:szCs w:val="18"/>
          <w:color w:val="0000EE"/>
        </w:rPr>
      </w:pPr>
    </w:p>
    <w:p>
      <w:pPr>
        <w:jc w:val="both"/>
        <w:ind w:firstLine="648"/>
        <w:spacing w:after="0" w:line="263" w:lineRule="auto"/>
        <w:rPr>
          <w:sz w:val="20"/>
          <w:szCs w:val="20"/>
          <w:color w:val="auto"/>
        </w:rPr>
      </w:pPr>
      <w:r>
        <w:rPr>
          <w:rFonts w:ascii="Arial" w:cs="Arial" w:eastAsia="Arial" w:hAnsi="Arial"/>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84"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154305</wp:posOffset>
            </wp:positionV>
            <wp:extent cx="3214370" cy="1174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321437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common stock is listed on The Nasdaq Capital Market under the symbol “MBOT.” On November 24, 2020, the last reported sale price of our common stock on The Nasdaq Capital Market was $7.25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4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December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80" w:type="dxa"/>
            <w:vAlign w:val="bottom"/>
            <w:gridSpan w:val="4"/>
          </w:tcPr>
          <w:p>
            <w:pPr>
              <w:ind w:left="1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r>
      <w:tr>
        <w:trPr>
          <w:trHeight w:val="473"/>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Pages</w:t>
            </w:r>
          </w:p>
        </w:tc>
      </w:tr>
      <w:tr>
        <w:trPr>
          <w:trHeight w:val="196"/>
        </w:trPr>
        <w:tc>
          <w:tcPr>
            <w:tcW w:w="2200" w:type="dxa"/>
            <w:vAlign w:val="bottom"/>
            <w:tcBorders>
              <w:bottom w:val="single" w:sz="8" w:color="0000EE"/>
            </w:tcBorders>
            <w:gridSpan w:val="7"/>
            <w:shd w:val="clear" w:color="auto" w:fill="CCEEFF"/>
          </w:tcPr>
          <w:p>
            <w:pPr>
              <w:spacing w:after="0" w:line="142" w:lineRule="exact"/>
              <w:rPr>
                <w:sz w:val="20"/>
                <w:szCs w:val="20"/>
                <w:color w:val="auto"/>
              </w:rPr>
            </w:pPr>
            <w:r>
              <w:rPr>
                <w:rFonts w:ascii="Arial" w:cs="Arial" w:eastAsia="Arial" w:hAnsi="Arial"/>
                <w:sz w:val="16"/>
                <w:szCs w:val="16"/>
                <w:b w:val="1"/>
                <w:bCs w:val="1"/>
                <w:color w:val="0000EE"/>
              </w:rPr>
              <w:t>PROSPECTUS SUMMARY</w:t>
            </w:r>
          </w:p>
        </w:tc>
        <w:tc>
          <w:tcPr>
            <w:tcW w:w="840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176"/>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9"/>
              </w:rPr>
              <w:t>SPECIAL NOTE REGARDING FORWARD-LOOKING STATEMENTS</w:t>
            </w:r>
          </w:p>
        </w:tc>
        <w:tc>
          <w:tcPr>
            <w:tcW w:w="494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6"/>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USE OF PROCEEDS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DESCRIPTION OF COMMON STOCK</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176"/>
        </w:trPr>
        <w:tc>
          <w:tcPr>
            <w:tcW w:w="336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b w:val="1"/>
                <w:bCs w:val="1"/>
                <w:color w:val="0000EE"/>
              </w:rPr>
              <w:t>DESCRIPTION OF WARRANTS</w:t>
            </w:r>
          </w:p>
        </w:tc>
        <w:tc>
          <w:tcPr>
            <w:tcW w:w="724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9"/>
              </w:rPr>
              <w:t>DESCRIPTION OF DEBT SECURITIES</w:t>
            </w:r>
          </w:p>
        </w:tc>
        <w:tc>
          <w:tcPr>
            <w:tcW w:w="738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176"/>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DESCRIPTION OF RIGHTS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175"/>
        </w:trPr>
        <w:tc>
          <w:tcPr>
            <w:tcW w:w="2140" w:type="dxa"/>
            <w:vAlign w:val="bottom"/>
            <w:tcBorders>
              <w:top w:val="single" w:sz="8" w:color="0000EE"/>
            </w:tcBorders>
            <w:gridSpan w:val="5"/>
          </w:tcPr>
          <w:p>
            <w:pPr>
              <w:spacing w:after="0" w:line="176" w:lineRule="exact"/>
              <w:rPr>
                <w:sz w:val="20"/>
                <w:szCs w:val="20"/>
                <w:color w:val="auto"/>
              </w:rPr>
            </w:pPr>
            <w:r>
              <w:rPr>
                <w:rFonts w:ascii="Arial" w:cs="Arial" w:eastAsia="Arial" w:hAnsi="Arial"/>
                <w:sz w:val="18"/>
                <w:szCs w:val="18"/>
                <w:b w:val="1"/>
                <w:bCs w:val="1"/>
                <w:color w:val="0000EE"/>
              </w:rPr>
              <w:t>LEGAL MATTERS</w:t>
            </w:r>
          </w:p>
        </w:tc>
        <w:tc>
          <w:tcPr>
            <w:tcW w:w="846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7"/>
              </w:rPr>
              <w:t>EXPERTS</w:t>
            </w:r>
          </w:p>
        </w:tc>
        <w:tc>
          <w:tcPr>
            <w:tcW w:w="976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176"/>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WHERE YOU CAN FIND MORE INFORMATION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INCORPORATION OF DOCUMENTS BY REFERENCE</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or preferred stock, various series of debt securities and/or warrants or rights to purchase any of such securities, either individually or in units, in one or more offerings, with a total value of up to $75,000,000.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“Where You Can Find More Information” and “Incorporation of Documents by Reference” before making an investment decision.</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4,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Microbot’s current technological platforms, ViRob</w:t>
      </w:r>
      <w:r>
        <w:rPr>
          <w:rFonts w:ascii="Arial" w:cs="Arial" w:eastAsia="Arial" w:hAnsi="Arial"/>
          <w:sz w:val="28"/>
          <w:szCs w:val="28"/>
          <w:color w:val="auto"/>
          <w:vertAlign w:val="superscript"/>
        </w:rPr>
        <w:t>TM</w:t>
      </w:r>
      <w:r>
        <w:rPr>
          <w:rFonts w:ascii="Arial" w:cs="Arial" w:eastAsia="Arial" w:hAnsi="Arial"/>
          <w:sz w:val="17"/>
          <w:szCs w:val="17"/>
          <w:color w:val="auto"/>
        </w:rPr>
        <w:t>, TipCAT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Liberty™ (including certain CardioSert assets), are comprised of</w:t>
      </w:r>
    </w:p>
    <w:p>
      <w:pPr>
        <w:jc w:val="both"/>
        <w:spacing w:after="0" w:line="228" w:lineRule="auto"/>
        <w:rPr>
          <w:sz w:val="20"/>
          <w:szCs w:val="20"/>
          <w:color w:val="auto"/>
        </w:rPr>
      </w:pPr>
      <w:r>
        <w:rPr>
          <w:rFonts w:ascii="Arial" w:cs="Arial" w:eastAsia="Arial" w:hAnsi="Arial"/>
          <w:sz w:val="18"/>
          <w:szCs w:val="18"/>
          <w:color w:val="auto"/>
        </w:rPr>
        <w:t>proprietary innovative technologies. Using the ViRob platform, Microbot is currently developing the Self Cleaning Shunt, or SCS</w:t>
      </w:r>
      <w:r>
        <w:rPr>
          <w:rFonts w:ascii="Arial" w:cs="Arial" w:eastAsia="Arial" w:hAnsi="Arial"/>
          <w:sz w:val="29"/>
          <w:szCs w:val="29"/>
          <w:color w:val="auto"/>
          <w:vertAlign w:val="superscript"/>
        </w:rPr>
        <w:t>TM</w:t>
      </w:r>
      <w:r>
        <w:rPr>
          <w:rFonts w:ascii="Arial" w:cs="Arial" w:eastAsia="Arial" w:hAnsi="Arial"/>
          <w:sz w:val="18"/>
          <w:szCs w:val="18"/>
          <w:color w:val="auto"/>
        </w:rPr>
        <w: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Microbot has a patent portfolio of 40 issued/allowed patents and 23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through its “One &amp; Done” capabilities, based in part on the CardioSert platform.</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it is being designed to streamline Cath-lab procedures with our proprietary “One &amp; Done” tool that combines guidewire and microcatheter into a single device. With control over tip curvature and stiffness for maneuverability and access and without the need for constant tool exchanges – the “One &amp; Done” feature of Liberty may drastically reduce procedure time and costs while enhancing the operator experience.</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including our Annual Report on Form 10-K for the year ended December 31, 2019 as described under the caption “Incorporation of Documents by Reference” on page 23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ind w:firstLine="648"/>
        <w:spacing w:after="0" w:line="279" w:lineRule="auto"/>
        <w:rPr>
          <w:sz w:val="20"/>
          <w:szCs w:val="20"/>
          <w:color w:val="auto"/>
        </w:rPr>
      </w:pPr>
      <w:r>
        <w:rPr>
          <w:rFonts w:ascii="Arial" w:cs="Arial" w:eastAsia="Arial" w:hAnsi="Arial"/>
          <w:sz w:val="17"/>
          <w:szCs w:val="17"/>
          <w:color w:val="auto"/>
        </w:rPr>
        <w:t>Our principal executive offices are located at 25 Recreation Park Drive, Unit 108, Hingham, Massachusetts 02043.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 Under This Prospectus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prospectus, we may offer shares of our common stock or preferred stock, various series of debt securities and/or warrants or rights to purchase any such securities,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redemption or conversion terms,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ANY SECURITIES UNLESS IT IS ACCOMPANIED BY A PROSPECTUS SUPPLEMENT.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other general corporate purposes, which may include, but are not limited to, working capital, intellectual property protection and enforcement, capital expenditures, repayment of indebtedness and collaborations, and the costs of acquiring, licensing or investing in new and existing businesses, product candidates and technologies.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or interest-bearing securities in accordance with our cash-management policies. Additional information on the use of proceeds from the sale of securities offered by this prospectus may be set forth in the prospectus supplement relating to that offering.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 the market,” equity line or similar transactions. We will name in a prospectus supplement any underwriter or agent involved in the offer or sale of the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95"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ind w:firstLine="648"/>
        <w:spacing w:after="0" w:line="254"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authorized to issue 60,000,000 shares of common stock, par value $0.01 per share. As of September 30, 2020 we had 7,108,133 shares of common stock issued and outstanding and approximately 139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for quotation on the Nasdaq Capital Market under the symbol “MBOT.”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authority to issue 1,000,000 shares of preferred stock, par value $0.01 per share. As of the date of this prospectus, no shares of our preferred stock were outstanding or designated.</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per share and the purchase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preferred stock offered by this prospectus will, when issued, be fully paid and nonassessable and will not have, or be subject to, any preemptive or similar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applicable prospectus supplement will contain, where applicable, the following terms of, and other information relating to, the warrants:</w:t>
      </w:r>
    </w:p>
    <w:p>
      <w:pPr>
        <w:spacing w:after="0" w:line="23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we had outstanding: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183 shares of our common stock at an exercise price of $2,754.00 per share, which are exercisable through April 9, 2023;</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2,770 shares of our common stock at an exercise price of $40.50 per share, which are exercisable through March 14,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8,082 shares of our common stock at an exercise price of $8.13 per share, which are exercisable through July 14,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29,500 shares of our common stock at an exercise price of $12.50 per share, which are exercisable through July 15,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45,643 shares of our common stock at an exercise price of $13.13 per share, which are exercisable through June 25, 2023;</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warrants to purchase 47,619 shares of our common stock at an exercise price of $13.13 per share, which are exercisable through June 27, 2023; and</w:t>
      </w: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45,045 shares of our common stock at an exercise price of $13.88 per share, which are exercisable through June 30, 2023.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the Trust Indenture Act, as in effect on the date of the indenture. We use the term “debenture trustee” to refer to either the trustee under the senior indenture or the trustee under the subordinated indenture, as applicable.</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indenture provides that debt securities may be issued from time to time in one or more series and may be denominated and payable in foreign currencies or units based on or relating to foreign currencies. Neither the senior indenture nor any subordinated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jc w:val="both"/>
        <w:ind w:left="6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6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ind w:firstLine="648"/>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debenture trustee and we may change the applicable indenture without the consent of any holders with respect to specific matters, including:</w:t>
      </w:r>
    </w:p>
    <w:p>
      <w:pPr>
        <w:spacing w:after="0" w:line="24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CERTAIN PROVISIONS OF DELAWARE LAW AND OF THE COMPANY’S CERTIFICATE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Delaware Law</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Staggered Board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proposals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stockholder vote required for certain actions.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Limitation of Liability and Indemnification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70" w:lineRule="exact"/>
        <w:rPr>
          <w:sz w:val="20"/>
          <w:szCs w:val="20"/>
          <w:color w:val="auto"/>
        </w:rPr>
      </w:pPr>
    </w:p>
    <w:p>
      <w:pPr>
        <w:ind w:left="5540" w:right="4920" w:hanging="4884"/>
        <w:spacing w:after="0" w:line="623" w:lineRule="auto"/>
        <w:tabs>
          <w:tab w:leader="none" w:pos="986" w:val="left"/>
        </w:tabs>
        <w:numPr>
          <w:ilvl w:val="0"/>
          <w:numId w:val="29"/>
        </w:numPr>
        <w:rPr>
          <w:rFonts w:ascii="Arial" w:cs="Arial" w:eastAsia="Arial" w:hAnsi="Arial"/>
          <w:sz w:val="16"/>
          <w:szCs w:val="16"/>
          <w:color w:val="auto"/>
        </w:rPr>
      </w:pPr>
      <w:r>
        <w:rPr>
          <w:rFonts w:ascii="Arial" w:cs="Arial" w:eastAsia="Arial" w:hAnsi="Arial"/>
          <w:sz w:val="16"/>
          <w:szCs w:val="16"/>
          <w:color w:val="auto"/>
        </w:rPr>
        <w:t>from any breach of the director’s duty of loyalty to us or our stockholders;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acts or omissions not in good faith or which involve intentional misconduct or a knowing violation of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Section 174 of the DGCL;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validity of the shares being offered under this prospectus by us will be passed upon for us by Mintz, Levin, Cohn, Ferris, Glovsky and Popeo, P.C., Boston, Massachusetts.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Microbot Medical Inc. appearing it its Annual Report on Form 10-K for the year ended December 31, 2019, have been audited by Brightman Almagor Zohar &amp; Co., a firm in the Deloitte Global Network, independent registered public accounting firm, as set forth in their report thereon, including therein, and incorporated herein by reference. Such consolidated financial statements are incorporated herein by reference in reliance upon such report given on the authority of such firm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7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2019 filed with the SEC on April 14, 2020 and Amendment No. 1 to our Annual Report on </w:t>
      </w:r>
      <w:hyperlink r:id="rId7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on April 29, 2020;</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74">
        <w:r>
          <w:rPr>
            <w:rFonts w:ascii="Arial" w:cs="Arial" w:eastAsia="Arial" w:hAnsi="Arial"/>
            <w:sz w:val="18"/>
            <w:szCs w:val="18"/>
            <w:u w:val="single" w:color="auto"/>
            <w:color w:val="0000EE"/>
          </w:rPr>
          <w:t xml:space="preserve">March 31, 2020, </w:t>
        </w:r>
      </w:hyperlink>
      <w:hyperlink r:id="rId75">
        <w:r>
          <w:rPr>
            <w:rFonts w:ascii="Arial" w:cs="Arial" w:eastAsia="Arial" w:hAnsi="Arial"/>
            <w:sz w:val="18"/>
            <w:szCs w:val="18"/>
            <w:u w:val="single" w:color="auto"/>
            <w:color w:val="auto"/>
          </w:rPr>
          <w:t xml:space="preserve">June </w:t>
        </w:r>
        <w:r>
          <w:rPr>
            <w:rFonts w:ascii="Arial" w:cs="Arial" w:eastAsia="Arial" w:hAnsi="Arial"/>
            <w:sz w:val="18"/>
            <w:szCs w:val="18"/>
            <w:u w:val="single" w:color="auto"/>
            <w:color w:val="0000EE"/>
          </w:rPr>
          <w:t>30, 2020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6">
        <w:r>
          <w:rPr>
            <w:rFonts w:ascii="Arial" w:cs="Arial" w:eastAsia="Arial" w:hAnsi="Arial"/>
            <w:sz w:val="18"/>
            <w:szCs w:val="18"/>
            <w:u w:val="single" w:color="auto"/>
            <w:color w:val="0000EE"/>
          </w:rPr>
          <w:t>September 30,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that we filed with the SEC on May 15, 2020, August 14, 2020 and November 16, 2020.</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1"/>
        </w:numPr>
        <w:rPr>
          <w:rFonts w:ascii="Arial" w:cs="Arial" w:eastAsia="Arial" w:hAnsi="Arial"/>
          <w:sz w:val="18"/>
          <w:szCs w:val="18"/>
          <w:u w:val="single" w:color="auto"/>
          <w:color w:val="0000EE"/>
        </w:rPr>
      </w:pPr>
      <w:r>
        <w:rPr>
          <w:rFonts w:ascii="Arial" w:cs="Arial" w:eastAsia="Arial" w:hAnsi="Arial"/>
          <w:sz w:val="18"/>
          <w:szCs w:val="18"/>
          <w:color w:val="auto"/>
        </w:rPr>
        <w:t xml:space="preserve">our Current Reports on Form 8-K, filed with the SEC (except for the information furnished under Items 2.02 or 7.01 and the exhibits furnished thereto) on: </w:t>
      </w:r>
      <w:hyperlink r:id="rId77">
        <w:r>
          <w:rPr>
            <w:rFonts w:ascii="Arial" w:cs="Arial" w:eastAsia="Arial" w:hAnsi="Arial"/>
            <w:sz w:val="18"/>
            <w:szCs w:val="18"/>
            <w:u w:val="single" w:color="auto"/>
            <w:color w:val="0000EE"/>
          </w:rPr>
          <w:t xml:space="preserve">February 25, 2020, </w:t>
        </w:r>
      </w:hyperlink>
      <w:hyperlink r:id="rId78">
        <w:r>
          <w:rPr>
            <w:rFonts w:ascii="Arial" w:cs="Arial" w:eastAsia="Arial" w:hAnsi="Arial"/>
            <w:sz w:val="18"/>
            <w:szCs w:val="18"/>
            <w:u w:val="single" w:color="auto"/>
            <w:color w:val="auto"/>
          </w:rPr>
          <w:t xml:space="preserve">February </w:t>
        </w:r>
        <w:r>
          <w:rPr>
            <w:rFonts w:ascii="Arial" w:cs="Arial" w:eastAsia="Arial" w:hAnsi="Arial"/>
            <w:sz w:val="18"/>
            <w:szCs w:val="18"/>
            <w:u w:val="single" w:color="auto"/>
            <w:color w:val="0000EE"/>
          </w:rPr>
          <w:t xml:space="preserve">28, 2020, </w:t>
        </w:r>
      </w:hyperlink>
      <w:hyperlink r:id="rId79">
        <w:r>
          <w:rPr>
            <w:rFonts w:ascii="Arial" w:cs="Arial" w:eastAsia="Arial" w:hAnsi="Arial"/>
            <w:sz w:val="18"/>
            <w:szCs w:val="18"/>
            <w:u w:val="single" w:color="auto"/>
            <w:color w:val="auto"/>
          </w:rPr>
          <w:t xml:space="preserve">March </w:t>
        </w:r>
        <w:r>
          <w:rPr>
            <w:rFonts w:ascii="Arial" w:cs="Arial" w:eastAsia="Arial" w:hAnsi="Arial"/>
            <w:sz w:val="18"/>
            <w:szCs w:val="18"/>
            <w:u w:val="single" w:color="auto"/>
            <w:color w:val="0000EE"/>
          </w:rPr>
          <w:t xml:space="preserve">3, 2020, </w:t>
        </w:r>
      </w:hyperlink>
      <w:hyperlink r:id="rId80">
        <w:r>
          <w:rPr>
            <w:rFonts w:ascii="Arial" w:cs="Arial" w:eastAsia="Arial" w:hAnsi="Arial"/>
            <w:sz w:val="18"/>
            <w:szCs w:val="18"/>
            <w:u w:val="single" w:color="auto"/>
            <w:color w:val="auto"/>
          </w:rPr>
          <w:t xml:space="preserve">April </w:t>
        </w:r>
        <w:r>
          <w:rPr>
            <w:rFonts w:ascii="Arial" w:cs="Arial" w:eastAsia="Arial" w:hAnsi="Arial"/>
            <w:sz w:val="18"/>
            <w:szCs w:val="18"/>
            <w:u w:val="single" w:color="auto"/>
            <w:color w:val="0000EE"/>
          </w:rPr>
          <w:t xml:space="preserve">1, 2020, </w:t>
        </w:r>
      </w:hyperlink>
      <w:hyperlink r:id="rId81">
        <w:r>
          <w:rPr>
            <w:rFonts w:ascii="Arial" w:cs="Arial" w:eastAsia="Arial" w:hAnsi="Arial"/>
            <w:sz w:val="18"/>
            <w:szCs w:val="18"/>
            <w:u w:val="single" w:color="auto"/>
            <w:color w:val="auto"/>
          </w:rPr>
          <w:t xml:space="preserve">May </w:t>
        </w:r>
        <w:r>
          <w:rPr>
            <w:rFonts w:ascii="Arial" w:cs="Arial" w:eastAsia="Arial" w:hAnsi="Arial"/>
            <w:sz w:val="18"/>
            <w:szCs w:val="18"/>
            <w:u w:val="single" w:color="auto"/>
            <w:color w:val="0000EE"/>
          </w:rPr>
          <w:t xml:space="preserve">7, 2020, </w:t>
        </w:r>
      </w:hyperlink>
      <w:hyperlink r:id="rId82">
        <w:r>
          <w:rPr>
            <w:rFonts w:ascii="Arial" w:cs="Arial" w:eastAsia="Arial" w:hAnsi="Arial"/>
            <w:sz w:val="18"/>
            <w:szCs w:val="18"/>
            <w:u w:val="single" w:color="auto"/>
            <w:color w:val="auto"/>
          </w:rPr>
          <w:t xml:space="preserve">June </w:t>
        </w:r>
        <w:r>
          <w:rPr>
            <w:rFonts w:ascii="Arial" w:cs="Arial" w:eastAsia="Arial" w:hAnsi="Arial"/>
            <w:sz w:val="18"/>
            <w:szCs w:val="18"/>
            <w:u w:val="single" w:color="auto"/>
            <w:color w:val="0000EE"/>
          </w:rPr>
          <w:t xml:space="preserve">19, 2020, </w:t>
        </w:r>
      </w:hyperlink>
      <w:hyperlink r:id="rId83">
        <w:r>
          <w:rPr>
            <w:rFonts w:ascii="Arial" w:cs="Arial" w:eastAsia="Arial" w:hAnsi="Arial"/>
            <w:sz w:val="18"/>
            <w:szCs w:val="18"/>
            <w:u w:val="single" w:color="auto"/>
            <w:color w:val="auto"/>
          </w:rPr>
          <w:t xml:space="preserve">August </w:t>
        </w:r>
        <w:r>
          <w:rPr>
            <w:rFonts w:ascii="Arial" w:cs="Arial" w:eastAsia="Arial" w:hAnsi="Arial"/>
            <w:sz w:val="18"/>
            <w:szCs w:val="18"/>
            <w:u w:val="single" w:color="auto"/>
            <w:color w:val="0000EE"/>
          </w:rPr>
          <w:t>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4">
        <w:r>
          <w:rPr>
            <w:rFonts w:ascii="Arial" w:cs="Arial" w:eastAsia="Arial" w:hAnsi="Arial"/>
            <w:sz w:val="18"/>
            <w:szCs w:val="18"/>
            <w:u w:val="single" w:color="auto"/>
            <w:color w:val="0000EE"/>
          </w:rPr>
          <w:t>September 4, 2020;</w:t>
        </w:r>
      </w:hyperlink>
    </w:p>
    <w:p>
      <w:pPr>
        <w:spacing w:after="0" w:line="183" w:lineRule="exact"/>
        <w:rPr>
          <w:rFonts w:ascii="Arial" w:cs="Arial" w:eastAsia="Arial" w:hAnsi="Arial"/>
          <w:sz w:val="18"/>
          <w:szCs w:val="18"/>
          <w:u w:val="single" w:color="auto"/>
          <w:color w:val="0000EE"/>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70"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The SEC file number for each of the documents listed above is 000-19871</w:t>
      </w:r>
    </w:p>
    <w:p>
      <w:pPr>
        <w:spacing w:after="0" w:line="225" w:lineRule="exact"/>
        <w:rPr>
          <w:rFonts w:ascii="Arial" w:cs="Arial" w:eastAsia="Arial" w:hAnsi="Arial"/>
          <w:sz w:val="18"/>
          <w:szCs w:val="18"/>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rFonts w:ascii="Arial" w:cs="Arial" w:eastAsia="Arial" w:hAnsi="Arial"/>
          <w:sz w:val="18"/>
          <w:szCs w:val="18"/>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rFonts w:ascii="Arial" w:cs="Arial" w:eastAsia="Arial" w:hAnsi="Arial"/>
          <w:sz w:val="18"/>
          <w:szCs w:val="18"/>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71" w:lineRule="exact"/>
        <w:rPr>
          <w:rFonts w:ascii="Arial" w:cs="Arial" w:eastAsia="Arial" w:hAnsi="Arial"/>
          <w:sz w:val="18"/>
          <w:szCs w:val="18"/>
          <w:color w:val="auto"/>
        </w:rPr>
      </w:pPr>
    </w:p>
    <w:p>
      <w:pPr>
        <w:jc w:val="both"/>
        <w:ind w:firstLine="648"/>
        <w:spacing w:after="0" w:line="279" w:lineRule="auto"/>
        <w:rPr>
          <w:sz w:val="20"/>
          <w:szCs w:val="20"/>
          <w:color w:val="auto"/>
        </w:rPr>
      </w:pPr>
      <w:r>
        <w:rPr>
          <w:rFonts w:ascii="Arial" w:cs="Arial" w:eastAsia="Arial" w:hAnsi="Arial"/>
          <w:sz w:val="17"/>
          <w:szCs w:val="17"/>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7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624,618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154305</wp:posOffset>
            </wp:positionV>
            <wp:extent cx="3214370" cy="1174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321437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H.C. Wainwright &amp; Co.</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2"/>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
      <w:numFmt w:val="bullet"/>
      <w:start w:val="1"/>
    </w:lvl>
    <w:lvl w:ilvl="1">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jpe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jpeg"/><Relationship Id="rId87" Type="http://schemas.openxmlformats.org/officeDocument/2006/relationships/image" Target="media/image54.png"/><Relationship Id="rId32" Type="http://schemas.openxmlformats.org/officeDocument/2006/relationships/hyperlink" Target="https://www.sec.gov/Archives/edgar/data/883975/000149315223010223/form10-k.htm" TargetMode="External"/><Relationship Id="rId33" Type="http://schemas.openxmlformats.org/officeDocument/2006/relationships/hyperlink" Target="https://www.sec.gov/Archives/edgar/data/883975/000149315223017966/form10-q.htm" TargetMode="External"/><Relationship Id="rId34" Type="http://schemas.openxmlformats.org/officeDocument/2006/relationships/hyperlink" Target="https://www.sec.gov/ix?doc=/Archives/edgar/data/883975/000149315223002202/form8-k.htm" TargetMode="External"/><Relationship Id="rId35" Type="http://schemas.openxmlformats.org/officeDocument/2006/relationships/hyperlink" Target="https://www.sec.gov/ix?doc=/Archives/edgar/data/883975/000149315223018050/form8-k.htm" TargetMode="External"/><Relationship Id="rId36" Type="http://schemas.openxmlformats.org/officeDocument/2006/relationships/hyperlink" Target="https://www.sec.gov/ix?doc=/Archives/edgar/data/883975/000149315223018456/form8-k.htm" TargetMode="External"/><Relationship Id="rId37" Type="http://schemas.openxmlformats.org/officeDocument/2006/relationships/hyperlink" Target="https://www.sec.gov/ix?doc=/Archives/edgar/data/883975/000149315223018718/form8-k.htm" TargetMode="External"/><Relationship Id="rId38" Type="http://schemas.openxmlformats.org/officeDocument/2006/relationships/hyperlink" Target="https://www.sec.gov/ix?doc=/Archives/edgar/data/883975/000149315223018932/form8-k.htm" TargetMode="External"/><Relationship Id="rId39" Type="http://schemas.openxmlformats.org/officeDocument/2006/relationships/hyperlink" Target="https://www.sec.gov/ix?doc=/Archives/edgar/data/883975/000149315223019000/form8-k.htm" TargetMode="External"/><Relationship Id="rId40" Type="http://schemas.openxmlformats.org/officeDocument/2006/relationships/hyperlink" Target="https://www.sec.gov/ix?doc=/Archives/edgar/data/883975/000149315223019537/form8-k.htm" TargetMode="External"/><Relationship Id="rId41" Type="http://schemas.openxmlformats.org/officeDocument/2006/relationships/hyperlink" Target="https://www.sec.gov/ix?doc=/Archives/edgar/data/883975/000149315223019871/form8-k.htm" TargetMode="External"/><Relationship Id="rId42" Type="http://schemas.openxmlformats.org/officeDocument/2006/relationships/hyperlink" Target="https://www.sec.gov/ix?doc=/Archives/edgar/data/883975/000149315223020309/form8-k.htm" TargetMode="External"/><Relationship Id="rId43" Type="http://schemas.openxmlformats.org/officeDocument/2006/relationships/hyperlink" Target="https://www.sec.gov/ix?doc=/Archives/edgar/data/883975/000149315223021553/form8-k.htm" TargetMode="External"/><Relationship Id="rId44" Type="http://schemas.openxmlformats.org/officeDocument/2006/relationships/hyperlink" Target="https://www.sec.gov/ix?doc=/Archives/edgar/data/883975/000149315223022078/form8-k.htm" TargetMode="External"/><Relationship Id="rId72" Type="http://schemas.openxmlformats.org/officeDocument/2006/relationships/hyperlink" Target="https://www.sec.gov/Archives/edgar/data/883975/000149315220006338/form10-k.htm" TargetMode="External"/><Relationship Id="rId73" Type="http://schemas.openxmlformats.org/officeDocument/2006/relationships/hyperlink" Target="https://www.sec.gov/Archives/edgar/data/883975/000149315220007340/form10k-a.htm" TargetMode="External"/><Relationship Id="rId74" Type="http://schemas.openxmlformats.org/officeDocument/2006/relationships/hyperlink" Target="https://www.sec.gov/Archives/edgar/data/883975/000149315220009113/form10-q.htm" TargetMode="External"/><Relationship Id="rId75" Type="http://schemas.openxmlformats.org/officeDocument/2006/relationships/hyperlink" Target="https://www.sec.gov/Archives/edgar/data/883975/000149315220015744/form10-q.htm" TargetMode="External"/><Relationship Id="rId76" Type="http://schemas.openxmlformats.org/officeDocument/2006/relationships/hyperlink" Target="https://www.sec.gov/Archives/edgar/data/883975/000149315220021648/form10-q.htm" TargetMode="External"/><Relationship Id="rId77" Type="http://schemas.openxmlformats.org/officeDocument/2006/relationships/hyperlink" Target="https://www.sec.gov/Archives/edgar/data/883975/000149315220002943/form8-k.htm" TargetMode="External"/><Relationship Id="rId78" Type="http://schemas.openxmlformats.org/officeDocument/2006/relationships/hyperlink" Target="https://www.sec.gov/Archives/edgar/data/883975/000149315220003150/form8-k.htm" TargetMode="External"/><Relationship Id="rId79" Type="http://schemas.openxmlformats.org/officeDocument/2006/relationships/hyperlink" Target="https://www.sec.gov/Archives/edgar/data/883975/000149315220003248/form8k.htm" TargetMode="External"/><Relationship Id="rId80" Type="http://schemas.openxmlformats.org/officeDocument/2006/relationships/hyperlink" Target="https://www.sec.gov/Archives/edgar/data/883975/000149315220005551/form8-k.htm" TargetMode="External"/><Relationship Id="rId81" Type="http://schemas.openxmlformats.org/officeDocument/2006/relationships/hyperlink" Target="https://www.sec.gov/Archives/edgar/data/883975/000149315220007944/form8-k.htm" TargetMode="External"/><Relationship Id="rId82" Type="http://schemas.openxmlformats.org/officeDocument/2006/relationships/hyperlink" Target="https://www.sec.gov/Archives/edgar/data/883975/000149315220011512/form8-k.htm" TargetMode="External"/><Relationship Id="rId83" Type="http://schemas.openxmlformats.org/officeDocument/2006/relationships/hyperlink" Target="https://www.sec.gov/Archives/edgar/data/883975/000149315220014441/form8-k.htm" TargetMode="External"/><Relationship Id="rId84" Type="http://schemas.openxmlformats.org/officeDocument/2006/relationships/hyperlink" Target="https://www.sec.gov/Archives/edgar/data/883975/000149315220017270/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2023-06-28T06:21:03Z</dcterms:created>
  <dcterms:modified xsi:type="dcterms:W3CDTF">2023-06-28T06:21:03Z</dcterms:modified>
</cp:coreProperties>
</file>