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UNDER SECTION 13 OR 15(d)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For the quarter ended: September 30, 2007</w:t>
            </w:r>
          </w:p>
        </w:tc>
        <w:tc>
          <w:tcPr>
            <w:tcW w:w="1400" w:type="dxa"/>
            <w:vAlign w:val="bottom"/>
          </w:tcPr>
          <w:p>
            <w:pPr>
              <w:spacing w:after="0"/>
              <w:rPr>
                <w:sz w:val="20"/>
                <w:szCs w:val="20"/>
                <w:color w:val="auto"/>
              </w:rPr>
            </w:pPr>
          </w:p>
        </w:tc>
      </w:tr>
      <w:tr>
        <w:trPr>
          <w:trHeight w:val="392"/>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Commission File Number: 0-19871</w:t>
            </w:r>
          </w:p>
        </w:tc>
        <w:tc>
          <w:tcPr>
            <w:tcW w:w="1400" w:type="dxa"/>
            <w:vAlign w:val="bottom"/>
          </w:tcPr>
          <w:p>
            <w:pPr>
              <w:spacing w:after="0"/>
              <w:rPr>
                <w:sz w:val="24"/>
                <w:szCs w:val="24"/>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36"/>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7"/>
          </w:tcPr>
          <w:p>
            <w:pPr>
              <w:jc w:val="center"/>
              <w:ind w:right="300"/>
              <w:spacing w:after="0"/>
              <w:rPr>
                <w:sz w:val="20"/>
                <w:szCs w:val="20"/>
                <w:color w:val="auto"/>
              </w:rPr>
            </w:pPr>
            <w:r>
              <w:rPr>
                <w:rFonts w:ascii="Arial" w:cs="Arial" w:eastAsia="Arial" w:hAnsi="Arial"/>
                <w:sz w:val="43"/>
                <w:szCs w:val="43"/>
                <w:b w:val="1"/>
                <w:bCs w:val="1"/>
                <w:color w:val="auto"/>
              </w:rPr>
              <w:t>STEMCELLS, INC.</w:t>
            </w:r>
          </w:p>
        </w:tc>
        <w:tc>
          <w:tcPr>
            <w:tcW w:w="1400" w:type="dxa"/>
            <w:vAlign w:val="bottom"/>
          </w:tcPr>
          <w:p>
            <w:pPr>
              <w:spacing w:after="0"/>
              <w:rPr>
                <w:sz w:val="24"/>
                <w:szCs w:val="24"/>
                <w:color w:val="auto"/>
              </w:rPr>
            </w:pPr>
          </w:p>
        </w:tc>
      </w:tr>
      <w:tr>
        <w:trPr>
          <w:trHeight w:val="224"/>
        </w:trPr>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04"/>
        </w:trPr>
        <w:tc>
          <w:tcPr>
            <w:tcW w:w="6300" w:type="dxa"/>
            <w:vAlign w:val="bottom"/>
            <w:gridSpan w:val="9"/>
          </w:tcPr>
          <w:p>
            <w:pPr>
              <w:jc w:val="center"/>
              <w:ind w:right="4160"/>
              <w:spacing w:after="0"/>
              <w:rPr>
                <w:sz w:val="20"/>
                <w:szCs w:val="20"/>
                <w:color w:val="auto"/>
              </w:rPr>
            </w:pPr>
            <w:r>
              <w:rPr>
                <w:rFonts w:ascii="Arial" w:cs="Arial" w:eastAsia="Arial" w:hAnsi="Arial"/>
                <w:sz w:val="18"/>
                <w:szCs w:val="18"/>
                <w:color w:val="auto"/>
                <w:w w:val="96"/>
              </w:rPr>
              <w:t>DELAWARE</w:t>
            </w: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89"/>
              </w:rPr>
              <w:t>94-3078125</w:t>
            </w:r>
          </w:p>
        </w:tc>
      </w:tr>
      <w:tr>
        <w:trPr>
          <w:trHeight w:val="216"/>
        </w:trPr>
        <w:tc>
          <w:tcPr>
            <w:tcW w:w="6300" w:type="dxa"/>
            <w:vAlign w:val="bottom"/>
            <w:gridSpan w:val="9"/>
          </w:tcPr>
          <w:p>
            <w:pPr>
              <w:jc w:val="center"/>
              <w:ind w:right="4140"/>
              <w:spacing w:after="0"/>
              <w:rPr>
                <w:sz w:val="20"/>
                <w:szCs w:val="20"/>
                <w:color w:val="auto"/>
              </w:rPr>
            </w:pPr>
            <w:r>
              <w:rPr>
                <w:rFonts w:ascii="Arial" w:cs="Arial" w:eastAsia="Arial" w:hAnsi="Arial"/>
                <w:sz w:val="18"/>
                <w:szCs w:val="18"/>
                <w:color w:val="auto"/>
                <w:w w:val="92"/>
              </w:rPr>
              <w:t>(State or other jurisdiction of</w:t>
            </w: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00" w:type="dxa"/>
            <w:vAlign w:val="bottom"/>
            <w:gridSpan w:val="9"/>
          </w:tcPr>
          <w:p>
            <w:pPr>
              <w:jc w:val="center"/>
              <w:ind w:right="4140"/>
              <w:spacing w:after="0"/>
              <w:rPr>
                <w:sz w:val="20"/>
                <w:szCs w:val="20"/>
                <w:color w:val="auto"/>
              </w:rPr>
            </w:pPr>
            <w:r>
              <w:rPr>
                <w:rFonts w:ascii="Arial" w:cs="Arial" w:eastAsia="Arial" w:hAnsi="Arial"/>
                <w:sz w:val="18"/>
                <w:szCs w:val="18"/>
                <w:color w:val="auto"/>
                <w:w w:val="92"/>
              </w:rPr>
              <w:t>incorporation or organization)</w:t>
            </w:r>
          </w:p>
        </w:tc>
        <w:tc>
          <w:tcPr>
            <w:tcW w:w="140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310"/>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color w:val="auto"/>
                <w:w w:val="93"/>
              </w:rPr>
              <w:t>3155 PORTER DRIVE</w:t>
            </w:r>
          </w:p>
        </w:tc>
        <w:tc>
          <w:tcPr>
            <w:tcW w:w="1400" w:type="dxa"/>
            <w:vAlign w:val="bottom"/>
          </w:tcPr>
          <w:p>
            <w:pPr>
              <w:spacing w:after="0"/>
              <w:rPr>
                <w:sz w:val="24"/>
                <w:szCs w:val="24"/>
                <w:color w:val="auto"/>
              </w:rPr>
            </w:pPr>
          </w:p>
        </w:tc>
      </w:tr>
      <w:tr>
        <w:trPr>
          <w:trHeight w:val="230"/>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color w:val="auto"/>
                <w:w w:val="94"/>
              </w:rPr>
              <w:t>PALO ALTO, CA 94304</w:t>
            </w:r>
          </w:p>
        </w:tc>
        <w:tc>
          <w:tcPr>
            <w:tcW w:w="1400" w:type="dxa"/>
            <w:vAlign w:val="bottom"/>
          </w:tcPr>
          <w:p>
            <w:pPr>
              <w:spacing w:after="0"/>
              <w:rPr>
                <w:sz w:val="20"/>
                <w:szCs w:val="20"/>
                <w:color w:val="auto"/>
              </w:rPr>
            </w:pPr>
          </w:p>
        </w:tc>
      </w:tr>
      <w:tr>
        <w:trPr>
          <w:trHeight w:val="224"/>
        </w:trPr>
        <w:tc>
          <w:tcPr>
            <w:tcW w:w="1960" w:type="dxa"/>
            <w:vAlign w:val="bottom"/>
          </w:tcPr>
          <w:p>
            <w:pPr>
              <w:spacing w:after="0"/>
              <w:rPr>
                <w:sz w:val="19"/>
                <w:szCs w:val="19"/>
                <w:color w:val="auto"/>
              </w:rPr>
            </w:pPr>
          </w:p>
        </w:tc>
        <w:tc>
          <w:tcPr>
            <w:tcW w:w="42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0"/>
        </w:trPr>
        <w:tc>
          <w:tcPr>
            <w:tcW w:w="4820" w:type="dxa"/>
            <w:vAlign w:val="bottom"/>
            <w:gridSpan w:val="4"/>
          </w:tcPr>
          <w:p>
            <w:pPr>
              <w:jc w:val="center"/>
              <w:ind w:left="3250"/>
              <w:spacing w:after="0"/>
              <w:rPr>
                <w:sz w:val="20"/>
                <w:szCs w:val="20"/>
                <w:color w:val="auto"/>
              </w:rPr>
            </w:pPr>
            <w:r>
              <w:rPr>
                <w:rFonts w:ascii="Arial" w:cs="Arial" w:eastAsia="Arial" w:hAnsi="Arial"/>
                <w:sz w:val="18"/>
                <w:szCs w:val="18"/>
                <w:color w:val="auto"/>
                <w:w w:val="90"/>
              </w:rPr>
              <w:t>(650) 475-3100</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4"/>
        </w:trPr>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3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r>
    </w:tbl>
    <w:p>
      <w:pPr>
        <w:spacing w:after="0" w:line="79" w:lineRule="exact"/>
        <w:rPr>
          <w:sz w:val="20"/>
          <w:szCs w:val="20"/>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2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October 24, 2007, there were 80,681,087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740" w:type="dxa"/>
            <w:vAlign w:val="bottom"/>
            <w:gridSpan w:val="10"/>
            <w:vMerge w:val="restart"/>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13"/>
            <w:vMerge w:val="continue"/>
          </w:tcPr>
          <w:p>
            <w:pPr>
              <w:spacing w:after="0"/>
              <w:rPr>
                <w:sz w:val="13"/>
                <w:szCs w:val="13"/>
                <w:color w:val="auto"/>
              </w:rPr>
            </w:pPr>
          </w:p>
        </w:tc>
        <w:tc>
          <w:tcPr>
            <w:tcW w:w="6740" w:type="dxa"/>
            <w:vAlign w:val="bottom"/>
            <w:gridSpan w:val="10"/>
            <w:vMerge w:val="continue"/>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6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2007 and December 31, 2006</w:t>
              </w:r>
            </w:hyperlink>
          </w:p>
        </w:tc>
        <w:tc>
          <w:tcPr>
            <w:tcW w:w="3060" w:type="dxa"/>
            <w:vAlign w:val="bottom"/>
            <w:gridSpan w:val="4"/>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for the three and nine months ended September 30, 2007 and 2006</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Borders>
              <w:top w:val="single" w:sz="8" w:color="0000EE"/>
            </w:tcBorders>
            <w:gridSpan w:val="20"/>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2007 and 2006</w:t>
              </w:r>
            </w:hyperlink>
          </w:p>
        </w:tc>
        <w:tc>
          <w:tcPr>
            <w:tcW w:w="940" w:type="dxa"/>
            <w:vAlign w:val="bottom"/>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2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600" w:type="dxa"/>
            <w:vAlign w:val="bottom"/>
            <w:gridSpan w:val="2"/>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4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3"/>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4. Controls and Procedures</w:t>
              </w:r>
            </w:hyperlink>
          </w:p>
        </w:tc>
        <w:tc>
          <w:tcPr>
            <w:tcW w:w="7300" w:type="dxa"/>
            <w:vAlign w:val="bottom"/>
            <w:gridSpan w:val="13"/>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964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 OTHER INFORMATION</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7060" w:type="dxa"/>
            <w:vAlign w:val="bottom"/>
            <w:gridSpan w:val="12"/>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8040" w:type="dxa"/>
            <w:vAlign w:val="bottom"/>
            <w:gridSpan w:val="16"/>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2. Unregistered Sales of Equity Securities and Use of Proceeds</w:t>
              </w:r>
            </w:hyperlink>
          </w:p>
        </w:tc>
        <w:tc>
          <w:tcPr>
            <w:tcW w:w="4720" w:type="dxa"/>
            <w:vAlign w:val="bottom"/>
            <w:gridSpan w:val="6"/>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96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 Submission of Matters to a Vote of Security-Holders</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5. Other Information</w:t>
              </w:r>
            </w:hyperlink>
          </w:p>
        </w:tc>
        <w:tc>
          <w:tcPr>
            <w:tcW w:w="2460" w:type="dxa"/>
            <w:vAlign w:val="bottom"/>
            <w:tcBorders>
              <w:top w:val="single" w:sz="8" w:color="0000EE"/>
            </w:tcBorders>
            <w:gridSpan w:val="8"/>
          </w:tcPr>
          <w:p>
            <w:pPr>
              <w:spacing w:after="0"/>
              <w:rPr>
                <w:sz w:val="24"/>
                <w:szCs w:val="24"/>
                <w:color w:val="auto"/>
              </w:rPr>
            </w:pPr>
          </w:p>
        </w:tc>
        <w:tc>
          <w:tcPr>
            <w:tcW w:w="5300" w:type="dxa"/>
            <w:vAlign w:val="bottom"/>
            <w:gridSpan w:val="7"/>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96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SIGNATURES</w:t>
              </w:r>
            </w:hyperlink>
          </w:p>
        </w:tc>
        <w:tc>
          <w:tcPr>
            <w:tcW w:w="40" w:type="dxa"/>
            <w:vAlign w:val="bottom"/>
            <w:tcBorders>
              <w:top w:val="single" w:sz="8" w:color="0000EE"/>
            </w:tcBorders>
          </w:tcPr>
          <w:p>
            <w:pPr>
              <w:spacing w:after="0"/>
              <w:rPr>
                <w:sz w:val="24"/>
                <w:szCs w:val="24"/>
                <w:color w:val="auto"/>
              </w:rPr>
            </w:pPr>
          </w:p>
        </w:tc>
        <w:tc>
          <w:tcPr>
            <w:tcW w:w="8480" w:type="dxa"/>
            <w:vAlign w:val="bottom"/>
            <w:gridSpan w:val="17"/>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Exhibit Index</w:t>
              </w:r>
            </w:hyperlink>
          </w:p>
        </w:tc>
        <w:tc>
          <w:tcPr>
            <w:tcW w:w="8640" w:type="dxa"/>
            <w:vAlign w:val="bottom"/>
            <w:gridSpan w:val="20"/>
          </w:tcPr>
          <w:p>
            <w:pPr>
              <w:spacing w:after="0"/>
              <w:rPr>
                <w:sz w:val="24"/>
                <w:szCs w:val="24"/>
                <w:color w:val="auto"/>
              </w:rPr>
            </w:pP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58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31.1</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540" w:type="dxa"/>
            <w:vAlign w:val="bottom"/>
            <w:gridSpan w:val="1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58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September 30, 2007</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December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17,529,201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Marketable securities, short term</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25,765,004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4,132,646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366,273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1,020,719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1,119,467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44,681,197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57,530,492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1,818,812</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4,112,286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2,516,915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53,129,210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66,856,817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1,537,858</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1,306,625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17,241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5,098,278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4,149,809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non-current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Bonds payable, non-current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1,045,416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long-term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466,211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wind-down expenses, non-current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4,838,683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789,066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revenue, non-current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168,072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180,691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12,435,479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$.01 par value; 125,000,000 shares authorized; 80,068,593 and 78,046,304 shares issued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September 30, 2007 and December 31, 2006, respectively</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800,685</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262,414,823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255,299,508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(222,089,191)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(204,891,945)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(432,586)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3,187,978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40,693,731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54,376,003</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53,129,210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66,856,817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6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tcPr>
          <w:p>
            <w:pPr>
              <w:jc w:val="right"/>
              <w:ind w:right="1140"/>
              <w:spacing w:after="0" w:line="149"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2007</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Revenue from grants and licensing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18,321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26,948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5,621,955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3,523,078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14,139,297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2,043,275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1,889,512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5,716,480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Wind-down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168,168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439,471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499,186</w:t>
            </w:r>
          </w:p>
        </w:tc>
        <w:tc>
          <w:tcPr>
            <w:tcW w:w="0" w:type="dxa"/>
            <w:vAlign w:val="bottom"/>
          </w:tcPr>
          <w:p>
            <w:pPr>
              <w:spacing w:after="0"/>
              <w:rPr>
                <w:sz w:val="1"/>
                <w:szCs w:val="1"/>
                <w:color w:val="auto"/>
              </w:rPr>
            </w:pPr>
          </w:p>
        </w:tc>
      </w:tr>
      <w:tr>
        <w:trPr>
          <w:trHeight w:val="439"/>
        </w:trPr>
        <w:tc>
          <w:tcPr>
            <w:tcW w:w="5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7,748,891</w:t>
            </w:r>
          </w:p>
        </w:tc>
        <w:tc>
          <w:tcPr>
            <w:tcW w:w="5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5,580,758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20,295,248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14,881,007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(7,735,729)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(5,562,437)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(20,268,300)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(14,800,601)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 and settlement agreement,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550,467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717,621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617,616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735,652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1,926,753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(29,405)</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(34,062)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(96,777)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0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582,226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699,228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3,071,055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1,754,907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(7,153,503)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(4,863,209)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(17,197,245)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(13,045,694)</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shares used to compute net loss per share basic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80,065,667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77,779,257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79,478,537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73,487,670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5"/>
          </w:tcPr>
          <w:p>
            <w:pPr>
              <w:jc w:val="right"/>
              <w:ind w:right="10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2007</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(17,197,245)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(13,045,694)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869,432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2,276,026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1,812,962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income from license and settlement agreement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(550,467)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(717,621)</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116,577</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98,748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14,395</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Accrued wind-down expenses</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(604,949)</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(428,884)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24,620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(170,666)</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Deposits and other long-term liabilities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(81,181)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(27,624)</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24"/>
                <w:szCs w:val="2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(15,009,151)</w:t>
            </w: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(12,077,200)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(25,746,705)</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marketable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3,076,691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(1,260,961)</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(1,230,554)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(49,375)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(88,375)</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Net cash provided (used in) investing activities</w:t>
            </w:r>
          </w:p>
        </w:tc>
        <w:tc>
          <w:tcPr>
            <w:tcW w:w="120" w:type="dxa"/>
            <w:vAlign w:val="bottom"/>
          </w:tcPr>
          <w:p>
            <w:pPr>
              <w:spacing w:after="0"/>
              <w:rPr>
                <w:sz w:val="24"/>
                <w:szCs w:val="2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(23,980,350)</w:t>
            </w: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(1,318,929)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3,545,489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33,421,534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1,093,750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(repayments) of capital lease obligations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46,994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Repayment of debt obligations</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(173,333)</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(189,169)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4,723,173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34,295,771</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24"/>
                <w:szCs w:val="2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(34,266,328)</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20,899,642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51,795,529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34,540,908</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17,529,201</w:t>
            </w:r>
          </w:p>
        </w:tc>
        <w:tc>
          <w:tcPr>
            <w:tcW w:w="7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55,440,550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96,777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licensing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24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Under terms of a license agreement with the California Institute of Technology (Cal Tech), annual fees of $5,000 were due on each of two patents to which StemCells holds a license from Cal Tech, payable in cash or stock at the Company’s choice. The Company elected to pay the fees in stock and issued 3,865 and 3,848 unregistered shares to Cal Tech for the nine-month periods ended September 30, 2007 and 2006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 and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47"/>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2007 are not necessarily indicative of the results that may be expected for the entire fiscal year ending December 31, 2007.</w:t>
      </w:r>
    </w:p>
    <w:p>
      <w:pPr>
        <w:spacing w:after="0" w:line="70" w:lineRule="exact"/>
        <w:rPr>
          <w:sz w:val="20"/>
          <w:szCs w:val="20"/>
          <w:color w:val="auto"/>
        </w:rPr>
      </w:pPr>
    </w:p>
    <w:p>
      <w:pPr>
        <w:ind w:right="40" w:firstLine="447"/>
        <w:spacing w:after="0" w:line="312" w:lineRule="auto"/>
        <w:rPr>
          <w:sz w:val="20"/>
          <w:szCs w:val="20"/>
          <w:color w:val="auto"/>
        </w:rPr>
      </w:pPr>
      <w:r>
        <w:rPr>
          <w:rFonts w:ascii="Arial" w:cs="Arial" w:eastAsia="Arial" w:hAnsi="Arial"/>
          <w:sz w:val="16"/>
          <w:szCs w:val="16"/>
          <w:color w:val="auto"/>
        </w:rPr>
        <w:t>The balance sheet at December 31, 2006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see the audited financial statements and footnotes thereto as of December 31, 2006, included on Form 10-K.</w:t>
      </w:r>
    </w:p>
    <w:p>
      <w:pPr>
        <w:spacing w:after="0" w:line="39"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will need to raise additional capital from time to time to sustain its product development efforts, acquisition of businesses,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following:</w:t>
      </w:r>
    </w:p>
    <w:p>
      <w:pPr>
        <w:spacing w:after="0" w:line="73"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4).</w:t>
      </w:r>
    </w:p>
    <w:p>
      <w:pPr>
        <w:spacing w:after="0" w:line="130" w:lineRule="exact"/>
        <w:rPr>
          <w:rFonts w:ascii="Arial" w:cs="Arial" w:eastAsia="Arial" w:hAnsi="Arial"/>
          <w:sz w:val="18"/>
          <w:szCs w:val="18"/>
          <w:b w:val="1"/>
          <w:bCs w:val="1"/>
          <w:color w:val="auto"/>
        </w:rPr>
      </w:pPr>
    </w:p>
    <w:p>
      <w:pPr>
        <w:ind w:left="660" w:right="300" w:hanging="436"/>
        <w:spacing w:after="0" w:line="308"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The grant date fair value of share-based awards recognized as compensation expense in accordance with the provisions of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See “Stock-Based Compensation”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364"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 xml:space="preserve">In accordance with Statement of 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has classified its investment in equity securities as available-for-sale marketable securities in the accompanying consolidated financial statements (see Note 2). The marketable securities are stated at fair market value, with unrealized gains and losses reported in other comprehensive income.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reviews securities with unrealized losses for other than temporary impairment. A decline in the fair value of securities that is deemed other than temporary is charged to earnings when so 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60" w:firstLine="447"/>
        <w:spacing w:after="0" w:line="297" w:lineRule="auto"/>
        <w:rPr>
          <w:sz w:val="20"/>
          <w:szCs w:val="20"/>
          <w:color w:val="auto"/>
        </w:rPr>
      </w:pPr>
      <w:r>
        <w:rPr>
          <w:rFonts w:ascii="Arial" w:cs="Arial" w:eastAsia="Arial" w:hAnsi="Arial"/>
          <w:sz w:val="16"/>
          <w:szCs w:val="16"/>
          <w:color w:val="auto"/>
        </w:rPr>
        <w:t xml:space="preserve">The Company has computed net loss per common share according to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right"/>
              <w:ind w:right="874"/>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4"/>
          </w:tcPr>
          <w:p>
            <w:pPr>
              <w:jc w:val="right"/>
              <w:ind w:right="954"/>
              <w:spacing w:after="0"/>
              <w:rPr>
                <w:sz w:val="20"/>
                <w:szCs w:val="20"/>
                <w:color w:val="auto"/>
              </w:rPr>
            </w:pPr>
            <w:r>
              <w:rPr>
                <w:rFonts w:ascii="Arial" w:cs="Arial" w:eastAsia="Arial" w:hAnsi="Arial"/>
                <w:sz w:val="14"/>
                <w:szCs w:val="14"/>
                <w:color w:val="auto"/>
              </w:rPr>
              <w:t>Nine months ended</w:t>
            </w:r>
          </w:p>
        </w:tc>
      </w:tr>
      <w:tr>
        <w:trPr>
          <w:trHeight w:val="167"/>
        </w:trPr>
        <w:tc>
          <w:tcPr>
            <w:tcW w:w="4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1"/>
              </w:rPr>
              <w:t>(7,153,503)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(4,863,209)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0"/>
              </w:rPr>
              <w:t>(17,197,245)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(13,045,694)</w:t>
            </w: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rPr>
              <w:t>Weighted average shares used in computing net loss per</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share, basic and diluted</w:t>
            </w:r>
          </w:p>
        </w:tc>
        <w:tc>
          <w:tcPr>
            <w:tcW w:w="280" w:type="dxa"/>
            <w:vAlign w:val="bottom"/>
          </w:tcPr>
          <w:p>
            <w:pPr>
              <w:spacing w:after="0"/>
              <w:rPr>
                <w:sz w:val="20"/>
                <w:szCs w:val="20"/>
                <w:color w:val="auto"/>
              </w:rPr>
            </w:pPr>
          </w:p>
        </w:tc>
        <w:tc>
          <w:tcPr>
            <w:tcW w:w="1060" w:type="dxa"/>
            <w:vAlign w:val="bottom"/>
          </w:tcPr>
          <w:p>
            <w:pPr>
              <w:jc w:val="right"/>
              <w:ind w:right="179"/>
              <w:spacing w:after="0"/>
              <w:rPr>
                <w:sz w:val="20"/>
                <w:szCs w:val="20"/>
                <w:color w:val="auto"/>
              </w:rPr>
            </w:pPr>
            <w:r>
              <w:rPr>
                <w:rFonts w:ascii="Arial" w:cs="Arial" w:eastAsia="Arial" w:hAnsi="Arial"/>
                <w:sz w:val="18"/>
                <w:szCs w:val="18"/>
                <w:color w:val="auto"/>
                <w:w w:val="86"/>
              </w:rPr>
              <w:t>80,065,667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77,779,257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8"/>
                <w:szCs w:val="18"/>
                <w:color w:val="auto"/>
                <w:w w:val="95"/>
              </w:rPr>
              <w:t>79,478,537</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73,487,670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(0.18)</w:t>
            </w:r>
          </w:p>
        </w:tc>
      </w:tr>
    </w:tbl>
    <w:p>
      <w:pPr>
        <w:spacing w:after="0" w:line="94" w:lineRule="exact"/>
        <w:rPr>
          <w:sz w:val="20"/>
          <w:szCs w:val="20"/>
          <w:color w:val="auto"/>
        </w:rPr>
      </w:pPr>
    </w:p>
    <w:p>
      <w:pPr>
        <w:ind w:right="240" w:firstLine="447"/>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334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Outstanding at September 30,</w:t>
            </w:r>
          </w:p>
        </w:tc>
      </w:tr>
      <w:tr>
        <w:trPr>
          <w:trHeight w:val="142"/>
        </w:trPr>
        <w:tc>
          <w:tcPr>
            <w:tcW w:w="8080" w:type="dxa"/>
            <w:vAlign w:val="bottom"/>
          </w:tcPr>
          <w:p>
            <w:pPr>
              <w:spacing w:after="0"/>
              <w:rPr>
                <w:sz w:val="12"/>
                <w:szCs w:val="12"/>
                <w:color w:val="auto"/>
              </w:rPr>
            </w:pPr>
          </w:p>
        </w:tc>
        <w:tc>
          <w:tcPr>
            <w:tcW w:w="140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2"/>
                <w:szCs w:val="12"/>
                <w:color w:val="auto"/>
              </w:rPr>
            </w:pPr>
          </w:p>
        </w:tc>
        <w:tc>
          <w:tcPr>
            <w:tcW w:w="144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9,033,794</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8,989,671</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Outstanding warrants</w:t>
            </w: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1,355,000</w:t>
            </w:r>
          </w:p>
        </w:tc>
        <w:tc>
          <w:tcPr>
            <w:tcW w:w="1940" w:type="dxa"/>
            <w:vAlign w:val="bottom"/>
            <w:gridSpan w:val="2"/>
          </w:tcPr>
          <w:p>
            <w:pPr>
              <w:jc w:val="right"/>
              <w:ind w:right="248"/>
              <w:spacing w:after="0"/>
              <w:rPr>
                <w:sz w:val="20"/>
                <w:szCs w:val="20"/>
                <w:color w:val="auto"/>
              </w:rPr>
            </w:pPr>
            <w:r>
              <w:rPr>
                <w:rFonts w:ascii="Arial" w:cs="Arial" w:eastAsia="Arial" w:hAnsi="Arial"/>
                <w:sz w:val="18"/>
                <w:szCs w:val="18"/>
                <w:color w:val="auto"/>
              </w:rPr>
              <w:t>1,930,658</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10,388,794</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10,920,329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right="340" w:firstLine="447"/>
        <w:spacing w:after="0" w:line="342" w:lineRule="auto"/>
        <w:rPr>
          <w:sz w:val="20"/>
          <w:szCs w:val="20"/>
          <w:color w:val="auto"/>
        </w:rPr>
      </w:pPr>
      <w:r>
        <w:rPr>
          <w:rFonts w:ascii="Arial" w:cs="Arial" w:eastAsia="Arial" w:hAnsi="Arial"/>
          <w:sz w:val="16"/>
          <w:szCs w:val="16"/>
          <w:color w:val="auto"/>
        </w:rPr>
        <w:t>The only component of other comprehensive income is unrealized gains and losses on available for sale securities (see Note 2). The following table summarizes the components of the Company’s comprehensive income for the three and nine months ended September 30, 2007 and 2006.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3"/>
          </w:tcPr>
          <w:p>
            <w:pPr>
              <w:jc w:val="right"/>
              <w:ind w:right="83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3220" w:type="dxa"/>
            <w:vAlign w:val="bottom"/>
            <w:gridSpan w:val="3"/>
          </w:tcPr>
          <w:p>
            <w:pPr>
              <w:jc w:val="right"/>
              <w:ind w:right="95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4780" w:type="dxa"/>
            <w:vAlign w:val="bottom"/>
            <w:gridSpan w:val="3"/>
            <w:vMerge w:val="restart"/>
          </w:tcPr>
          <w:p>
            <w:pPr>
              <w:spacing w:after="0"/>
              <w:rPr>
                <w:sz w:val="20"/>
                <w:szCs w:val="20"/>
                <w:color w:val="auto"/>
              </w:rPr>
            </w:pPr>
            <w:r>
              <w:rPr>
                <w:rFonts w:ascii="Arial" w:cs="Arial" w:eastAsia="Arial" w:hAnsi="Arial"/>
                <w:sz w:val="14"/>
                <w:szCs w:val="14"/>
                <w:color w:val="auto"/>
              </w:rPr>
              <w:t>As of September 30,</w:t>
            </w:r>
          </w:p>
        </w:tc>
        <w:tc>
          <w:tcPr>
            <w:tcW w:w="30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4"/>
                <w:szCs w:val="14"/>
                <w:color w:val="auto"/>
              </w:rPr>
            </w:pPr>
          </w:p>
        </w:tc>
        <w:tc>
          <w:tcPr>
            <w:tcW w:w="322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780" w:type="dxa"/>
            <w:vAlign w:val="bottom"/>
            <w:gridSpan w:val="3"/>
            <w:vMerge w:val="continue"/>
          </w:tcPr>
          <w:p>
            <w:pPr>
              <w:spacing w:after="0"/>
              <w:rPr>
                <w:sz w:val="12"/>
                <w:szCs w:val="12"/>
                <w:color w:val="auto"/>
              </w:rPr>
            </w:pPr>
          </w:p>
        </w:tc>
        <w:tc>
          <w:tcPr>
            <w:tcW w:w="1300" w:type="dxa"/>
            <w:vAlign w:val="bottom"/>
          </w:tcPr>
          <w:p>
            <w:pPr>
              <w:jc w:val="right"/>
              <w:ind w:right="419"/>
              <w:spacing w:after="0" w:line="142" w:lineRule="exact"/>
              <w:rPr>
                <w:sz w:val="20"/>
                <w:szCs w:val="20"/>
                <w:color w:val="auto"/>
              </w:rPr>
            </w:pPr>
            <w:r>
              <w:rPr>
                <w:rFonts w:ascii="Arial" w:cs="Arial" w:eastAsia="Arial" w:hAnsi="Arial"/>
                <w:sz w:val="14"/>
                <w:szCs w:val="14"/>
                <w:color w:val="auto"/>
              </w:rPr>
              <w:t>2007</w:t>
            </w:r>
          </w:p>
        </w:tc>
        <w:tc>
          <w:tcPr>
            <w:tcW w:w="1720" w:type="dxa"/>
            <w:vAlign w:val="bottom"/>
            <w:gridSpan w:val="2"/>
          </w:tcPr>
          <w:p>
            <w:pPr>
              <w:jc w:val="right"/>
              <w:ind w:right="430"/>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1420" w:type="dxa"/>
            <w:vAlign w:val="bottom"/>
          </w:tcPr>
          <w:p>
            <w:pPr>
              <w:jc w:val="right"/>
              <w:ind w:right="484"/>
              <w:spacing w:after="0" w:line="142" w:lineRule="exact"/>
              <w:rPr>
                <w:sz w:val="20"/>
                <w:szCs w:val="20"/>
                <w:color w:val="auto"/>
              </w:rPr>
            </w:pPr>
            <w:r>
              <w:rPr>
                <w:rFonts w:ascii="Arial" w:cs="Arial" w:eastAsia="Arial" w:hAnsi="Arial"/>
                <w:sz w:val="14"/>
                <w:szCs w:val="14"/>
                <w:color w:val="auto"/>
              </w:rPr>
              <w:t>2007</w:t>
            </w:r>
          </w:p>
        </w:tc>
        <w:tc>
          <w:tcPr>
            <w:tcW w:w="1800" w:type="dxa"/>
            <w:vAlign w:val="bottom"/>
            <w:gridSpan w:val="2"/>
          </w:tcPr>
          <w:p>
            <w:pPr>
              <w:jc w:val="right"/>
              <w:ind w:right="470"/>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$(7,153,503)</w:t>
            </w:r>
          </w:p>
        </w:tc>
        <w:tc>
          <w:tcPr>
            <w:tcW w:w="4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$(4,863,209)</w:t>
            </w:r>
          </w:p>
        </w:tc>
        <w:tc>
          <w:tcPr>
            <w:tcW w:w="4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rPr>
              <w:t>$(17,197,245)</w:t>
            </w:r>
          </w:p>
        </w:tc>
        <w:tc>
          <w:tcPr>
            <w:tcW w:w="4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$(13,045,694)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loss (unrealized loss on marketable</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1300" w:type="dxa"/>
            <w:vAlign w:val="bottom"/>
          </w:tcPr>
          <w:p>
            <w:pPr>
              <w:jc w:val="right"/>
              <w:ind w:right="119"/>
              <w:spacing w:after="0"/>
              <w:rPr>
                <w:sz w:val="20"/>
                <w:szCs w:val="20"/>
                <w:color w:val="auto"/>
              </w:rPr>
            </w:pPr>
            <w:r>
              <w:rPr>
                <w:rFonts w:ascii="Arial" w:cs="Arial" w:eastAsia="Arial" w:hAnsi="Arial"/>
                <w:sz w:val="18"/>
                <w:szCs w:val="18"/>
                <w:color w:val="auto"/>
              </w:rPr>
              <w:t>(436,331)</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(1,059,360)</w:t>
            </w:r>
          </w:p>
        </w:tc>
        <w:tc>
          <w:tcPr>
            <w:tcW w:w="1820" w:type="dxa"/>
            <w:vAlign w:val="bottom"/>
            <w:gridSpan w:val="2"/>
          </w:tcPr>
          <w:p>
            <w:pPr>
              <w:jc w:val="right"/>
              <w:ind w:right="124"/>
              <w:spacing w:after="0"/>
              <w:rPr>
                <w:sz w:val="20"/>
                <w:szCs w:val="20"/>
                <w:color w:val="auto"/>
              </w:rPr>
            </w:pPr>
            <w:r>
              <w:rPr>
                <w:rFonts w:ascii="Arial" w:cs="Arial" w:eastAsia="Arial" w:hAnsi="Arial"/>
                <w:sz w:val="18"/>
                <w:szCs w:val="18"/>
                <w:color w:val="auto"/>
              </w:rPr>
              <w:t>(3,620,563)</w:t>
            </w:r>
          </w:p>
        </w:tc>
        <w:tc>
          <w:tcPr>
            <w:tcW w:w="1800" w:type="dxa"/>
            <w:vAlign w:val="bottom"/>
            <w:gridSpan w:val="2"/>
          </w:tcPr>
          <w:p>
            <w:pPr>
              <w:jc w:val="right"/>
              <w:ind w:right="110"/>
              <w:spacing w:after="0"/>
              <w:rPr>
                <w:sz w:val="20"/>
                <w:szCs w:val="20"/>
                <w:color w:val="auto"/>
              </w:rPr>
            </w:pPr>
            <w:r>
              <w:rPr>
                <w:rFonts w:ascii="Arial" w:cs="Arial" w:eastAsia="Arial" w:hAnsi="Arial"/>
                <w:sz w:val="18"/>
                <w:szCs w:val="18"/>
                <w:color w:val="auto"/>
              </w:rPr>
              <w:t>(2,782,626)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$(7,589,834)</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$(5,922,569)</w:t>
            </w:r>
          </w:p>
        </w:tc>
        <w:tc>
          <w:tcPr>
            <w:tcW w:w="18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$(20,817,808)</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$(15,828,320)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450"/>
        <w:spacing w:after="0" w:line="312" w:lineRule="auto"/>
        <w:rPr>
          <w:sz w:val="20"/>
          <w:szCs w:val="20"/>
          <w:color w:val="auto"/>
        </w:rPr>
      </w:pPr>
      <w:r>
        <w:rPr>
          <w:rFonts w:ascii="Arial" w:cs="Arial" w:eastAsia="Arial" w:hAnsi="Arial"/>
          <w:sz w:val="16"/>
          <w:szCs w:val="16"/>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stockholder approved stock-based compensation plans,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which it grants stock-based compensation to its employees, consultants and to non-employee directors for Board service. These grants are primarily in the form of options that allow a grantee to purchase a fixed number of shares of the Company’s common stock at a fixed exercise price equal to the market price of the shares at the date of the grant (“qualified stock option grants”) with a contractual term of ten years. The options may vest on a single date or in tranches over a period of time, but normally they do not vest unless the grantee is still employed by or a director of the Company on the vesting date. The compensation expense for grants to employees and directors will be recognized over the requisite service period, which is typically the period over which the stock-based compensation awards vest.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84" w:lineRule="exact"/>
        <w:rPr>
          <w:sz w:val="20"/>
          <w:szCs w:val="20"/>
          <w:color w:val="auto"/>
        </w:rPr>
      </w:pPr>
    </w:p>
    <w:p>
      <w:pPr>
        <w:ind w:right="200" w:firstLine="447"/>
        <w:spacing w:after="0" w:line="257" w:lineRule="auto"/>
        <w:rPr>
          <w:sz w:val="20"/>
          <w:szCs w:val="20"/>
          <w:color w:val="auto"/>
        </w:rPr>
      </w:pPr>
      <w:r>
        <w:rPr>
          <w:rFonts w:ascii="Arial" w:cs="Arial" w:eastAsia="Arial" w:hAnsi="Arial"/>
          <w:sz w:val="18"/>
          <w:szCs w:val="18"/>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The following table summarizes the stock option related compensation expense recognized by the Company in accordance with SFAS 123R, for the three-and nine-month periods ended September 30, 2007 and 2006: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740" w:type="dxa"/>
            <w:vAlign w:val="bottom"/>
            <w:gridSpan w:val="4"/>
          </w:tcPr>
          <w:p>
            <w:pPr>
              <w:jc w:val="center"/>
              <w:spacing w:after="0"/>
              <w:rPr>
                <w:sz w:val="20"/>
                <w:szCs w:val="20"/>
                <w:color w:val="auto"/>
              </w:rPr>
            </w:pPr>
            <w:r>
              <w:rPr>
                <w:rFonts w:ascii="Arial" w:cs="Arial" w:eastAsia="Arial" w:hAnsi="Arial"/>
                <w:sz w:val="14"/>
                <w:szCs w:val="14"/>
                <w:color w:val="auto"/>
                <w:w w:val="91"/>
              </w:rPr>
              <w:t>Three months ended</w:t>
            </w:r>
          </w:p>
        </w:tc>
        <w:tc>
          <w:tcPr>
            <w:tcW w:w="440" w:type="dxa"/>
            <w:vAlign w:val="bottom"/>
          </w:tcPr>
          <w:p>
            <w:pPr>
              <w:spacing w:after="0"/>
              <w:rPr>
                <w:sz w:val="14"/>
                <w:szCs w:val="14"/>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830"/>
              <w:spacing w:after="0"/>
              <w:rPr>
                <w:sz w:val="20"/>
                <w:szCs w:val="20"/>
                <w:color w:val="auto"/>
              </w:rPr>
            </w:pPr>
            <w:r>
              <w:rPr>
                <w:rFonts w:ascii="Arial" w:cs="Arial" w:eastAsia="Arial" w:hAnsi="Arial"/>
                <w:sz w:val="14"/>
                <w:szCs w:val="14"/>
                <w:color w:val="auto"/>
                <w:w w:val="89"/>
              </w:rPr>
              <w:t>September 30,</w:t>
            </w:r>
          </w:p>
        </w:tc>
        <w:tc>
          <w:tcPr>
            <w:tcW w:w="4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97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5220" w:type="dxa"/>
            <w:vAlign w:val="bottom"/>
            <w:vMerge w:val="restart"/>
          </w:tcPr>
          <w:p>
            <w:pPr>
              <w:spacing w:after="0"/>
              <w:rPr>
                <w:sz w:val="20"/>
                <w:szCs w:val="20"/>
                <w:color w:val="auto"/>
              </w:rPr>
            </w:pPr>
            <w:r>
              <w:rPr>
                <w:rFonts w:ascii="Arial" w:cs="Arial" w:eastAsia="Arial" w:hAnsi="Arial"/>
                <w:sz w:val="18"/>
                <w:szCs w:val="18"/>
                <w:color w:val="auto"/>
              </w:rPr>
              <w:t>Compensation expense for stock options granted</w:t>
            </w:r>
          </w:p>
        </w:tc>
        <w:tc>
          <w:tcPr>
            <w:tcW w:w="920" w:type="dxa"/>
            <w:vAlign w:val="bottom"/>
          </w:tcPr>
          <w:p>
            <w:pPr>
              <w:jc w:val="right"/>
              <w:ind w:right="122"/>
              <w:spacing w:after="0" w:line="142" w:lineRule="exact"/>
              <w:rPr>
                <w:sz w:val="20"/>
                <w:szCs w:val="20"/>
                <w:color w:val="auto"/>
              </w:rPr>
            </w:pPr>
            <w:r>
              <w:rPr>
                <w:rFonts w:ascii="Arial" w:cs="Arial" w:eastAsia="Arial" w:hAnsi="Arial"/>
                <w:sz w:val="14"/>
                <w:szCs w:val="14"/>
                <w:color w:val="auto"/>
              </w:rPr>
              <w:t>2007</w:t>
            </w:r>
          </w:p>
        </w:tc>
        <w:tc>
          <w:tcPr>
            <w:tcW w:w="1820" w:type="dxa"/>
            <w:vAlign w:val="bottom"/>
            <w:gridSpan w:val="3"/>
          </w:tcPr>
          <w:p>
            <w:pPr>
              <w:jc w:val="right"/>
              <w:ind w:right="330"/>
              <w:spacing w:after="0" w:line="142" w:lineRule="exact"/>
              <w:rPr>
                <w:sz w:val="20"/>
                <w:szCs w:val="20"/>
                <w:color w:val="auto"/>
              </w:rPr>
            </w:pPr>
            <w:r>
              <w:rPr>
                <w:rFonts w:ascii="Arial" w:cs="Arial" w:eastAsia="Arial" w:hAnsi="Arial"/>
                <w:sz w:val="14"/>
                <w:szCs w:val="14"/>
                <w:color w:val="auto"/>
              </w:rPr>
              <w:t>2006</w:t>
            </w:r>
          </w:p>
        </w:tc>
        <w:tc>
          <w:tcPr>
            <w:tcW w:w="440" w:type="dxa"/>
            <w:vAlign w:val="bottom"/>
          </w:tcPr>
          <w:p>
            <w:pPr>
              <w:spacing w:after="0"/>
              <w:rPr>
                <w:sz w:val="12"/>
                <w:szCs w:val="12"/>
                <w:color w:val="auto"/>
              </w:rPr>
            </w:pPr>
          </w:p>
        </w:tc>
        <w:tc>
          <w:tcPr>
            <w:tcW w:w="1060" w:type="dxa"/>
            <w:vAlign w:val="bottom"/>
          </w:tcPr>
          <w:p>
            <w:pPr>
              <w:jc w:val="right"/>
              <w:ind w:right="182"/>
              <w:spacing w:after="0" w:line="142" w:lineRule="exact"/>
              <w:rPr>
                <w:sz w:val="20"/>
                <w:szCs w:val="20"/>
                <w:color w:val="auto"/>
              </w:rPr>
            </w:pPr>
            <w:r>
              <w:rPr>
                <w:rFonts w:ascii="Arial" w:cs="Arial" w:eastAsia="Arial" w:hAnsi="Arial"/>
                <w:sz w:val="14"/>
                <w:szCs w:val="14"/>
                <w:color w:val="auto"/>
              </w:rPr>
              <w:t>2007</w:t>
            </w:r>
          </w:p>
        </w:tc>
        <w:tc>
          <w:tcPr>
            <w:tcW w:w="1960" w:type="dxa"/>
            <w:vAlign w:val="bottom"/>
            <w:gridSpan w:val="3"/>
          </w:tcPr>
          <w:p>
            <w:pPr>
              <w:jc w:val="right"/>
              <w:ind w:right="410"/>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24"/>
        </w:trPr>
        <w:tc>
          <w:tcPr>
            <w:tcW w:w="522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$803,000</w:t>
            </w:r>
          </w:p>
        </w:tc>
        <w:tc>
          <w:tcPr>
            <w:tcW w:w="2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$696,000</w:t>
            </w:r>
          </w:p>
        </w:tc>
        <w:tc>
          <w:tcPr>
            <w:tcW w:w="4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$2,066,000</w:t>
            </w:r>
          </w:p>
        </w:tc>
        <w:tc>
          <w:tcPr>
            <w:tcW w:w="2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$1,604,000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The stock option related compensation expense was recognized on a straight line basis over the vesting period of each grant net of estimated forfeitures. The Company’s estimated forfeiture rates are based on its historical experience within separate groups of employees. The estimated fair value of the options granted during 2007 and prior years was calculated using a Black Scholes Merton option pricing model (Black Scholes model). The following summarizes the weighted average fair value per share of options granted during the period and assumptions used in the Black Scholes model to calculate the fair value: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gridSpan w:val="4"/>
          </w:tcPr>
          <w:p>
            <w:pPr>
              <w:jc w:val="right"/>
              <w:ind w:right="668"/>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color w:val="auto"/>
              </w:rPr>
              <w:t>Nine months ended</w:t>
            </w:r>
          </w:p>
        </w:tc>
        <w:tc>
          <w:tcPr>
            <w:tcW w:w="720" w:type="dxa"/>
            <w:vAlign w:val="bottom"/>
          </w:tcPr>
          <w:p>
            <w:pPr>
              <w:spacing w:after="0"/>
              <w:rPr>
                <w:sz w:val="14"/>
                <w:szCs w:val="14"/>
                <w:color w:val="auto"/>
              </w:rPr>
            </w:pPr>
          </w:p>
        </w:tc>
      </w:tr>
      <w:tr>
        <w:trPr>
          <w:trHeight w:val="167"/>
        </w:trPr>
        <w:tc>
          <w:tcPr>
            <w:tcW w:w="4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color w:val="auto"/>
                <w:w w:val="89"/>
              </w:rPr>
              <w:t>September 30,</w:t>
            </w:r>
          </w:p>
        </w:tc>
        <w:tc>
          <w:tcPr>
            <w:tcW w:w="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87"/>
              </w:rPr>
              <w:t>September 30,</w:t>
            </w:r>
          </w:p>
        </w:tc>
        <w:tc>
          <w:tcPr>
            <w:tcW w:w="720" w:type="dxa"/>
            <w:vAlign w:val="bottom"/>
            <w:tcBorders>
              <w:bottom w:val="single" w:sz="8" w:color="auto"/>
            </w:tcBorders>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2006</w:t>
            </w:r>
          </w:p>
        </w:tc>
        <w:tc>
          <w:tcPr>
            <w:tcW w:w="500" w:type="dxa"/>
            <w:vAlign w:val="bottom"/>
          </w:tcPr>
          <w:p>
            <w:pPr>
              <w:spacing w:after="0"/>
              <w:rPr>
                <w:sz w:val="12"/>
                <w:szCs w:val="12"/>
                <w:color w:val="auto"/>
              </w:rPr>
            </w:pPr>
          </w:p>
        </w:tc>
        <w:tc>
          <w:tcPr>
            <w:tcW w:w="8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2007</w:t>
            </w:r>
          </w:p>
        </w:tc>
        <w:tc>
          <w:tcPr>
            <w:tcW w:w="1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 of options granted</w:t>
            </w:r>
          </w:p>
        </w:tc>
        <w:tc>
          <w:tcPr>
            <w:tcW w:w="17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$ 1.74</w:t>
            </w:r>
          </w:p>
        </w:tc>
        <w:tc>
          <w:tcPr>
            <w:tcW w:w="17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1.69</w:t>
            </w:r>
          </w:p>
        </w:tc>
        <w:tc>
          <w:tcPr>
            <w:tcW w:w="1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$ 1.87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Assumptions, weighted average:</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 free interest rate</w:t>
            </w:r>
            <w:r>
              <w:rPr>
                <w:rFonts w:ascii="Arial" w:cs="Arial" w:eastAsia="Arial" w:hAnsi="Arial"/>
                <w:sz w:val="15"/>
                <w:szCs w:val="15"/>
                <w:color w:val="auto"/>
              </w:rPr>
              <w:t>(1)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7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4.73%</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Volatility</w:t>
            </w:r>
            <w:r>
              <w:rPr>
                <w:rFonts w:ascii="Arial" w:cs="Arial" w:eastAsia="Arial" w:hAnsi="Arial"/>
                <w:sz w:val="15"/>
                <w:szCs w:val="15"/>
                <w:color w:val="auto"/>
              </w:rPr>
              <w:t>(2)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93.35%</w:t>
            </w:r>
          </w:p>
        </w:tc>
        <w:tc>
          <w:tcPr>
            <w:tcW w:w="1760" w:type="dxa"/>
            <w:vAlign w:val="bottom"/>
            <w:gridSpan w:val="3"/>
          </w:tcPr>
          <w:p>
            <w:pPr>
              <w:jc w:val="right"/>
              <w:ind w:right="108"/>
              <w:spacing w:after="0"/>
              <w:rPr>
                <w:sz w:val="20"/>
                <w:szCs w:val="20"/>
                <w:color w:val="auto"/>
              </w:rPr>
            </w:pPr>
            <w:r>
              <w:rPr>
                <w:rFonts w:ascii="Arial" w:cs="Arial" w:eastAsia="Arial" w:hAnsi="Arial"/>
                <w:sz w:val="18"/>
                <w:szCs w:val="18"/>
                <w:color w:val="auto"/>
              </w:rPr>
              <w:t>106.60%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95.49%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w w:val="85"/>
              </w:rPr>
              <w:t>94.97%</w:t>
            </w: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r>
              <w:rPr>
                <w:rFonts w:ascii="Arial" w:cs="Arial" w:eastAsia="Arial" w:hAnsi="Arial"/>
                <w:sz w:val="15"/>
                <w:szCs w:val="15"/>
                <w:color w:val="auto"/>
              </w:rPr>
              <w:t>(3)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Expected term (years until exercise)</w:t>
            </w:r>
            <w:r>
              <w:rPr>
                <w:rFonts w:ascii="Arial" w:cs="Arial" w:eastAsia="Arial" w:hAnsi="Arial"/>
                <w:sz w:val="15"/>
                <w:szCs w:val="15"/>
                <w:color w:val="auto"/>
              </w:rPr>
              <w:t>(4)</w:t>
            </w:r>
          </w:p>
        </w:tc>
        <w:tc>
          <w:tcPr>
            <w:tcW w:w="1700" w:type="dxa"/>
            <w:vAlign w:val="bottom"/>
            <w:gridSpan w:val="2"/>
          </w:tcPr>
          <w:p>
            <w:pPr>
              <w:jc w:val="right"/>
              <w:ind w:right="108"/>
              <w:spacing w:after="0"/>
              <w:rPr>
                <w:sz w:val="20"/>
                <w:szCs w:val="20"/>
                <w:color w:val="auto"/>
              </w:rPr>
            </w:pPr>
            <w:r>
              <w:rPr>
                <w:rFonts w:ascii="Arial" w:cs="Arial" w:eastAsia="Arial" w:hAnsi="Arial"/>
                <w:sz w:val="18"/>
                <w:szCs w:val="18"/>
                <w:color w:val="auto"/>
              </w:rPr>
              <w:t>6.25</w:t>
            </w:r>
          </w:p>
        </w:tc>
        <w:tc>
          <w:tcPr>
            <w:tcW w:w="1760" w:type="dxa"/>
            <w:vAlign w:val="bottom"/>
            <w:gridSpan w:val="3"/>
          </w:tcPr>
          <w:p>
            <w:pPr>
              <w:jc w:val="right"/>
              <w:ind w:right="248"/>
              <w:spacing w:after="0"/>
              <w:rPr>
                <w:sz w:val="20"/>
                <w:szCs w:val="20"/>
                <w:color w:val="auto"/>
              </w:rPr>
            </w:pPr>
            <w:r>
              <w:rPr>
                <w:rFonts w:ascii="Arial" w:cs="Arial" w:eastAsia="Arial" w:hAnsi="Arial"/>
                <w:sz w:val="18"/>
                <w:szCs w:val="18"/>
                <w:color w:val="auto"/>
              </w:rPr>
              <w:t>6.25</w:t>
            </w:r>
          </w:p>
        </w:tc>
        <w:tc>
          <w:tcPr>
            <w:tcW w:w="1380" w:type="dxa"/>
            <w:vAlign w:val="bottom"/>
            <w:gridSpan w:val="2"/>
          </w:tcPr>
          <w:p>
            <w:pPr>
              <w:jc w:val="right"/>
              <w:ind w:right="88"/>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6.25</w:t>
            </w:r>
          </w:p>
        </w:tc>
      </w:tr>
      <w:tr>
        <w:trPr>
          <w:trHeight w:val="391"/>
        </w:trPr>
        <w:tc>
          <w:tcPr>
            <w:tcW w:w="4880" w:type="dxa"/>
            <w:vAlign w:val="bottom"/>
          </w:tcPr>
          <w:p>
            <w:pPr>
              <w:spacing w:after="0"/>
              <w:rPr>
                <w:sz w:val="24"/>
                <w:szCs w:val="24"/>
                <w:color w:val="auto"/>
              </w:rPr>
            </w:pPr>
          </w:p>
        </w:tc>
        <w:tc>
          <w:tcPr>
            <w:tcW w:w="1700" w:type="dxa"/>
            <w:vAlign w:val="bottom"/>
            <w:gridSpan w:val="2"/>
          </w:tcPr>
          <w:p>
            <w:pPr>
              <w:jc w:val="right"/>
              <w:ind w:right="74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6"/>
        </w:trPr>
        <w:tc>
          <w:tcPr>
            <w:tcW w:w="48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debt securities with maturities close to the expected term of the option.</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21"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paying cash dividends over the expected term of the option.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term is equal to the average of the contractual life of the stock option and its vesting period.</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At September 30, 2007, approximately $7,600,000 of unrecognized compensation expense related to stock options is expected to be recognized over a weighted average period of approximately 1.7 years. The resulting effect on net loss and net loss per share attributable to common stockholders is not likely to be representative of the effects in future periods, due to changes in forfeiture rates, additional grants and subsequent periods of vesting.</w:t>
      </w:r>
    </w:p>
    <w:p>
      <w:pPr>
        <w:spacing w:after="0" w:line="57" w:lineRule="exact"/>
        <w:rPr>
          <w:sz w:val="20"/>
          <w:szCs w:val="20"/>
          <w:color w:val="auto"/>
        </w:rPr>
      </w:pPr>
    </w:p>
    <w:p>
      <w:pPr>
        <w:ind w:right="580" w:firstLine="447"/>
        <w:spacing w:after="0" w:line="277" w:lineRule="auto"/>
        <w:rPr>
          <w:sz w:val="20"/>
          <w:szCs w:val="20"/>
          <w:color w:val="auto"/>
        </w:rPr>
      </w:pPr>
      <w:r>
        <w:rPr>
          <w:rFonts w:ascii="Arial" w:cs="Arial" w:eastAsia="Arial" w:hAnsi="Arial"/>
          <w:sz w:val="18"/>
          <w:szCs w:val="18"/>
          <w:color w:val="auto"/>
        </w:rPr>
        <w:t>The Company has four active stock option plans that were authorized to award 14,000,000 shares in aggregate. A total of 3,041,918 shares were available for grant from these four plans at September 30, 2007.</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for the three months ended September 30,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5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5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Weighted</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5340" w:type="dxa"/>
            <w:vAlign w:val="bottom"/>
          </w:tcPr>
          <w:p>
            <w:pPr>
              <w:spacing w:after="0"/>
              <w:rPr>
                <w:sz w:val="12"/>
                <w:szCs w:val="12"/>
                <w:color w:val="auto"/>
              </w:rPr>
            </w:pPr>
          </w:p>
        </w:tc>
        <w:tc>
          <w:tcPr>
            <w:tcW w:w="136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Number of</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contractual</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99"/>
              </w:rPr>
              <w:t>Aggregate</w:t>
            </w:r>
          </w:p>
        </w:tc>
      </w:tr>
      <w:tr>
        <w:trPr>
          <w:trHeight w:val="167"/>
        </w:trPr>
        <w:tc>
          <w:tcPr>
            <w:tcW w:w="5340" w:type="dxa"/>
            <w:vAlign w:val="bottom"/>
          </w:tcPr>
          <w:p>
            <w:pPr>
              <w:spacing w:after="0"/>
              <w:rPr>
                <w:sz w:val="14"/>
                <w:szCs w:val="14"/>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options</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exercise price</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term (years)</w:t>
            </w:r>
          </w:p>
        </w:tc>
        <w:tc>
          <w:tcPr>
            <w:tcW w:w="44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intrinsic value</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13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9,037,194</w:t>
            </w:r>
          </w:p>
        </w:tc>
        <w:tc>
          <w:tcPr>
            <w:tcW w:w="14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$2.86</w:t>
            </w:r>
          </w:p>
        </w:tc>
        <w:tc>
          <w:tcPr>
            <w:tcW w:w="146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3,211,096</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214"/>
              <w:spacing w:after="0"/>
              <w:rPr>
                <w:sz w:val="20"/>
                <w:szCs w:val="20"/>
                <w:color w:val="auto"/>
              </w:rPr>
            </w:pPr>
            <w:r>
              <w:rPr>
                <w:rFonts w:ascii="Arial" w:cs="Arial" w:eastAsia="Arial" w:hAnsi="Arial"/>
                <w:sz w:val="18"/>
                <w:szCs w:val="18"/>
                <w:color w:val="auto"/>
              </w:rPr>
              <w:t>1,496,600</w:t>
            </w:r>
          </w:p>
        </w:tc>
        <w:tc>
          <w:tcPr>
            <w:tcW w:w="1460" w:type="dxa"/>
            <w:vAlign w:val="bottom"/>
            <w:gridSpan w:val="2"/>
          </w:tcPr>
          <w:p>
            <w:pPr>
              <w:jc w:val="right"/>
              <w:ind w:right="264"/>
              <w:spacing w:after="0"/>
              <w:rPr>
                <w:sz w:val="20"/>
                <w:szCs w:val="20"/>
                <w:color w:val="auto"/>
              </w:rPr>
            </w:pPr>
            <w:r>
              <w:rPr>
                <w:rFonts w:ascii="Arial" w:cs="Arial" w:eastAsia="Arial" w:hAnsi="Arial"/>
                <w:sz w:val="18"/>
                <w:szCs w:val="18"/>
                <w:color w:val="auto"/>
              </w:rPr>
              <w:t>$2.21</w:t>
            </w:r>
          </w:p>
        </w:tc>
        <w:tc>
          <w:tcPr>
            <w:tcW w:w="1460" w:type="dxa"/>
            <w:vAlign w:val="bottom"/>
            <w:gridSpan w:val="2"/>
          </w:tcPr>
          <w:p>
            <w:pPr>
              <w:jc w:val="right"/>
              <w:ind w:right="263"/>
              <w:spacing w:after="0"/>
              <w:rPr>
                <w:sz w:val="20"/>
                <w:szCs w:val="20"/>
                <w:color w:val="auto"/>
              </w:rPr>
            </w:pPr>
            <w:r>
              <w:rPr>
                <w:rFonts w:ascii="Arial" w:cs="Arial" w:eastAsia="Arial" w:hAnsi="Arial"/>
                <w:sz w:val="18"/>
                <w:szCs w:val="18"/>
                <w:color w:val="auto"/>
              </w:rPr>
              <w:t>9.89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28,485(1)</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(1,500,000)</w:t>
            </w:r>
          </w:p>
        </w:tc>
        <w:tc>
          <w:tcPr>
            <w:tcW w:w="1460" w:type="dxa"/>
            <w:vAlign w:val="bottom"/>
            <w:gridSpan w:val="2"/>
          </w:tcPr>
          <w:p>
            <w:pPr>
              <w:jc w:val="right"/>
              <w:ind w:right="264"/>
              <w:spacing w:after="0"/>
              <w:rPr>
                <w:sz w:val="20"/>
                <w:szCs w:val="20"/>
                <w:color w:val="auto"/>
              </w:rPr>
            </w:pPr>
            <w:r>
              <w:rPr>
                <w:rFonts w:ascii="Arial" w:cs="Arial" w:eastAsia="Arial" w:hAnsi="Arial"/>
                <w:sz w:val="18"/>
                <w:szCs w:val="18"/>
                <w:color w:val="auto"/>
              </w:rPr>
              <w:t>$5.25</w:t>
            </w:r>
          </w:p>
        </w:tc>
        <w:tc>
          <w:tcPr>
            <w:tcW w:w="460" w:type="dxa"/>
            <w:vAlign w:val="bottom"/>
          </w:tcPr>
          <w:p>
            <w:pPr>
              <w:spacing w:after="0"/>
              <w:rPr>
                <w:sz w:val="18"/>
                <w:szCs w:val="18"/>
                <w:color w:val="auto"/>
              </w:rPr>
            </w:pPr>
          </w:p>
        </w:tc>
        <w:tc>
          <w:tcPr>
            <w:tcW w:w="1000" w:type="dxa"/>
            <w:vAlign w:val="bottom"/>
          </w:tcPr>
          <w:p>
            <w:pPr>
              <w:jc w:val="right"/>
              <w:ind w:right="26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2007</w:t>
            </w:r>
          </w:p>
        </w:tc>
        <w:tc>
          <w:tcPr>
            <w:tcW w:w="13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9,033,794</w:t>
            </w:r>
          </w:p>
        </w:tc>
        <w:tc>
          <w:tcPr>
            <w:tcW w:w="14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$2.36</w:t>
            </w:r>
          </w:p>
        </w:tc>
        <w:tc>
          <w:tcPr>
            <w:tcW w:w="146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7.49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2,349,173(1)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Exercisable at September 30, 2007</w:t>
            </w:r>
          </w:p>
        </w:tc>
        <w:tc>
          <w:tcPr>
            <w:tcW w:w="1360" w:type="dxa"/>
            <w:vAlign w:val="bottom"/>
          </w:tcPr>
          <w:p>
            <w:pPr>
              <w:jc w:val="right"/>
              <w:ind w:right="214"/>
              <w:spacing w:after="0"/>
              <w:rPr>
                <w:sz w:val="20"/>
                <w:szCs w:val="20"/>
                <w:color w:val="auto"/>
              </w:rPr>
            </w:pPr>
            <w:r>
              <w:rPr>
                <w:rFonts w:ascii="Arial" w:cs="Arial" w:eastAsia="Arial" w:hAnsi="Arial"/>
                <w:sz w:val="18"/>
                <w:szCs w:val="18"/>
                <w:color w:val="auto"/>
              </w:rPr>
              <w:t>4,307,763</w:t>
            </w:r>
          </w:p>
        </w:tc>
        <w:tc>
          <w:tcPr>
            <w:tcW w:w="1460" w:type="dxa"/>
            <w:vAlign w:val="bottom"/>
            <w:gridSpan w:val="2"/>
          </w:tcPr>
          <w:p>
            <w:pPr>
              <w:jc w:val="right"/>
              <w:ind w:right="264"/>
              <w:spacing w:after="0"/>
              <w:rPr>
                <w:sz w:val="20"/>
                <w:szCs w:val="20"/>
                <w:color w:val="auto"/>
              </w:rPr>
            </w:pPr>
            <w:r>
              <w:rPr>
                <w:rFonts w:ascii="Arial" w:cs="Arial" w:eastAsia="Arial" w:hAnsi="Arial"/>
                <w:sz w:val="18"/>
                <w:szCs w:val="18"/>
                <w:color w:val="auto"/>
              </w:rPr>
              <w:t>$2.22</w:t>
            </w:r>
          </w:p>
        </w:tc>
        <w:tc>
          <w:tcPr>
            <w:tcW w:w="1460" w:type="dxa"/>
            <w:vAlign w:val="bottom"/>
            <w:gridSpan w:val="2"/>
          </w:tcPr>
          <w:p>
            <w:pPr>
              <w:jc w:val="right"/>
              <w:ind w:right="263"/>
              <w:spacing w:after="0"/>
              <w:rPr>
                <w:sz w:val="20"/>
                <w:szCs w:val="20"/>
                <w:color w:val="auto"/>
              </w:rPr>
            </w:pPr>
            <w:r>
              <w:rPr>
                <w:rFonts w:ascii="Arial" w:cs="Arial" w:eastAsia="Arial" w:hAnsi="Arial"/>
                <w:sz w:val="18"/>
                <w:szCs w:val="18"/>
                <w:color w:val="auto"/>
              </w:rPr>
              <w:t>5.78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88"/>
              </w:rPr>
              <w:t>2,071,960(1)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2007 (2)</w:t>
            </w:r>
          </w:p>
        </w:tc>
        <w:tc>
          <w:tcPr>
            <w:tcW w:w="13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8,343,643</w:t>
            </w:r>
          </w:p>
        </w:tc>
        <w:tc>
          <w:tcPr>
            <w:tcW w:w="14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$2.34</w:t>
            </w:r>
          </w:p>
        </w:tc>
        <w:tc>
          <w:tcPr>
            <w:tcW w:w="146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7.52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2,333,579(1)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intrinsic values are calculated using the Company’s closing stock price of $2.11 on September 30, 2007.</w:t>
      </w:r>
    </w:p>
    <w:p>
      <w:pPr>
        <w:spacing w:after="0" w:line="7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calculations include options already vested at September 30, 2007 and options expected to vest net of estimated forfeitures after September 30,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changes to the Company’s unvested options during the three-month period ended September 30, 2007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5"/>
              </w:rPr>
              <w:t>Number of securities</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underlying unvested</w:t>
            </w:r>
          </w:p>
        </w:tc>
        <w:tc>
          <w:tcPr>
            <w:tcW w:w="480" w:type="dxa"/>
            <w:vAlign w:val="bottom"/>
          </w:tcPr>
          <w:p>
            <w:pPr>
              <w:spacing w:after="0"/>
              <w:rPr>
                <w:sz w:val="12"/>
                <w:szCs w:val="12"/>
                <w:color w:val="auto"/>
              </w:rPr>
            </w:pPr>
          </w:p>
        </w:tc>
        <w:tc>
          <w:tcPr>
            <w:tcW w:w="1300" w:type="dxa"/>
            <w:vAlign w:val="bottom"/>
          </w:tcPr>
          <w:p>
            <w:pPr>
              <w:jc w:val="right"/>
              <w:ind w:right="59"/>
              <w:spacing w:after="0" w:line="149" w:lineRule="exact"/>
              <w:rPr>
                <w:sz w:val="20"/>
                <w:szCs w:val="20"/>
                <w:color w:val="auto"/>
              </w:rPr>
            </w:pPr>
            <w:r>
              <w:rPr>
                <w:rFonts w:ascii="Arial" w:cs="Arial" w:eastAsia="Arial" w:hAnsi="Arial"/>
                <w:sz w:val="14"/>
                <w:szCs w:val="14"/>
                <w:color w:val="auto"/>
              </w:rPr>
              <w:t>Weighted average</w:t>
            </w:r>
          </w:p>
        </w:tc>
      </w:tr>
      <w:tr>
        <w:trPr>
          <w:trHeight w:val="167"/>
        </w:trPr>
        <w:tc>
          <w:tcPr>
            <w:tcW w:w="7420" w:type="dxa"/>
            <w:vAlign w:val="bottom"/>
            <w:gridSpan w:val="2"/>
          </w:tcPr>
          <w:p>
            <w:pPr>
              <w:spacing w:after="0"/>
              <w:rPr>
                <w:sz w:val="20"/>
                <w:szCs w:val="20"/>
                <w:color w:val="auto"/>
              </w:rPr>
            </w:pPr>
            <w:r>
              <w:rPr>
                <w:rFonts w:ascii="Arial" w:cs="Arial" w:eastAsia="Arial" w:hAnsi="Arial"/>
                <w:sz w:val="14"/>
                <w:szCs w:val="14"/>
                <w:color w:val="auto"/>
              </w:rPr>
              <w:t>Unvested Options</w:t>
            </w:r>
          </w:p>
        </w:tc>
        <w:tc>
          <w:tcPr>
            <w:tcW w:w="4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2"/>
              </w:rPr>
              <w:t>options</w:t>
            </w:r>
          </w:p>
        </w:tc>
        <w:tc>
          <w:tcPr>
            <w:tcW w:w="4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w w:val="96"/>
              </w:rPr>
              <w:t>grant date fair value</w:t>
            </w: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options at June 30, 2007</w:t>
            </w:r>
          </w:p>
        </w:tc>
        <w:tc>
          <w:tcPr>
            <w:tcW w:w="48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18"/>
                <w:szCs w:val="18"/>
                <w:color w:val="auto"/>
              </w:rPr>
              <w:t>3,941,974</w:t>
            </w:r>
          </w:p>
        </w:tc>
        <w:tc>
          <w:tcPr>
            <w:tcW w:w="48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Granted this period</w:t>
            </w:r>
          </w:p>
        </w:tc>
        <w:tc>
          <w:tcPr>
            <w:tcW w:w="2220" w:type="dxa"/>
            <w:vAlign w:val="bottom"/>
            <w:gridSpan w:val="2"/>
          </w:tcPr>
          <w:p>
            <w:pPr>
              <w:jc w:val="right"/>
              <w:ind w:right="421"/>
              <w:spacing w:after="0"/>
              <w:rPr>
                <w:sz w:val="20"/>
                <w:szCs w:val="20"/>
                <w:color w:val="auto"/>
              </w:rPr>
            </w:pPr>
            <w:r>
              <w:rPr>
                <w:rFonts w:ascii="Arial" w:cs="Arial" w:eastAsia="Arial" w:hAnsi="Arial"/>
                <w:sz w:val="18"/>
                <w:szCs w:val="18"/>
                <w:color w:val="auto"/>
              </w:rPr>
              <w:t>1,496,600</w:t>
            </w:r>
          </w:p>
        </w:tc>
        <w:tc>
          <w:tcPr>
            <w:tcW w:w="1780" w:type="dxa"/>
            <w:vAlign w:val="bottom"/>
            <w:gridSpan w:val="2"/>
          </w:tcPr>
          <w:p>
            <w:pPr>
              <w:jc w:val="right"/>
              <w:ind w:right="399"/>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Vested this period</w:t>
            </w:r>
          </w:p>
        </w:tc>
        <w:tc>
          <w:tcPr>
            <w:tcW w:w="22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(712,543)</w:t>
            </w:r>
          </w:p>
        </w:tc>
        <w:tc>
          <w:tcPr>
            <w:tcW w:w="178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Forfeited this period</w:t>
            </w:r>
          </w:p>
        </w:tc>
        <w:tc>
          <w:tcPr>
            <w:tcW w:w="480" w:type="dxa"/>
            <w:vAlign w:val="bottom"/>
          </w:tcPr>
          <w:p>
            <w:pPr>
              <w:spacing w:after="0"/>
              <w:rPr>
                <w:sz w:val="18"/>
                <w:szCs w:val="18"/>
                <w:color w:val="auto"/>
              </w:rPr>
            </w:pPr>
          </w:p>
        </w:tc>
        <w:tc>
          <w:tcPr>
            <w:tcW w:w="1740" w:type="dxa"/>
            <w:vAlign w:val="bottom"/>
          </w:tcPr>
          <w:p>
            <w:pPr>
              <w:jc w:val="right"/>
              <w:ind w:right="42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September 30, 2007</w:t>
            </w:r>
          </w:p>
        </w:tc>
        <w:tc>
          <w:tcPr>
            <w:tcW w:w="22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4,726,031</w:t>
            </w:r>
          </w:p>
        </w:tc>
        <w:tc>
          <w:tcPr>
            <w:tcW w:w="178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$2.01</w:t>
            </w:r>
          </w:p>
        </w:tc>
      </w:tr>
    </w:tbl>
    <w:p>
      <w:pPr>
        <w:spacing w:after="0" w:line="94" w:lineRule="exact"/>
        <w:rPr>
          <w:sz w:val="20"/>
          <w:szCs w:val="20"/>
          <w:color w:val="auto"/>
        </w:rPr>
      </w:pPr>
    </w:p>
    <w:p>
      <w:pPr>
        <w:ind w:right="40" w:firstLine="447"/>
        <w:spacing w:after="0" w:line="302"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 xml:space="preserve">“Accounting For Equity Instruments That Are Issued To Other Than Employees For Acquiring, Or In Conjunction With Selling, Goods Or Services,”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 Scholes model. The fair value is re-measured at each reporting date during the service period and is amortized over the vesting period of each option or the recipient’s contractual arrangement, if shorter.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Appreciation Rights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July 2006, the Company, pursuant to the 2006 Equity Incentive Plan, granted cash-settled Stock Appreciation Rights (SARs) to certain employees. The SARs give the holder the right, upon exercise, to the difference between the price per share of the Company’s common stock at the time of exercise and the exercise price of the SAR. The exercise price of the SARs is equal to the market price per share of the Company’s common stock at the date of grant. The SARs vest on the same schedule as the Company’s qualified options issued to employees, i.e., 25% on the first anniversary of the grant date and then 1/48</w:t>
      </w:r>
      <w:r>
        <w:rPr>
          <w:rFonts w:ascii="Arial" w:cs="Arial" w:eastAsia="Arial" w:hAnsi="Arial"/>
          <w:sz w:val="13"/>
          <w:szCs w:val="13"/>
          <w:color w:val="auto"/>
        </w:rPr>
        <w:t>th</w:t>
      </w:r>
      <w:r>
        <w:rPr>
          <w:rFonts w:ascii="Arial" w:cs="Arial" w:eastAsia="Arial" w:hAnsi="Arial"/>
          <w:sz w:val="16"/>
          <w:szCs w:val="16"/>
          <w:color w:val="auto"/>
        </w:rPr>
        <w:t xml:space="preserve"> every month thereafter. The Company recognizes compensation expense for the SARs over the requisite service period which is typically the period over which the awards vest. Compensation expense is based on the fair value of SARs which is calculated using the Black Scholes model. The share-based compensation liability for the cost of the requisite service that has been rendered to the reporting date is re-measured at each reporting date through the date of settlement. The following table presents the activity of the Company’s SARs awards for the nine-month periods ended September 30, 2007 and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jc w:val="right"/>
              <w:ind w:right="1937"/>
              <w:spacing w:after="0"/>
              <w:rPr>
                <w:sz w:val="20"/>
                <w:szCs w:val="20"/>
                <w:color w:val="auto"/>
              </w:rPr>
            </w:pPr>
            <w:r>
              <w:rPr>
                <w:rFonts w:ascii="Arial" w:cs="Arial" w:eastAsia="Arial" w:hAnsi="Arial"/>
                <w:sz w:val="14"/>
                <w:szCs w:val="14"/>
                <w:color w:val="auto"/>
              </w:rPr>
              <w:t>2007</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217"/>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2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jc w:val="center"/>
              <w:ind w:left="477"/>
              <w:spacing w:after="0" w:line="123"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left="457"/>
              <w:spacing w:after="0" w:line="149" w:lineRule="exact"/>
              <w:rPr>
                <w:sz w:val="20"/>
                <w:szCs w:val="20"/>
                <w:color w:val="auto"/>
              </w:rPr>
            </w:pPr>
            <w:r>
              <w:rPr>
                <w:rFonts w:ascii="Arial" w:cs="Arial" w:eastAsia="Arial" w:hAnsi="Arial"/>
                <w:sz w:val="14"/>
                <w:szCs w:val="14"/>
                <w:color w:val="auto"/>
                <w:w w:val="91"/>
              </w:rPr>
              <w:t>Average 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SARs</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SARs</w:t>
            </w:r>
          </w:p>
        </w:tc>
        <w:tc>
          <w:tcPr>
            <w:tcW w:w="1740" w:type="dxa"/>
            <w:vAlign w:val="bottom"/>
            <w:tcBorders>
              <w:bottom w:val="single" w:sz="8" w:color="auto"/>
            </w:tcBorders>
          </w:tcPr>
          <w:p>
            <w:pPr>
              <w:jc w:val="center"/>
              <w:ind w:left="477"/>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1,564,599</w:t>
            </w:r>
          </w:p>
        </w:tc>
        <w:tc>
          <w:tcPr>
            <w:tcW w:w="262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105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1,564,599</w:t>
            </w:r>
          </w:p>
        </w:tc>
        <w:tc>
          <w:tcPr>
            <w:tcW w:w="1740" w:type="dxa"/>
            <w:vAlign w:val="bottom"/>
          </w:tcPr>
          <w:p>
            <w:pPr>
              <w:jc w:val="right"/>
              <w:ind w:right="357"/>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1057"/>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1,564,599</w:t>
            </w:r>
          </w:p>
        </w:tc>
        <w:tc>
          <w:tcPr>
            <w:tcW w:w="262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$2.00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1,564,599</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SARs exercisable at September 30</w:t>
            </w:r>
          </w:p>
        </w:tc>
        <w:tc>
          <w:tcPr>
            <w:tcW w:w="1000" w:type="dxa"/>
            <w:vAlign w:val="bottom"/>
            <w:gridSpan w:val="2"/>
          </w:tcPr>
          <w:p>
            <w:pPr>
              <w:spacing w:after="0" w:line="20" w:lineRule="exact"/>
              <w:rPr>
                <w:sz w:val="1"/>
                <w:szCs w:val="1"/>
                <w:color w:val="auto"/>
              </w:rPr>
            </w:pPr>
          </w:p>
        </w:tc>
        <w:tc>
          <w:tcPr>
            <w:tcW w:w="2620" w:type="dxa"/>
            <w:vAlign w:val="bottom"/>
            <w:vMerge w:val="restart"/>
          </w:tcPr>
          <w:p>
            <w:pPr>
              <w:jc w:val="right"/>
              <w:ind w:right="1057"/>
              <w:spacing w:after="0"/>
              <w:rPr>
                <w:sz w:val="20"/>
                <w:szCs w:val="20"/>
                <w:color w:val="auto"/>
              </w:rPr>
            </w:pPr>
            <w:r>
              <w:rPr>
                <w:rFonts w:ascii="Arial" w:cs="Arial" w:eastAsia="Arial" w:hAnsi="Arial"/>
                <w:sz w:val="18"/>
                <w:szCs w:val="18"/>
                <w:color w:val="auto"/>
              </w:rPr>
              <w:t>$2.00</w:t>
            </w:r>
          </w:p>
        </w:tc>
        <w:tc>
          <w:tcPr>
            <w:tcW w:w="900" w:type="dxa"/>
            <w:vAlign w:val="bottom"/>
            <w:gridSpan w:val="2"/>
          </w:tcPr>
          <w:p>
            <w:pPr>
              <w:spacing w:after="0" w:line="20" w:lineRule="exact"/>
              <w:rPr>
                <w:sz w:val="1"/>
                <w:szCs w:val="1"/>
                <w:color w:val="auto"/>
              </w:rPr>
            </w:pPr>
          </w:p>
        </w:tc>
        <w:tc>
          <w:tcPr>
            <w:tcW w:w="1740" w:type="dxa"/>
            <w:vAlign w:val="bottom"/>
            <w:vMerge w:val="restart"/>
          </w:tcPr>
          <w:p>
            <w:pPr>
              <w:jc w:val="right"/>
              <w:ind w:right="357"/>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456,337</w:t>
            </w:r>
          </w:p>
        </w:tc>
        <w:tc>
          <w:tcPr>
            <w:tcW w:w="2620" w:type="dxa"/>
            <w:vAlign w:val="bottom"/>
            <w:vMerge w:val="continue"/>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For the three-month period ended September 30, 2007, the Company recorded approximately $76,000 as compensation expense related to SARs granted. At September 30, 2007, approximately $1,369,000 of unrecognized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compensation expense related to SARs is expected to be recognized over a weighted average period of approximately 1.5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 The Company currently recognizes revenues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In June 2006, the FASB issued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FIN 48 clarifies the accounting for uncertainty in income taxes recognized in an entity’s financial statements in accordance with SFAS No.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and prescribes a recognition threshold and measurement attribute for the financial statement recognition and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The Company adopted the provisions of FIN 48 on January 1, 2007. Previously, the Company had accounted for tax contingencies in accordance with Statement of Financial Accounting Standards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As required by FIN 48,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the adoption date, the Company applied FIN 48 to all tax positions for which the statute of limitations remained open. The amount of unrecognized tax benefits as of January 1, 2007 was zero. There have been no material changes in unrecognized tax benefits since January 1, 2007. The Company is subject to income taxes in the U.S. federal jurisdiction and various state jurisdictions. As of January 1, 2007, due to the carry forward of unutilized net operating losses and research and development credits, the Company is subject to U.S. Federal income tax examinations for the tax years 1992 through 2006, and to state income tax examinations for the tax years 1999 through 2006. The Company’s Federal income tax return for the year 2004 is currently under examination. The ultimate outcome of the examination by the Internal Revenue Service cannot be determined at this time.</w:t>
      </w:r>
    </w:p>
    <w:p>
      <w:pPr>
        <w:spacing w:after="0" w:line="73"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Company recognizes accrued interest related to unrecognized tax benefits in interest expense and penalties in operating expense. No amounts were accrued for the payment of interest and penalties at January 1, 2007. The Company’s adoption of FIN 48 did not have a material effect on the Company’s financial condition, results of operations or cash flows (see Note 7).</w:t>
      </w:r>
    </w:p>
    <w:p>
      <w:pPr>
        <w:spacing w:after="0" w:line="73"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In September 2006, the FASB issued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The Company is currently evaluating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SFAS 157; however, it does not believe that its adoption will have a material effect on its consolidated financial statements.</w:t>
      </w:r>
    </w:p>
    <w:p>
      <w:pPr>
        <w:spacing w:after="0" w:line="11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February 2007, the FASB issued Statement No. 159, “</w:t>
      </w:r>
      <w:r>
        <w:rPr>
          <w:rFonts w:ascii="Arial" w:cs="Arial" w:eastAsia="Arial" w:hAnsi="Arial"/>
          <w:sz w:val="16"/>
          <w:szCs w:val="16"/>
          <w:i w:val="1"/>
          <w:iCs w:val="1"/>
          <w:color w:val="auto"/>
        </w:rPr>
        <w:t>The Fair Value Option for Financial Assets and Financial Liabilities — Including an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115” </w:t>
      </w:r>
      <w:r>
        <w:rPr>
          <w:rFonts w:ascii="Arial" w:cs="Arial" w:eastAsia="Arial" w:hAnsi="Arial"/>
          <w:sz w:val="16"/>
          <w:szCs w:val="16"/>
          <w:color w:val="auto"/>
        </w:rPr>
        <w:t>(SFAS 159). SFAS 159 provides companies with an option to report selected financial assets and liabilities at fair value. SFAS</w:t>
      </w:r>
      <w:r>
        <w:rPr>
          <w:rFonts w:ascii="Arial" w:cs="Arial" w:eastAsia="Arial" w:hAnsi="Arial"/>
          <w:sz w:val="16"/>
          <w:szCs w:val="16"/>
          <w:i w:val="1"/>
          <w:iCs w:val="1"/>
          <w:color w:val="auto"/>
        </w:rPr>
        <w:t xml:space="preserve"> </w:t>
      </w:r>
      <w:r>
        <w:rPr>
          <w:rFonts w:ascii="Arial" w:cs="Arial" w:eastAsia="Arial" w:hAnsi="Arial"/>
          <w:sz w:val="16"/>
          <w:szCs w:val="16"/>
          <w:color w:val="auto"/>
        </w:rPr>
        <w:t>159’s objectives are to reduce both complexity in accounting for financial instruments and the volatility in earnings caused by measuring related assets and liabilities differently. SFAS 159 is effective as of the beginning of an entity’s first fiscal year beginning after November 15, 2007. The Company is currently evaluating the potential impact, if any, that the adoption of SFAS159 will have on its condensed consolidated financial statements.</w:t>
      </w:r>
    </w:p>
    <w:p>
      <w:pPr>
        <w:spacing w:after="0" w:line="50"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 xml:space="preserve">In June 2007, the Financial Accounting Standards Board ratified a consensus opinion reached by the Emerging Issues Task Force (EITF) on EITF Issue 07-3, </w:t>
      </w:r>
      <w:r>
        <w:rPr>
          <w:rFonts w:ascii="Arial" w:cs="Arial" w:eastAsia="Arial" w:hAnsi="Arial"/>
          <w:sz w:val="16"/>
          <w:szCs w:val="16"/>
          <w:i w:val="1"/>
          <w:iCs w:val="1"/>
          <w:color w:val="auto"/>
        </w:rPr>
        <w:t>“Accounting for Nonrefundable Advance Payments for Goods or Services Received for Use in Future Research and Development Activities.”</w:t>
      </w:r>
      <w:r>
        <w:rPr>
          <w:rFonts w:ascii="Arial" w:cs="Arial" w:eastAsia="Arial" w:hAnsi="Arial"/>
          <w:sz w:val="16"/>
          <w:szCs w:val="16"/>
          <w:color w:val="auto"/>
        </w:rPr>
        <w:t xml:space="preserve"> The guidance in EITF Issue 07-3 requires the Company to defer and capitalize nonrefundable advance payments made for goods or services to be used in research and development activities until the goods have been delivered or the related services have been performed. If the goods are no longer expected to be delivered nor the services expected to be performed, the Company would be required to expense the related capitalized advance payments. The consensus in EITF Issue 07-3 is effective for fiscal years, and interim periods within those fiscal years, beginning after December 15, 2007 and is to be applied prospectively to new contracts entered into on or after December 15, 2007. Early adoption is not permitted. Retrospective application of EITF Issue 07-3 is also not permitted. The Company intends to adopt EITF Issue 07-3 effective January 1, 2008. The impact of applying this consensus will depend on the terms of the Company’s future research and development contractual arrangements entered into on or after December 15, 2007.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AVAILABLE FOR 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which are all classified as available-for-sale: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center"/>
              <w:ind w:right="374"/>
              <w:spacing w:after="0"/>
              <w:rPr>
                <w:sz w:val="20"/>
                <w:szCs w:val="20"/>
                <w:color w:val="auto"/>
              </w:rPr>
            </w:pPr>
            <w:r>
              <w:rPr>
                <w:rFonts w:ascii="Arial" w:cs="Arial" w:eastAsia="Arial" w:hAnsi="Arial"/>
                <w:sz w:val="14"/>
                <w:szCs w:val="14"/>
                <w:color w:val="auto"/>
                <w:w w:val="90"/>
              </w:rPr>
              <w:t>Gross</w:t>
            </w:r>
          </w:p>
        </w:tc>
        <w:tc>
          <w:tcPr>
            <w:tcW w:w="164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453"/>
              <w:spacing w:after="0" w:line="149" w:lineRule="exact"/>
              <w:rPr>
                <w:sz w:val="20"/>
                <w:szCs w:val="20"/>
                <w:color w:val="auto"/>
              </w:rPr>
            </w:pPr>
            <w:r>
              <w:rPr>
                <w:rFonts w:ascii="Arial" w:cs="Arial" w:eastAsia="Arial" w:hAnsi="Arial"/>
                <w:sz w:val="14"/>
                <w:szCs w:val="14"/>
                <w:color w:val="auto"/>
              </w:rPr>
              <w:t>Amortized</w:t>
            </w:r>
          </w:p>
        </w:tc>
        <w:tc>
          <w:tcPr>
            <w:tcW w:w="520" w:type="dxa"/>
            <w:vAlign w:val="bottom"/>
          </w:tcPr>
          <w:p>
            <w:pPr>
              <w:spacing w:after="0"/>
              <w:rPr>
                <w:sz w:val="12"/>
                <w:szCs w:val="12"/>
                <w:color w:val="auto"/>
              </w:rPr>
            </w:pPr>
          </w:p>
        </w:tc>
        <w:tc>
          <w:tcPr>
            <w:tcW w:w="116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92"/>
              </w:rPr>
              <w:t>Unrealized</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5"/>
              </w:rPr>
              <w:t>Unrealized</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633"/>
              <w:spacing w:after="0"/>
              <w:rPr>
                <w:sz w:val="20"/>
                <w:szCs w:val="20"/>
                <w:color w:val="auto"/>
              </w:rPr>
            </w:pPr>
            <w:r>
              <w:rPr>
                <w:rFonts w:ascii="Arial" w:cs="Arial" w:eastAsia="Arial" w:hAnsi="Arial"/>
                <w:sz w:val="14"/>
                <w:szCs w:val="14"/>
                <w:color w:val="auto"/>
              </w:rPr>
              <w:t>Cost</w:t>
            </w:r>
          </w:p>
        </w:tc>
        <w:tc>
          <w:tcPr>
            <w:tcW w:w="520" w:type="dxa"/>
            <w:vAlign w:val="bottom"/>
          </w:tcPr>
          <w:p>
            <w:pPr>
              <w:spacing w:after="0"/>
              <w:rPr>
                <w:sz w:val="14"/>
                <w:szCs w:val="14"/>
                <w:color w:val="auto"/>
              </w:rPr>
            </w:pPr>
          </w:p>
        </w:tc>
        <w:tc>
          <w:tcPr>
            <w:tcW w:w="1160" w:type="dxa"/>
            <w:vAlign w:val="bottom"/>
          </w:tcPr>
          <w:p>
            <w:pPr>
              <w:jc w:val="center"/>
              <w:ind w:right="374"/>
              <w:spacing w:after="0"/>
              <w:rPr>
                <w:sz w:val="20"/>
                <w:szCs w:val="20"/>
                <w:color w:val="auto"/>
              </w:rPr>
            </w:pPr>
            <w:r>
              <w:rPr>
                <w:rFonts w:ascii="Arial" w:cs="Arial" w:eastAsia="Arial" w:hAnsi="Arial"/>
                <w:sz w:val="14"/>
                <w:szCs w:val="14"/>
                <w:color w:val="auto"/>
                <w:w w:val="92"/>
              </w:rPr>
              <w:t>Gains</w:t>
            </w:r>
          </w:p>
        </w:tc>
        <w:tc>
          <w:tcPr>
            <w:tcW w:w="1640" w:type="dxa"/>
            <w:vAlign w:val="bottom"/>
          </w:tcPr>
          <w:p>
            <w:pPr>
              <w:jc w:val="center"/>
              <w:spacing w:after="0"/>
              <w:rPr>
                <w:sz w:val="20"/>
                <w:szCs w:val="20"/>
                <w:color w:val="auto"/>
              </w:rPr>
            </w:pPr>
            <w:r>
              <w:rPr>
                <w:rFonts w:ascii="Arial" w:cs="Arial" w:eastAsia="Arial" w:hAnsi="Arial"/>
                <w:sz w:val="14"/>
                <w:szCs w:val="14"/>
                <w:color w:val="auto"/>
                <w:w w:val="90"/>
              </w:rPr>
              <w:t>Losses</w:t>
            </w:r>
          </w:p>
        </w:tc>
        <w:tc>
          <w:tcPr>
            <w:tcW w:w="50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color w:val="auto"/>
              </w:rPr>
              <w:t>Fair Value</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6"/>
              </w:rPr>
              <w:t>11,139,127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919</w:t>
            </w:r>
          </w:p>
        </w:tc>
        <w:tc>
          <w:tcPr>
            <w:tcW w:w="16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8"/>
              </w:rPr>
              <w:t>11,140,046</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U.S. corporate debt</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86"/>
              </w:rPr>
              <w:t>11,843,192</w:t>
            </w:r>
          </w:p>
        </w:tc>
        <w:tc>
          <w:tcPr>
            <w:tcW w:w="520" w:type="dxa"/>
            <w:vAlign w:val="bottom"/>
          </w:tcPr>
          <w:p>
            <w:pPr>
              <w:spacing w:after="0"/>
              <w:rPr>
                <w:sz w:val="18"/>
                <w:szCs w:val="18"/>
                <w:color w:val="auto"/>
              </w:rPr>
            </w:pPr>
          </w:p>
        </w:tc>
        <w:tc>
          <w:tcPr>
            <w:tcW w:w="1160" w:type="dxa"/>
            <w:vAlign w:val="bottom"/>
          </w:tcPr>
          <w:p>
            <w:pPr>
              <w:jc w:val="right"/>
              <w:ind w:right="354"/>
              <w:spacing w:after="0"/>
              <w:rPr>
                <w:sz w:val="20"/>
                <w:szCs w:val="20"/>
                <w:color w:val="auto"/>
              </w:rPr>
            </w:pPr>
            <w:r>
              <w:rPr>
                <w:rFonts w:ascii="Arial" w:cs="Arial" w:eastAsia="Arial" w:hAnsi="Arial"/>
                <w:sz w:val="18"/>
                <w:szCs w:val="18"/>
                <w:color w:val="auto"/>
              </w:rPr>
              <w:t>9,458</w:t>
            </w: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w w:val="88"/>
              </w:rPr>
              <w:t>11,852,650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7"/>
              </w:rPr>
              <w:t>2,766,444</w:t>
            </w: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5,864</w:t>
            </w:r>
          </w:p>
        </w:tc>
        <w:tc>
          <w:tcPr>
            <w:tcW w:w="16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7"/>
              </w:rPr>
              <w:t>2,772,308</w:t>
            </w: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short-term investments</w:t>
            </w:r>
          </w:p>
        </w:tc>
        <w:tc>
          <w:tcPr>
            <w:tcW w:w="280" w:type="dxa"/>
            <w:vAlign w:val="bottom"/>
          </w:tcPr>
          <w:p>
            <w:pPr>
              <w:spacing w:after="0"/>
              <w:rPr>
                <w:sz w:val="19"/>
                <w:szCs w:val="19"/>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86"/>
              </w:rPr>
              <w:t>25,748,763</w:t>
            </w:r>
          </w:p>
        </w:tc>
        <w:tc>
          <w:tcPr>
            <w:tcW w:w="520" w:type="dxa"/>
            <w:vAlign w:val="bottom"/>
          </w:tcPr>
          <w:p>
            <w:pPr>
              <w:spacing w:after="0"/>
              <w:rPr>
                <w:sz w:val="19"/>
                <w:szCs w:val="19"/>
                <w:color w:val="auto"/>
              </w:rPr>
            </w:pPr>
          </w:p>
        </w:tc>
        <w:tc>
          <w:tcPr>
            <w:tcW w:w="1160" w:type="dxa"/>
            <w:vAlign w:val="bottom"/>
          </w:tcPr>
          <w:p>
            <w:pPr>
              <w:jc w:val="right"/>
              <w:ind w:right="354"/>
              <w:spacing w:after="0"/>
              <w:rPr>
                <w:sz w:val="20"/>
                <w:szCs w:val="20"/>
                <w:color w:val="auto"/>
              </w:rPr>
            </w:pPr>
            <w:r>
              <w:rPr>
                <w:rFonts w:ascii="Arial" w:cs="Arial" w:eastAsia="Arial" w:hAnsi="Arial"/>
                <w:sz w:val="18"/>
                <w:szCs w:val="18"/>
                <w:color w:val="auto"/>
              </w:rPr>
              <w:t>16,241</w:t>
            </w: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w w:val="88"/>
              </w:rPr>
              <w:t>25,765,004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7"/>
              </w:rPr>
              <w:t>2,269,697</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(450,885)</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1,818,812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7"/>
              </w:rPr>
              <w:t>2,269,697</w:t>
            </w: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(450,885)</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7"/>
              </w:rPr>
              <w:t>1,818,812</w:t>
            </w: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86"/>
              </w:rPr>
              <w:t>28,018,460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16,241</w:t>
            </w:r>
          </w:p>
        </w:tc>
        <w:tc>
          <w:tcPr>
            <w:tcW w:w="16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$(450,885)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88"/>
              </w:rPr>
              <w:t>27,583,816</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7"/>
              </w:rPr>
              <w:t>2,319,505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87"/>
              </w:rPr>
              <w:t>1,813,141</w:t>
            </w:r>
          </w:p>
        </w:tc>
        <w:tc>
          <w:tcPr>
            <w:tcW w:w="16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7"/>
              </w:rPr>
              <w:t>4,132,646</w:t>
            </w: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short-term investments</w:t>
            </w:r>
          </w:p>
        </w:tc>
        <w:tc>
          <w:tcPr>
            <w:tcW w:w="280" w:type="dxa"/>
            <w:vAlign w:val="bottom"/>
          </w:tcPr>
          <w:p>
            <w:pPr>
              <w:spacing w:after="0"/>
              <w:rPr>
                <w:sz w:val="19"/>
                <w:szCs w:val="19"/>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2,319,505</w:t>
            </w:r>
          </w:p>
        </w:tc>
        <w:tc>
          <w:tcPr>
            <w:tcW w:w="520" w:type="dxa"/>
            <w:vAlign w:val="bottom"/>
          </w:tcPr>
          <w:p>
            <w:pPr>
              <w:spacing w:after="0"/>
              <w:rPr>
                <w:sz w:val="19"/>
                <w:szCs w:val="19"/>
                <w:color w:val="auto"/>
              </w:rPr>
            </w:pPr>
          </w:p>
        </w:tc>
        <w:tc>
          <w:tcPr>
            <w:tcW w:w="1160" w:type="dxa"/>
            <w:vAlign w:val="bottom"/>
          </w:tcPr>
          <w:p>
            <w:pPr>
              <w:jc w:val="right"/>
              <w:ind w:right="354"/>
              <w:spacing w:after="0"/>
              <w:rPr>
                <w:sz w:val="20"/>
                <w:szCs w:val="20"/>
                <w:color w:val="auto"/>
              </w:rPr>
            </w:pPr>
            <w:r>
              <w:rPr>
                <w:rFonts w:ascii="Arial" w:cs="Arial" w:eastAsia="Arial" w:hAnsi="Arial"/>
                <w:sz w:val="18"/>
                <w:szCs w:val="18"/>
                <w:color w:val="auto"/>
                <w:w w:val="87"/>
              </w:rPr>
              <w:t>1,813,141</w:t>
            </w: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Arial" w:cs="Arial" w:eastAsia="Arial" w:hAnsi="Arial"/>
                <w:sz w:val="18"/>
                <w:szCs w:val="18"/>
                <w:color w:val="auto"/>
                <w:w w:val="97"/>
              </w:rPr>
              <w:t>4,132,646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7"/>
              </w:rPr>
              <w:t>1,758,795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87"/>
              </w:rPr>
              <w:t>1,374,837</w:t>
            </w:r>
          </w:p>
        </w:tc>
        <w:tc>
          <w:tcPr>
            <w:tcW w:w="16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3,133,632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7"/>
              </w:rPr>
              <w:t>1,758,795</w:t>
            </w: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87"/>
              </w:rPr>
              <w:t>1,374,837</w:t>
            </w:r>
          </w:p>
        </w:tc>
        <w:tc>
          <w:tcPr>
            <w:tcW w:w="16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7"/>
              </w:rPr>
              <w:t>3,133,632</w:t>
            </w: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7"/>
              </w:rPr>
              <w:t>4,078,300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87"/>
              </w:rPr>
              <w:t>3,187,978</w:t>
            </w:r>
          </w:p>
        </w:tc>
        <w:tc>
          <w:tcPr>
            <w:tcW w:w="16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7,266,278</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investment in equity securities consists of shares of ReNeuron Group plc, a publicly listed UK corporation. In July 2005, the Company entered into a license and settlement agreement with ReNeuron Limited, a wholly owned subsidiary of ReNeuron Group plc (collectively referred to as “ReNeuron”). As part of the agreement, the Company granted ReNeuron a license that allows ReNeuron to exploit their “c-mycER” conditionally immortalized adult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As of December 31, 2006, the Company held 9,274,837 shares of ReNeuron common stock with fair value of approximately $7,266,000. In February 2007, the Company sold 5,275,000 ordinary shares of ReNeuron for net proceeds of approximately $3,077,000. The Company recorded approximately $718,000 as realized gain for this transaction. In February 2007, ReNeuron issued additional shares of common stock to the Company as a consequence of certain anti-dilution provisions in the agreement. StemCells was entitled to approximately 822,000 shares net of approximately 12,000 shares transferred to Neurospheres Ltd., (Neurospheres) an Alberta corporation from which StemCells has licensed some of the patent rights that are subject to the agreement with ReNeuron. The Company recorded approximately $550,000 as other income for the additional shares. As of September 30, 2007, the Company owned approximately 4,822,000 ordinary shares of ReNeuron with a fair market value of approximately $1,819,000.</w:t>
      </w:r>
    </w:p>
    <w:p>
      <w:pPr>
        <w:spacing w:after="0" w:line="6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loss as of September 30, 2007 is approximately $451,000. A decline in the fair value of securities that is deemed other than temporary would be charged to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ind w:right="140" w:firstLine="447"/>
        <w:spacing w:after="0" w:line="288"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w:t>
      </w:r>
    </w:p>
    <w:p>
      <w:pPr>
        <w:ind w:right="40"/>
        <w:spacing w:after="0" w:line="255" w:lineRule="auto"/>
        <w:rPr>
          <w:sz w:val="20"/>
          <w:szCs w:val="20"/>
          <w:color w:val="auto"/>
        </w:rPr>
      </w:pPr>
      <w:r>
        <w:rPr>
          <w:rFonts w:ascii="Arial" w:cs="Arial" w:eastAsia="Arial" w:hAnsi="Arial"/>
          <w:sz w:val="18"/>
          <w:szCs w:val="18"/>
          <w:color w:val="auto"/>
        </w:rPr>
        <w:t>August 2014. Interest rates vary with the respective bonds’ maturities, ranging currently from 8.2% to 9.5%. The outstanding principal at September 30, 2007 was approximately $1,178,000. The bonds contain certain restrictive covenants, which limit among other things, the payment of cash dividends and the sale of the related assets.</w:t>
      </w:r>
    </w:p>
    <w:p>
      <w:pPr>
        <w:spacing w:after="0" w:line="82" w:lineRule="exact"/>
        <w:rPr>
          <w:sz w:val="20"/>
          <w:szCs w:val="20"/>
          <w:color w:val="auto"/>
        </w:rPr>
      </w:pPr>
    </w:p>
    <w:p>
      <w:pPr>
        <w:ind w:right="260" w:firstLine="447"/>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Rhode Island in connection with a sale and leaseback arrangement in 1997. The lease has escalating rent payments and accordingly, the Company is recognizing rent expense on a straight-line basis. At December 31, 2006 and September 30, 2007, the Company had deferred rent liability for this facility of approximately $1,261,000 and $1,253,000 respectively; the deferred rent liability is presented as part of the wind-down reserve.</w:t>
      </w:r>
    </w:p>
    <w:p>
      <w:pPr>
        <w:spacing w:after="0" w:line="7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is currently seeking to sublease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59" w:lineRule="exact"/>
        <w:rPr>
          <w:sz w:val="20"/>
          <w:szCs w:val="20"/>
          <w:color w:val="auto"/>
        </w:rPr>
      </w:pPr>
    </w:p>
    <w:p>
      <w:pPr>
        <w:ind w:right="240" w:firstLine="440"/>
        <w:spacing w:after="0" w:line="288" w:lineRule="auto"/>
        <w:rPr>
          <w:sz w:val="20"/>
          <w:szCs w:val="20"/>
          <w:color w:val="auto"/>
        </w:rPr>
      </w:pPr>
      <w:r>
        <w:rPr>
          <w:rFonts w:ascii="Arial" w:cs="Arial" w:eastAsia="Arial" w:hAnsi="Arial"/>
          <w:sz w:val="16"/>
          <w:szCs w:val="16"/>
          <w:color w:val="auto"/>
        </w:rPr>
        <w:t>As of February 1, 2001, the Company entered into a 5-year lease for 40,000 square feet of an approximately 68,000 square foot facility located in the Stanford Research Park in Palo Alto, California. The facility includes space for animals, laboratories and offices. On December 19, 2002, the Company negotiated an amendment to the lease, which resulted in reducing the average annual rent over the remaining term of the lease from approximately</w:t>
      </w:r>
    </w:p>
    <w:p>
      <w:pPr>
        <w:ind w:right="40"/>
        <w:spacing w:after="0" w:line="323" w:lineRule="auto"/>
        <w:rPr>
          <w:sz w:val="20"/>
          <w:szCs w:val="20"/>
          <w:color w:val="auto"/>
        </w:rPr>
      </w:pPr>
      <w:r>
        <w:rPr>
          <w:rFonts w:ascii="Arial" w:cs="Arial" w:eastAsia="Arial" w:hAnsi="Arial"/>
          <w:sz w:val="16"/>
          <w:szCs w:val="16"/>
          <w:color w:val="auto"/>
        </w:rPr>
        <w:t>$3.7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amendment to the lease effective April 1, 2005, which extends the term of the lease through March 31, 2010, includes a reduction in the rent per square foot, and provides for an expansion of the leased premises by approximately 28,000 additional square feet. The average annual rent due from the Company under its lease for the period commencing April 1, 2005 to March 31, 2010 is approximately $2 million before subtenant income. The lease has escalating rent payments, which the Company is recognizing on a straight-line basis. At September 30, 2007, the Company had deferred rent liability for this facility of approximately $789,000. At September 30, 2007, the Company has a space-sharing agreement covering in total approximately 11,000 square feet of this facility. The Company receives the amount of base rent plus the proportionate share of the operating expenses that it pays for such space over the term of these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RELOCATION TO CALIFORNIA FROM RHODE ISLAND</w:t>
      </w:r>
    </w:p>
    <w:p>
      <w:pPr>
        <w:spacing w:after="0" w:line="121"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2006, the reserve was approximately $5,512,000. For the three-and nine-month periods ended September 30, 2007, the Company incurred approximately $344,000 and $1,067,000, respectively, in operating expenses, which was recorded against the reserve. After evaluating the afore-mentioned factors, the Company re-valued the reserve to approximately $4,884,000 at September 30, 2007 by recording an additional $222,000, $134,000 and $83,000 at March 31, 2007, June 30, 2007 and September 30, 2007, respectively, as wind-down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0" w:type="dxa"/>
            <w:vAlign w:val="bottom"/>
          </w:tcPr>
          <w:p>
            <w:pPr>
              <w:jc w:val="center"/>
              <w:ind w:right="94"/>
              <w:spacing w:after="0"/>
              <w:rPr>
                <w:sz w:val="20"/>
                <w:szCs w:val="20"/>
                <w:color w:val="auto"/>
              </w:rPr>
            </w:pPr>
            <w:r>
              <w:rPr>
                <w:rFonts w:ascii="Arial" w:cs="Arial" w:eastAsia="Arial" w:hAnsi="Arial"/>
                <w:sz w:val="14"/>
                <w:szCs w:val="14"/>
                <w:color w:val="auto"/>
                <w:w w:val="88"/>
              </w:rPr>
              <w:t>January to</w:t>
            </w:r>
          </w:p>
        </w:tc>
        <w:tc>
          <w:tcPr>
            <w:tcW w:w="1620" w:type="dxa"/>
            <w:vAlign w:val="bottom"/>
          </w:tcPr>
          <w:p>
            <w:pPr>
              <w:jc w:val="center"/>
              <w:spacing w:after="0"/>
              <w:rPr>
                <w:sz w:val="20"/>
                <w:szCs w:val="20"/>
                <w:color w:val="auto"/>
              </w:rPr>
            </w:pPr>
            <w:r>
              <w:rPr>
                <w:rFonts w:ascii="Arial" w:cs="Arial" w:eastAsia="Arial" w:hAnsi="Arial"/>
                <w:sz w:val="14"/>
                <w:szCs w:val="14"/>
                <w:color w:val="auto"/>
              </w:rPr>
              <w:t>April to</w:t>
            </w:r>
          </w:p>
        </w:tc>
        <w:tc>
          <w:tcPr>
            <w:tcW w:w="1620" w:type="dxa"/>
            <w:vAlign w:val="bottom"/>
          </w:tcPr>
          <w:p>
            <w:pPr>
              <w:jc w:val="center"/>
              <w:spacing w:after="0"/>
              <w:rPr>
                <w:sz w:val="20"/>
                <w:szCs w:val="20"/>
                <w:color w:val="auto"/>
              </w:rPr>
            </w:pPr>
            <w:r>
              <w:rPr>
                <w:rFonts w:ascii="Arial" w:cs="Arial" w:eastAsia="Arial" w:hAnsi="Arial"/>
                <w:sz w:val="14"/>
                <w:szCs w:val="14"/>
                <w:color w:val="auto"/>
                <w:w w:val="98"/>
              </w:rPr>
              <w:t>July to</w:t>
            </w:r>
          </w:p>
        </w:tc>
        <w:tc>
          <w:tcPr>
            <w:tcW w:w="1680" w:type="dxa"/>
            <w:vAlign w:val="bottom"/>
          </w:tcPr>
          <w:p>
            <w:pPr>
              <w:jc w:val="center"/>
              <w:spacing w:after="0"/>
              <w:rPr>
                <w:sz w:val="20"/>
                <w:szCs w:val="20"/>
                <w:color w:val="auto"/>
              </w:rPr>
            </w:pPr>
            <w:r>
              <w:rPr>
                <w:rFonts w:ascii="Arial" w:cs="Arial" w:eastAsia="Arial" w:hAnsi="Arial"/>
                <w:sz w:val="14"/>
                <w:szCs w:val="14"/>
                <w:color w:val="auto"/>
                <w:w w:val="91"/>
              </w:rPr>
              <w:t>January to</w:t>
            </w:r>
          </w:p>
        </w:tc>
        <w:tc>
          <w:tcPr>
            <w:tcW w:w="1480" w:type="dxa"/>
            <w:vAlign w:val="bottom"/>
          </w:tcPr>
          <w:p>
            <w:pPr>
              <w:jc w:val="center"/>
              <w:ind w:left="114"/>
              <w:spacing w:after="0"/>
              <w:rPr>
                <w:sz w:val="20"/>
                <w:szCs w:val="20"/>
                <w:color w:val="auto"/>
              </w:rPr>
            </w:pPr>
            <w:r>
              <w:rPr>
                <w:rFonts w:ascii="Arial" w:cs="Arial" w:eastAsia="Arial" w:hAnsi="Arial"/>
                <w:sz w:val="14"/>
                <w:szCs w:val="14"/>
                <w:color w:val="auto"/>
                <w:w w:val="91"/>
              </w:rPr>
              <w:t>January to</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3"/>
              </w:rPr>
              <w:t>March 31,</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30,</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w:t>
            </w:r>
          </w:p>
        </w:tc>
        <w:tc>
          <w:tcPr>
            <w:tcW w:w="148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92"/>
              </w:rPr>
              <w:t>December</w:t>
            </w: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6"/>
              </w:rPr>
              <w:t>2007</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30, 2007</w:t>
            </w:r>
          </w:p>
        </w:tc>
        <w:tc>
          <w:tcPr>
            <w:tcW w:w="1480" w:type="dxa"/>
            <w:vAlign w:val="bottom"/>
            <w:tcBorders>
              <w:bottom w:val="single" w:sz="8" w:color="auto"/>
            </w:tcBorders>
          </w:tcPr>
          <w:p>
            <w:pPr>
              <w:jc w:val="center"/>
              <w:ind w:left="114"/>
              <w:spacing w:after="0"/>
              <w:rPr>
                <w:sz w:val="20"/>
                <w:szCs w:val="20"/>
                <w:color w:val="auto"/>
              </w:rPr>
            </w:pPr>
            <w:r>
              <w:rPr>
                <w:rFonts w:ascii="Arial" w:cs="Arial" w:eastAsia="Arial" w:hAnsi="Arial"/>
                <w:sz w:val="14"/>
                <w:szCs w:val="14"/>
                <w:color w:val="auto"/>
                <w:w w:val="95"/>
              </w:rPr>
              <w:t>31, 2006</w:t>
            </w: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wind-down reserve at beginning of</w:t>
            </w:r>
          </w:p>
        </w:tc>
        <w:tc>
          <w:tcPr>
            <w:tcW w:w="1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4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$5,512,000</w:t>
            </w: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$5,353,000</w:t>
            </w: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$5,145,000</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$ 5,512,000</w:t>
            </w: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$ 6,098,000</w:t>
            </w: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Less actual expenses recorded against</w:t>
            </w: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estimated reserve during the period</w:t>
            </w:r>
          </w:p>
        </w:tc>
        <w:tc>
          <w:tcPr>
            <w:tcW w:w="1400" w:type="dxa"/>
            <w:vAlign w:val="bottom"/>
          </w:tcPr>
          <w:p>
            <w:pPr>
              <w:jc w:val="right"/>
              <w:ind w:right="274"/>
              <w:spacing w:after="0"/>
              <w:rPr>
                <w:sz w:val="20"/>
                <w:szCs w:val="20"/>
                <w:color w:val="auto"/>
              </w:rPr>
            </w:pPr>
            <w:r>
              <w:rPr>
                <w:rFonts w:ascii="Arial" w:cs="Arial" w:eastAsia="Arial" w:hAnsi="Arial"/>
                <w:sz w:val="18"/>
                <w:szCs w:val="18"/>
                <w:color w:val="auto"/>
              </w:rPr>
              <w:t>(381,000)</w:t>
            </w:r>
          </w:p>
        </w:tc>
        <w:tc>
          <w:tcPr>
            <w:tcW w:w="1620" w:type="dxa"/>
            <w:vAlign w:val="bottom"/>
          </w:tcPr>
          <w:p>
            <w:pPr>
              <w:jc w:val="right"/>
              <w:ind w:right="294"/>
              <w:spacing w:after="0"/>
              <w:rPr>
                <w:sz w:val="20"/>
                <w:szCs w:val="20"/>
                <w:color w:val="auto"/>
              </w:rPr>
            </w:pPr>
            <w:r>
              <w:rPr>
                <w:rFonts w:ascii="Arial" w:cs="Arial" w:eastAsia="Arial" w:hAnsi="Arial"/>
                <w:sz w:val="18"/>
                <w:szCs w:val="18"/>
                <w:color w:val="auto"/>
              </w:rPr>
              <w:t>(342,000)</w:t>
            </w:r>
          </w:p>
        </w:tc>
        <w:tc>
          <w:tcPr>
            <w:tcW w:w="1620" w:type="dxa"/>
            <w:vAlign w:val="bottom"/>
          </w:tcPr>
          <w:p>
            <w:pPr>
              <w:jc w:val="right"/>
              <w:ind w:right="294"/>
              <w:spacing w:after="0"/>
              <w:rPr>
                <w:sz w:val="20"/>
                <w:szCs w:val="20"/>
                <w:color w:val="auto"/>
              </w:rPr>
            </w:pPr>
            <w:r>
              <w:rPr>
                <w:rFonts w:ascii="Arial" w:cs="Arial" w:eastAsia="Arial" w:hAnsi="Arial"/>
                <w:sz w:val="18"/>
                <w:szCs w:val="18"/>
                <w:color w:val="auto"/>
              </w:rPr>
              <w:t>(344,000)</w:t>
            </w:r>
          </w:p>
        </w:tc>
        <w:tc>
          <w:tcPr>
            <w:tcW w:w="1680" w:type="dxa"/>
            <w:vAlign w:val="bottom"/>
          </w:tcPr>
          <w:p>
            <w:pPr>
              <w:jc w:val="right"/>
              <w:ind w:right="294"/>
              <w:spacing w:after="0"/>
              <w:rPr>
                <w:sz w:val="20"/>
                <w:szCs w:val="20"/>
                <w:color w:val="auto"/>
              </w:rPr>
            </w:pPr>
            <w:r>
              <w:rPr>
                <w:rFonts w:ascii="Arial" w:cs="Arial" w:eastAsia="Arial" w:hAnsi="Arial"/>
                <w:sz w:val="18"/>
                <w:szCs w:val="18"/>
                <w:color w:val="auto"/>
              </w:rPr>
              <w:t>(1,067,000)</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(1,295,000)</w:t>
            </w: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expense recorded to revise</w:t>
            </w:r>
          </w:p>
        </w:tc>
        <w:tc>
          <w:tcPr>
            <w:tcW w:w="1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reserve at period-end</w:t>
            </w:r>
          </w:p>
        </w:tc>
        <w:tc>
          <w:tcPr>
            <w:tcW w:w="14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222,000</w:t>
            </w:r>
          </w:p>
        </w:tc>
        <w:tc>
          <w:tcPr>
            <w:tcW w:w="16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134,000</w:t>
            </w:r>
          </w:p>
        </w:tc>
        <w:tc>
          <w:tcPr>
            <w:tcW w:w="16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83,000</w:t>
            </w:r>
          </w:p>
        </w:tc>
        <w:tc>
          <w:tcPr>
            <w:tcW w:w="168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439,000</w:t>
            </w:r>
          </w:p>
        </w:tc>
        <w:tc>
          <w:tcPr>
            <w:tcW w:w="1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709,000</w:t>
            </w: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1400" w:type="dxa"/>
            <w:vAlign w:val="bottom"/>
          </w:tcPr>
          <w:p>
            <w:pPr>
              <w:jc w:val="right"/>
              <w:ind w:right="334"/>
              <w:spacing w:after="0"/>
              <w:rPr>
                <w:sz w:val="20"/>
                <w:szCs w:val="20"/>
                <w:color w:val="auto"/>
              </w:rPr>
            </w:pPr>
            <w:r>
              <w:rPr>
                <w:rFonts w:ascii="Arial" w:cs="Arial" w:eastAsia="Arial" w:hAnsi="Arial"/>
                <w:sz w:val="18"/>
                <w:szCs w:val="18"/>
                <w:color w:val="auto"/>
              </w:rPr>
              <w:t>5,353,000</w:t>
            </w: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5,145,000</w:t>
            </w: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4,884,000</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4,884,000</w:t>
            </w: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5,512,000</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(see Note 3)</w:t>
            </w:r>
          </w:p>
        </w:tc>
        <w:tc>
          <w:tcPr>
            <w:tcW w:w="14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1,246,000</w:t>
            </w:r>
          </w:p>
        </w:tc>
        <w:tc>
          <w:tcPr>
            <w:tcW w:w="16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1,253,000</w:t>
            </w:r>
          </w:p>
        </w:tc>
        <w:tc>
          <w:tcPr>
            <w:tcW w:w="16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1,261,000</w:t>
            </w:r>
          </w:p>
        </w:tc>
        <w:tc>
          <w:tcPr>
            <w:tcW w:w="168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1,261,000</w:t>
            </w:r>
          </w:p>
        </w:tc>
        <w:tc>
          <w:tcPr>
            <w:tcW w:w="1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1,238,000</w:t>
            </w:r>
          </w:p>
        </w:tc>
      </w:tr>
      <w:tr>
        <w:trPr>
          <w:trHeight w:val="209"/>
        </w:trPr>
        <w:tc>
          <w:tcPr>
            <w:tcW w:w="3620" w:type="dxa"/>
            <w:vAlign w:val="bottom"/>
            <w:gridSpan w:val="2"/>
          </w:tcPr>
          <w:p>
            <w:pPr>
              <w:spacing w:after="0"/>
              <w:rPr>
                <w:sz w:val="20"/>
                <w:szCs w:val="20"/>
                <w:color w:val="auto"/>
              </w:rPr>
            </w:pPr>
            <w:r>
              <w:rPr>
                <w:rFonts w:ascii="Arial" w:cs="Arial" w:eastAsia="Arial" w:hAnsi="Arial"/>
                <w:sz w:val="18"/>
                <w:szCs w:val="18"/>
                <w:color w:val="auto"/>
              </w:rPr>
              <w:t>Total accrued wind-down expenses at</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period-end (current and non current</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portion)</w:t>
            </w: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$6,599,000</w:t>
            </w:r>
          </w:p>
        </w:tc>
        <w:tc>
          <w:tcPr>
            <w:tcW w:w="16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$6,398,000</w:t>
            </w:r>
          </w:p>
        </w:tc>
        <w:tc>
          <w:tcPr>
            <w:tcW w:w="16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$6,145,000</w:t>
            </w:r>
          </w:p>
        </w:tc>
        <w:tc>
          <w:tcPr>
            <w:tcW w:w="168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$ 6,145,000</w:t>
            </w: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$ 6,750,000</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$1,363,000</w:t>
            </w:r>
          </w:p>
        </w:tc>
        <w:tc>
          <w:tcPr>
            <w:tcW w:w="16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$1,053,000</w:t>
            </w:r>
          </w:p>
        </w:tc>
        <w:tc>
          <w:tcPr>
            <w:tcW w:w="16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$1,307,000</w:t>
            </w:r>
          </w:p>
        </w:tc>
        <w:tc>
          <w:tcPr>
            <w:tcW w:w="168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$ 1,307,000</w:t>
            </w: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$ 1,252,000</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current portion</w:t>
            </w:r>
          </w:p>
        </w:tc>
        <w:tc>
          <w:tcPr>
            <w:tcW w:w="14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5,236,000</w:t>
            </w:r>
          </w:p>
        </w:tc>
        <w:tc>
          <w:tcPr>
            <w:tcW w:w="16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5,345,000</w:t>
            </w:r>
          </w:p>
        </w:tc>
        <w:tc>
          <w:tcPr>
            <w:tcW w:w="16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4,838,000</w:t>
            </w:r>
          </w:p>
        </w:tc>
        <w:tc>
          <w:tcPr>
            <w:tcW w:w="168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4,838,000</w:t>
            </w:r>
          </w:p>
        </w:tc>
        <w:tc>
          <w:tcPr>
            <w:tcW w:w="1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5,498,000</w:t>
            </w: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$6,599,000</w:t>
            </w:r>
          </w:p>
        </w:tc>
        <w:tc>
          <w:tcPr>
            <w:tcW w:w="16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$6,398,000</w:t>
            </w:r>
          </w:p>
        </w:tc>
        <w:tc>
          <w:tcPr>
            <w:tcW w:w="16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$6,145,000</w:t>
            </w:r>
          </w:p>
        </w:tc>
        <w:tc>
          <w:tcPr>
            <w:tcW w:w="168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$ 6,145,000</w:t>
            </w: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$ 6,750,000</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GRANTS</w:t>
      </w:r>
    </w:p>
    <w:p>
      <w:pPr>
        <w:spacing w:after="0" w:line="121"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In September 2004, the National Institutes of Health (NIH) awarded the Company a Small Business Technology Transfer grant of $464,000 for studies in Alzheimer’s disease, consisting of approximately $308,000 for the first year and approximately $156,000 for the remainder of the grant term, September, 2005 through June,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studies have been conducted by Dr. George A. Carlson of the McLaughlin Research Institute in Great Falls, Montana, which received approximately $222,000 of the total award. The remaining $242,000 has been recognized by the Company as grant revenue as and when resources were expended for this study. For the nine-month period ended September 30, 2006, the Company recognized approximately $38,000, after which the Company had drawn down in full its share of the grant. The Company had no grant revenue for the nine-month period ended September 30,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520" w:firstLine="450"/>
        <w:spacing w:after="0" w:line="302" w:lineRule="auto"/>
        <w:rPr>
          <w:sz w:val="20"/>
          <w:szCs w:val="20"/>
          <w:color w:val="auto"/>
        </w:rPr>
      </w:pPr>
      <w:r>
        <w:rPr>
          <w:rFonts w:ascii="Arial" w:cs="Arial" w:eastAsia="Arial" w:hAnsi="Arial"/>
          <w:sz w:val="16"/>
          <w:szCs w:val="16"/>
          <w:color w:val="auto"/>
        </w:rPr>
        <w:t>On December 29, 2006, the Company filed a Prospectus Supplement announcing the entry into a sales agreement with Cantor Fitzgerald &amp; Co. (Cantor) under which up to 10,000,000 shares may be sold from time to time under a shelf registration statement. For the nine-month period ended September 30, 2007, the Company sold 1,217,000 shares under this sales agreement at an average price of $3.13 per share and received net proceeds of approximately $3,614,000. Cantor is paid compensation equal to 5.0% of the gross proceeds pursuant to the terms of the agreement.</w:t>
      </w:r>
    </w:p>
    <w:p>
      <w:pPr>
        <w:spacing w:after="0" w:line="46" w:lineRule="exact"/>
        <w:rPr>
          <w:sz w:val="20"/>
          <w:szCs w:val="20"/>
          <w:color w:val="auto"/>
        </w:rPr>
      </w:pPr>
    </w:p>
    <w:p>
      <w:pPr>
        <w:ind w:right="100" w:firstLine="450"/>
        <w:spacing w:after="0" w:line="342" w:lineRule="auto"/>
        <w:rPr>
          <w:sz w:val="20"/>
          <w:szCs w:val="20"/>
          <w:color w:val="auto"/>
        </w:rPr>
      </w:pPr>
      <w:r>
        <w:rPr>
          <w:rFonts w:ascii="Arial" w:cs="Arial" w:eastAsia="Arial" w:hAnsi="Arial"/>
          <w:sz w:val="16"/>
          <w:szCs w:val="16"/>
          <w:color w:val="auto"/>
        </w:rPr>
        <w:t>In April 2007, a warrant issued as part of a June 16, 2004 financing arrangement, was exercised to purchase an aggregate of 575,658 shares of the Company’s common stock at $1.90 per share. The Company issued 575,658 shares of its common stock and received proceeds of approximately $1,094,000.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firstLine="440"/>
        <w:spacing w:after="0" w:line="312" w:lineRule="auto"/>
        <w:rPr>
          <w:sz w:val="20"/>
          <w:szCs w:val="20"/>
          <w:color w:val="auto"/>
        </w:rPr>
      </w:pPr>
      <w:r>
        <w:rPr>
          <w:rFonts w:ascii="Arial" w:cs="Arial" w:eastAsia="Arial" w:hAnsi="Arial"/>
          <w:sz w:val="16"/>
          <w:szCs w:val="16"/>
          <w:color w:val="auto"/>
        </w:rPr>
        <w:t>At December 31, 2006, the Company had net operating loss carryforwards for Federal income tax purposes of approximately $118,560,000 expiring in the years 2007 through 2026 and net operating loss carry forwards for state income tax purposes of approximately $11,747,000 which expire in the years 2009 through 2016. The Company did not provide for a tax benefit, because it is more likely than not that any such benefit would not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In connection with the sales agreement with Cantor, in October 2007, the Company sold 590,000 shares at an average price of $2.25 per share and received net proceeds of approximately $1,261,000.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200" w:firstLine="447"/>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nine-month periods ended September 30, 2007 and 2006 should be read in conjunction with the accompanying unaudited condensed consolidated financial statements and the related footnotes thereto.</w:t>
      </w:r>
    </w:p>
    <w:p>
      <w:pPr>
        <w:spacing w:after="0" w:line="16"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with clinical testing of proposed products despite the novel and unproven nature of our technology; the risk that our initial clinical trial and any other clinical trials or studies could be substantially delayed beyond their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cell-based therapeutics programs;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effective and not cause tumors or other side effects; the uncertainty whether we will achieve revenues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Item 1A (Risk Factors) and elsewhere in our Form 10-K for the year ended December 31, 2006 and the risk factors set forth in Part II, Item 1A (Risk Factors) and elsewhere in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Since the second half of 1999, our sole focus has been on developing cell-based therapeutics using our cellular technologies. We are currently conducting a Phase I clinical trial of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as a treatment for infantile and late infantile neuronal ceroid lipofuscinosis (NCL), a fatal neurodegenerative disease often referred to as Batten disease. As of October 2007, we have enrolled five of the six patients planned for this trial and we anticipate completing enrollment of all six patients by the end of 2007. Our Neural Program is also continuing basic research and preclinical development for additional potential indications in the Central Nervous System (CNS) field. We are targeting initiating clinical trials to test our HuCNS-SC product candidate as a treatment for spinal cord injury by mid-2008 and a myelin disorder in the brain by the end of 2008. In our Liver Program, we are engaged in preclinical development of our human liver engrafting cells (hLEC) and plan to initiate a clinical study to evaluate the hLEC as a cellular therapy for liver-based metabolic disease in early 2008. Our pancreas program is still in the discovery stage and further evaluation of the therapeutic potential of our candidate human pancreatic stem/progenitor cell will be required.</w:t>
      </w:r>
    </w:p>
    <w:p>
      <w:pPr>
        <w:spacing w:after="0" w:line="70" w:lineRule="exact"/>
        <w:rPr>
          <w:sz w:val="20"/>
          <w:szCs w:val="20"/>
          <w:color w:val="auto"/>
        </w:rPr>
      </w:pPr>
    </w:p>
    <w:p>
      <w:pPr>
        <w:ind w:firstLine="447"/>
        <w:spacing w:after="0" w:line="279" w:lineRule="auto"/>
        <w:rPr>
          <w:sz w:val="20"/>
          <w:szCs w:val="20"/>
          <w:color w:val="auto"/>
        </w:rPr>
      </w:pPr>
      <w:r>
        <w:rPr>
          <w:rFonts w:ascii="Arial" w:cs="Arial" w:eastAsia="Arial" w:hAnsi="Arial"/>
          <w:sz w:val="17"/>
          <w:szCs w:val="17"/>
          <w:color w:val="auto"/>
        </w:rPr>
        <w:t>We have not derived any revenues from the sale of any products apart from license revenue for the research use of certain of our patented cells and media, and we do not expect to receive revenues from product sales for at least several years. We have not commercialized any product and in order to do so we must, among other things, substantially increase our research and development expenditures as research continues, product development efforts accelerate and clinical trials or similar studies are initiated. We had expenditures for screening and enrolling patients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for preparing HuCNS-SC doses for our Phase I clinical trial and will incur additional similar expenditures for any future clinical trials and similar studies. We previously had expenditures for toxicology and other studies in preparation for submitting the Investigational New Drug application (IND) for our Phase I trial for NCL to the FDA and getting it cleared by the FDA, and will incur additional similar expenditures for any future INDs or for the equivalent regulatory authorizations needed to conduct human clinical trials or similar studies outside the United States.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 Company has no such collaborative research arrangements at this time and there can be no assurance that such financing or partnering revenues will be available when needed or on terms acceptable to us.</w:t>
      </w:r>
    </w:p>
    <w:p>
      <w:pPr>
        <w:spacing w:after="0" w:line="59" w:lineRule="exact"/>
        <w:rPr>
          <w:sz w:val="20"/>
          <w:szCs w:val="20"/>
          <w:color w:val="auto"/>
        </w:rPr>
      </w:pPr>
    </w:p>
    <w:p>
      <w:pPr>
        <w:ind w:right="560" w:firstLine="450"/>
        <w:spacing w:after="0" w:line="255"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447"/>
        <w:spacing w:after="0" w:line="27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 and the grant date fair value of share based awards recognized as compensation expense in accordance with the provisions of SFAS 123R.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In December 2004, FASB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is a revision of SFAS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SFAS 123R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We adopted SFAS 123R effective January 1, 2006. Adoption of the expensing requirements has increased our losses (see Note 1 under “Stock-Based Compensation” for assumptions used in calculating the fair value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340" w:firstLine="447"/>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8"/>
          <w:szCs w:val="18"/>
          <w:i w:val="1"/>
          <w:iCs w:val="1"/>
          <w:color w:val="auto"/>
        </w:rPr>
        <w:t>Other Cost to Exit an Activity.</w:t>
      </w:r>
      <w:r>
        <w:rPr>
          <w:rFonts w:ascii="Arial" w:cs="Arial" w:eastAsia="Arial" w:hAnsi="Arial"/>
          <w:sz w:val="18"/>
          <w:szCs w:val="18"/>
          <w:color w:val="auto"/>
        </w:rPr>
        <w:t>” The reserve reflects estimates of the ongoing costs of our former research and administrative facility in Lincoln, which we hold on a lease that terminates on June 30, 2013. We are seeking to sublease, assign, sell or otherwise divest ourselves of our interest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facility at the earliest possible time, but we cannot determine with certainty a fixed date by which such events will occur, if at all.</w:t>
      </w:r>
    </w:p>
    <w:p>
      <w:pPr>
        <w:spacing w:after="0" w:line="117" w:lineRule="exact"/>
        <w:rPr>
          <w:sz w:val="20"/>
          <w:szCs w:val="20"/>
          <w:color w:val="auto"/>
        </w:rPr>
      </w:pPr>
    </w:p>
    <w:p>
      <w:pPr>
        <w:ind w:right="40" w:firstLine="450"/>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2006 was approximately 67%, varying from 49% to 80%. As of September 30, 2007, based on current information available to management, the vacancy rate is projected to be 89% for the remainder of 2007, and approximately 78% for 2008 and 70% from 2009 through the end of the lease. These estimates are based on actual occupancy in 2007, expiration of subleases in 2007 and 2008, predicted lead time for acquiring new subtenants, discussions with potential new subtenants, historical vacancy rates for the area and assessments by our broker/realtor of future real estate market conditions. If the assumed vacancy rate for 2008 to the end of the Lease had been five percentage points higher or lower at September 30, 2007, then the reserve would have increased or decreased by approximately $222,000. Similarly, a 5% increase or decrease in the operating expenses for the facility from 2007 would have increased or decreased the reserve by approximately $113,000, and a 5% increase or decrease in the assumed average rental charge per square foot would have increased or decreased the reserve by approximately $77,000. Management does not wait for specific events to change its estimate, but instead uses its best efforts to anticipate them on a quarterly basis.</w:t>
      </w:r>
    </w:p>
    <w:p>
      <w:pPr>
        <w:spacing w:after="0" w:line="73" w:lineRule="exact"/>
        <w:rPr>
          <w:sz w:val="20"/>
          <w:szCs w:val="20"/>
          <w:color w:val="auto"/>
        </w:rPr>
      </w:pPr>
    </w:p>
    <w:p>
      <w:pPr>
        <w:ind w:right="360" w:firstLine="447"/>
        <w:spacing w:after="0" w:line="259" w:lineRule="auto"/>
        <w:rPr>
          <w:sz w:val="20"/>
          <w:szCs w:val="20"/>
          <w:color w:val="auto"/>
        </w:rPr>
      </w:pPr>
      <w:r>
        <w:rPr>
          <w:rFonts w:ascii="Arial" w:cs="Arial" w:eastAsia="Arial" w:hAnsi="Arial"/>
          <w:sz w:val="18"/>
          <w:szCs w:val="18"/>
          <w:color w:val="auto"/>
        </w:rPr>
        <w:t>The wind-down reserve at December 31, 2006 was $5,512,000. For the three-and nine-month period ended September 30, 2007 we recorded actual expenses against this reserve of approximately $344,000 and $1,067,000 respectively. Based on management’s evaluation of the factors mentioned, and particularly the projected vacancy rates described above, we adjusted the reserve to $4,884,000 by recording an additional $83,000 and $439,000 for the three-and nine-month periods ended September 30,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In June 2006, the FASB issued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FIN 48 clarifies the accounting for uncertainty in income taxes recognized in an entity’s financial statements in accordance with SFAS No. 109,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and prescribes a recognition threshold and measurement attribute for the financial statement recognition and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We adopted the provisions of FIN 48 on January 1, 2007. Previously, we had accounted for tax contingencies in accordance with Statement of Financial Accounting Standards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As required by FIN 48,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the adoption date, we applied FIN 48 to all tax positions for which the statute of limitations remained open. The amount of unrecognized tax benefits as of January 1, 2007 was zero. There have been no material changes 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unrecognized tax benefits since January 1, 2007. As of January 1, 2007, due to the carry forward of unutilized net operating losses and research and development credits, the Company is subject to U.S. Federal income tax examinations for the tax years 1992 through 2006, and to state income tax examinations for the tax years 1999 through 2006. Our Federal income tax return for the year 2004 is currently under examination. The ultimate outcome of the examination by the Internal Revenue Service cannot be determined at this time.</w:t>
      </w:r>
    </w:p>
    <w:p>
      <w:pPr>
        <w:spacing w:after="0" w:line="79"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We recognize accrued interest related to unrecognized tax benefits in interest expense and penalties in operating expense. No amounts were accrued for the payment of interest and penalties at January 1, 2007. Our adoption of FIN 48 did not have a material effect on our financial condition, results of operations or cash flows (see Note 7).</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We are currently evaluating the requirements of SFAS 157; however, we do not believe that its adoption will have a material effect on our consolidated financial statements.</w:t>
      </w:r>
    </w:p>
    <w:p>
      <w:pPr>
        <w:spacing w:after="0" w:line="8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February 2007, the FASB issued Statement No. 159, “</w:t>
      </w:r>
      <w:r>
        <w:rPr>
          <w:rFonts w:ascii="Arial" w:cs="Arial" w:eastAsia="Arial" w:hAnsi="Arial"/>
          <w:sz w:val="16"/>
          <w:szCs w:val="16"/>
          <w:i w:val="1"/>
          <w:iCs w:val="1"/>
          <w:color w:val="auto"/>
        </w:rPr>
        <w:t>The Fair Value Option for Financial Assets and Financial Liabilities — Including an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115” </w:t>
      </w:r>
      <w:r>
        <w:rPr>
          <w:rFonts w:ascii="Arial" w:cs="Arial" w:eastAsia="Arial" w:hAnsi="Arial"/>
          <w:sz w:val="16"/>
          <w:szCs w:val="16"/>
          <w:color w:val="auto"/>
        </w:rPr>
        <w:t>(SFAS 159). SFAS 159 provides companies with an option to report selected financial assets and liabilities at fair value. SFAS</w:t>
      </w:r>
      <w:r>
        <w:rPr>
          <w:rFonts w:ascii="Arial" w:cs="Arial" w:eastAsia="Arial" w:hAnsi="Arial"/>
          <w:sz w:val="16"/>
          <w:szCs w:val="16"/>
          <w:i w:val="1"/>
          <w:iCs w:val="1"/>
          <w:color w:val="auto"/>
        </w:rPr>
        <w:t xml:space="preserve"> </w:t>
      </w:r>
      <w:r>
        <w:rPr>
          <w:rFonts w:ascii="Arial" w:cs="Arial" w:eastAsia="Arial" w:hAnsi="Arial"/>
          <w:sz w:val="16"/>
          <w:szCs w:val="16"/>
          <w:color w:val="auto"/>
        </w:rPr>
        <w:t>159’s objectives are to reduce both complexity in accounting for financial instruments and the volatility in earnings caused by measuring related assets and liabilities differently. SFAS 159 is effective as of the beginning of an entity’s first fiscal year beginning after November 15, 2007. We are currently evaluating the potential impact, if any, that the adoption of SFAS159 will have on our condensed consolidated financial statements</w:t>
      </w:r>
    </w:p>
    <w:p>
      <w:pPr>
        <w:spacing w:after="0" w:line="5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 xml:space="preserve">In June 2007, the Financial Accounting Standards Board ratified a consensus opinion reached by the Emerging Issues Task Force (EITF) on EITF Issue 07-3, </w:t>
      </w:r>
      <w:r>
        <w:rPr>
          <w:rFonts w:ascii="Arial" w:cs="Arial" w:eastAsia="Arial" w:hAnsi="Arial"/>
          <w:sz w:val="17"/>
          <w:szCs w:val="17"/>
          <w:i w:val="1"/>
          <w:iCs w:val="1"/>
          <w:color w:val="auto"/>
        </w:rPr>
        <w:t>“Accounting for Nonrefundable Advance Payments for Goods or Services Received for Use in Future Research and Development Activities.”</w:t>
      </w:r>
      <w:r>
        <w:rPr>
          <w:rFonts w:ascii="Arial" w:cs="Arial" w:eastAsia="Arial" w:hAnsi="Arial"/>
          <w:sz w:val="17"/>
          <w:szCs w:val="17"/>
          <w:color w:val="auto"/>
        </w:rPr>
        <w:t xml:space="preserve"> The guidance in EITF Issue 07-3 requires us to defer and capitalize nonrefundable advance payments made for goods or services to be used in research and development activities until the goods have been delivered or the related services have been performed. If the goods are no longer expected to be delivered nor the services expected to be performed, we would be required to expense the related capitalized advance payments. The consensus in EITF Issue 07-3 is effective for fiscal years, and interim periods within those fiscal years, beginning after December 15, 2007 and is to be applied prospectively to new contracts entered into on or after December 15, 2007. Early adoption is not permitted. Retrospective application of EITF Issue 07-3 is also not permitted. We intend to adopt EITF Issue 07-3 effective January 1, 2008. The impact of applying this consensus will depend on the terms of our future research and development contractual arrangements entered into on or after December 15,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2007 and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Revenue for the three-month period ended September 30, 2007, as compared with the same period in 2006, is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760" w:type="dxa"/>
            <w:vAlign w:val="bottom"/>
            <w:gridSpan w:val="2"/>
          </w:tcPr>
          <w:p>
            <w:pPr>
              <w:jc w:val="right"/>
              <w:ind w:right="600"/>
              <w:spacing w:after="0"/>
              <w:rPr>
                <w:sz w:val="20"/>
                <w:szCs w:val="20"/>
                <w:color w:val="auto"/>
              </w:rPr>
            </w:pPr>
            <w:r>
              <w:rPr>
                <w:rFonts w:ascii="Arial" w:cs="Arial" w:eastAsia="Arial" w:hAnsi="Arial"/>
                <w:sz w:val="14"/>
                <w:szCs w:val="14"/>
                <w:color w:val="auto"/>
              </w:rPr>
              <w:t>2007</w:t>
            </w:r>
          </w:p>
        </w:tc>
        <w:tc>
          <w:tcPr>
            <w:tcW w:w="1900" w:type="dxa"/>
            <w:vAlign w:val="bottom"/>
          </w:tcPr>
          <w:p>
            <w:pPr>
              <w:jc w:val="right"/>
              <w:ind w:right="836"/>
              <w:spacing w:after="0"/>
              <w:rPr>
                <w:sz w:val="20"/>
                <w:szCs w:val="20"/>
                <w:color w:val="auto"/>
              </w:rPr>
            </w:pPr>
            <w:r>
              <w:rPr>
                <w:rFonts w:ascii="Arial" w:cs="Arial" w:eastAsia="Arial" w:hAnsi="Arial"/>
                <w:sz w:val="14"/>
                <w:szCs w:val="14"/>
                <w:color w:val="auto"/>
              </w:rPr>
              <w:t>2006</w:t>
            </w:r>
          </w:p>
        </w:tc>
        <w:tc>
          <w:tcPr>
            <w:tcW w:w="2560" w:type="dxa"/>
            <w:vAlign w:val="bottom"/>
            <w:gridSpan w:val="2"/>
          </w:tcPr>
          <w:p>
            <w:pPr>
              <w:jc w:val="right"/>
              <w:ind w:right="416"/>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ind w:right="219"/>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Revenue from licensing agreements</w:t>
            </w:r>
          </w:p>
        </w:tc>
        <w:tc>
          <w:tcPr>
            <w:tcW w:w="2760" w:type="dxa"/>
            <w:vAlign w:val="bottom"/>
            <w:gridSpan w:val="2"/>
          </w:tcPr>
          <w:p>
            <w:pPr>
              <w:jc w:val="right"/>
              <w:ind w:right="500"/>
              <w:spacing w:after="0"/>
              <w:rPr>
                <w:sz w:val="20"/>
                <w:szCs w:val="20"/>
                <w:color w:val="auto"/>
              </w:rPr>
            </w:pPr>
            <w:r>
              <w:rPr>
                <w:rFonts w:ascii="Arial" w:cs="Arial" w:eastAsia="Arial" w:hAnsi="Arial"/>
                <w:sz w:val="18"/>
                <w:szCs w:val="18"/>
                <w:color w:val="auto"/>
              </w:rPr>
              <w:t>$13,162</w:t>
            </w:r>
          </w:p>
        </w:tc>
        <w:tc>
          <w:tcPr>
            <w:tcW w:w="1900" w:type="dxa"/>
            <w:vAlign w:val="bottom"/>
          </w:tcPr>
          <w:p>
            <w:pPr>
              <w:jc w:val="right"/>
              <w:ind w:right="716"/>
              <w:spacing w:after="0"/>
              <w:rPr>
                <w:sz w:val="20"/>
                <w:szCs w:val="20"/>
                <w:color w:val="auto"/>
              </w:rPr>
            </w:pPr>
            <w:r>
              <w:rPr>
                <w:rFonts w:ascii="Arial" w:cs="Arial" w:eastAsia="Arial" w:hAnsi="Arial"/>
                <w:sz w:val="18"/>
                <w:szCs w:val="18"/>
                <w:color w:val="auto"/>
              </w:rPr>
              <w:t>$18,321</w:t>
            </w:r>
          </w:p>
        </w:tc>
        <w:tc>
          <w:tcPr>
            <w:tcW w:w="1420" w:type="dxa"/>
            <w:vAlign w:val="bottom"/>
          </w:tcPr>
          <w:p>
            <w:pPr>
              <w:jc w:val="center"/>
              <w:ind w:right="259"/>
              <w:spacing w:after="0"/>
              <w:rPr>
                <w:sz w:val="20"/>
                <w:szCs w:val="20"/>
                <w:color w:val="auto"/>
              </w:rPr>
            </w:pPr>
            <w:r>
              <w:rPr>
                <w:rFonts w:ascii="Arial" w:cs="Arial" w:eastAsia="Arial" w:hAnsi="Arial"/>
                <w:sz w:val="18"/>
                <w:szCs w:val="18"/>
                <w:color w:val="auto"/>
                <w:w w:val="95"/>
              </w:rPr>
              <w:t>$(5,159)</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$13,162</w:t>
            </w:r>
          </w:p>
        </w:tc>
        <w:tc>
          <w:tcPr>
            <w:tcW w:w="1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$18,321</w:t>
            </w:r>
          </w:p>
        </w:tc>
        <w:tc>
          <w:tcPr>
            <w:tcW w:w="1420" w:type="dxa"/>
            <w:vAlign w:val="bottom"/>
            <w:shd w:val="clear" w:color="auto" w:fill="CCEEFF"/>
          </w:tcPr>
          <w:p>
            <w:pPr>
              <w:jc w:val="center"/>
              <w:ind w:right="259"/>
              <w:spacing w:after="0"/>
              <w:rPr>
                <w:sz w:val="20"/>
                <w:szCs w:val="20"/>
                <w:color w:val="auto"/>
              </w:rPr>
            </w:pPr>
            <w:r>
              <w:rPr>
                <w:rFonts w:ascii="Arial" w:cs="Arial" w:eastAsia="Arial" w:hAnsi="Arial"/>
                <w:sz w:val="18"/>
                <w:szCs w:val="18"/>
                <w:color w:val="auto"/>
                <w:w w:val="95"/>
              </w:rPr>
              <w:t>$(5,159)</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760" w:type="dxa"/>
            <w:vAlign w:val="bottom"/>
            <w:gridSpan w:val="2"/>
          </w:tcPr>
          <w:p>
            <w:pPr>
              <w:jc w:val="right"/>
              <w:ind w:right="1160"/>
              <w:spacing w:after="0"/>
              <w:rPr>
                <w:sz w:val="20"/>
                <w:szCs w:val="20"/>
                <w:color w:val="auto"/>
              </w:rPr>
            </w:pPr>
            <w:r>
              <w:rPr>
                <w:rFonts w:ascii="Arial" w:cs="Arial" w:eastAsia="Arial" w:hAnsi="Arial"/>
                <w:sz w:val="18"/>
                <w:szCs w:val="18"/>
                <w:color w:val="auto"/>
              </w:rPr>
              <w:t>19</w:t>
            </w: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color w:val="auto"/>
        </w:rPr>
        <w:t>Revenue for the three months ended September 30, 2007 and 2006 is solely comprised of amounts received from various licensees as part of our licensing agreements with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expenses for the three-month period ended September 30, 2007, as compared with the same period in 2006, is summarized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2007</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2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$5,621,955</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$3,523,078</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$2,098,877</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2,043,275</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1,889,512</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153,763</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83,661</w:t>
            </w:r>
          </w:p>
        </w:tc>
        <w:tc>
          <w:tcPr>
            <w:tcW w:w="198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rPr>
              <w:t>168,168</w:t>
            </w:r>
          </w:p>
        </w:tc>
        <w:tc>
          <w:tcPr>
            <w:tcW w:w="2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rPr>
              <w:t>(84,507)</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1"/>
              </w:rPr>
              <w:t>(50)%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$7,748,891</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$5,580,758</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$2,168,133</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Research and development expenses totaled approximately $5,622,000 for the three months ended September 30, 2007, compared with approximately $3,523,000 for the same period in 2006. The increase of $2,099,000, or approximately 60%, from 2006 to 2007 was primarily attributable to expansion of our operations in cell processing and clinical development, including an increase in personnel costs of approximately $415,000, an increase in external services and clinical study costs of approximately $1,428,000, and the remainder due to increases in supplies, rent and other operating expenses. At September 30, 2007, we had 49 full-time employees working in research and development and laboratory support services as compared to 37 at September 30, 2006.</w:t>
      </w:r>
    </w:p>
    <w:p>
      <w:pPr>
        <w:spacing w:after="0" w:line="50" w:lineRule="exact"/>
        <w:rPr>
          <w:sz w:val="20"/>
          <w:szCs w:val="20"/>
          <w:color w:val="auto"/>
        </w:rPr>
      </w:pPr>
    </w:p>
    <w:p>
      <w:pPr>
        <w:jc w:val="both"/>
        <w:ind w:right="220" w:firstLine="450"/>
        <w:spacing w:after="0" w:line="264" w:lineRule="auto"/>
        <w:rPr>
          <w:sz w:val="20"/>
          <w:szCs w:val="20"/>
          <w:color w:val="auto"/>
        </w:rPr>
      </w:pPr>
      <w:r>
        <w:rPr>
          <w:rFonts w:ascii="Arial" w:cs="Arial" w:eastAsia="Arial" w:hAnsi="Arial"/>
          <w:sz w:val="18"/>
          <w:szCs w:val="18"/>
          <w:color w:val="auto"/>
        </w:rPr>
        <w:t>General and administrative expenses were approximately $2,043,000 for the three months ended September 30, 2007, compared with approximately $1,890,000 for the same period in 2006. The increase of $154,000, or approximately 8%, from 2006 to 2007 was primarily attributable to our patent related external legal fees.</w:t>
      </w:r>
    </w:p>
    <w:p>
      <w:pPr>
        <w:spacing w:after="0" w:line="73"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June 30, 2007, the reserve was approximately $5,145,000. For the three months ended September 30, 2007, payments of approximately $344,000 net of subtenant income were recorded against this reserve (see Note 4). At September 30, 2007, we re-evaluated the estimate and adjusted the reserve to approximately $4,884,000 by recording an additional $83,000 as wind-down expenses. Payments recorded against the reserve for the same period in 2006 were approximately $368,000 and additional expenses recorded to adjust the reserve were approximately $168,000.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we will periodically re-evaluate and adjust the reserve, as necessary.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for the three-month period ended September 30, 2007, as compared with the same period in 2006, is summarized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2007</w:t>
            </w:r>
          </w:p>
        </w:tc>
        <w:tc>
          <w:tcPr>
            <w:tcW w:w="18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2006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20" w:type="dxa"/>
            <w:vAlign w:val="bottom"/>
            <w:tcBorders>
              <w:bottom w:val="single" w:sz="8" w:color="auto"/>
            </w:tcBorders>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Borders>
              <w:bottom w:val="single" w:sz="8" w:color="auto"/>
            </w:tcBorders>
          </w:tcPr>
          <w:p>
            <w:pPr>
              <w:jc w:val="right"/>
              <w:ind w:right="1415"/>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License and settlement agreement, net</w:t>
            </w:r>
          </w:p>
        </w:tc>
        <w:tc>
          <w:tcPr>
            <w:tcW w:w="14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653"/>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107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617,616</w:t>
            </w:r>
          </w:p>
        </w:tc>
        <w:tc>
          <w:tcPr>
            <w:tcW w:w="18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735,652</w:t>
            </w:r>
          </w:p>
        </w:tc>
        <w:tc>
          <w:tcPr>
            <w:tcW w:w="222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(118,036)</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(16)%</w:t>
            </w: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00" w:type="dxa"/>
            <w:vAlign w:val="bottom"/>
          </w:tcPr>
          <w:p>
            <w:pPr>
              <w:jc w:val="right"/>
              <w:ind w:right="373"/>
              <w:spacing w:after="0"/>
              <w:rPr>
                <w:sz w:val="20"/>
                <w:szCs w:val="20"/>
                <w:color w:val="auto"/>
              </w:rPr>
            </w:pPr>
            <w:r>
              <w:rPr>
                <w:rFonts w:ascii="Arial" w:cs="Arial" w:eastAsia="Arial" w:hAnsi="Arial"/>
                <w:sz w:val="18"/>
                <w:szCs w:val="18"/>
                <w:color w:val="auto"/>
              </w:rPr>
              <w:t>(29,405)</w:t>
            </w:r>
          </w:p>
        </w:tc>
        <w:tc>
          <w:tcPr>
            <w:tcW w:w="1860" w:type="dxa"/>
            <w:vAlign w:val="bottom"/>
          </w:tcPr>
          <w:p>
            <w:pPr>
              <w:jc w:val="right"/>
              <w:ind w:right="593"/>
              <w:spacing w:after="0"/>
              <w:rPr>
                <w:sz w:val="20"/>
                <w:szCs w:val="20"/>
                <w:color w:val="auto"/>
              </w:rPr>
            </w:pPr>
            <w:r>
              <w:rPr>
                <w:rFonts w:ascii="Arial" w:cs="Arial" w:eastAsia="Arial" w:hAnsi="Arial"/>
                <w:sz w:val="18"/>
                <w:szCs w:val="18"/>
                <w:color w:val="auto"/>
              </w:rPr>
              <w:t>(34,062)</w:t>
            </w:r>
          </w:p>
        </w:tc>
        <w:tc>
          <w:tcPr>
            <w:tcW w:w="2220" w:type="dxa"/>
            <w:vAlign w:val="bottom"/>
          </w:tcPr>
          <w:p>
            <w:pPr>
              <w:jc w:val="right"/>
              <w:ind w:right="1075"/>
              <w:spacing w:after="0"/>
              <w:rPr>
                <w:sz w:val="20"/>
                <w:szCs w:val="20"/>
                <w:color w:val="auto"/>
              </w:rPr>
            </w:pPr>
            <w:r>
              <w:rPr>
                <w:rFonts w:ascii="Arial" w:cs="Arial" w:eastAsia="Arial" w:hAnsi="Arial"/>
                <w:sz w:val="18"/>
                <w:szCs w:val="18"/>
                <w:color w:val="auto"/>
              </w:rPr>
              <w:t>4,657</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99"/>
              </w:rPr>
              <w:t>(14)%</w:t>
            </w: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(5,985)</w:t>
            </w:r>
          </w:p>
        </w:tc>
        <w:tc>
          <w:tcPr>
            <w:tcW w:w="186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rPr>
              <w:t>(2,362)</w:t>
            </w:r>
          </w:p>
        </w:tc>
        <w:tc>
          <w:tcPr>
            <w:tcW w:w="2220" w:type="dxa"/>
            <w:vAlign w:val="bottom"/>
            <w:tcBorders>
              <w:bottom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rPr>
              <w:t>(3,623)</w:t>
            </w: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1"/>
              </w:rPr>
              <w:t>153%</w:t>
            </w:r>
          </w:p>
        </w:tc>
      </w:tr>
      <w:tr>
        <w:trPr>
          <w:trHeight w:val="439"/>
        </w:trPr>
        <w:tc>
          <w:tcPr>
            <w:tcW w:w="53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400" w:type="dxa"/>
            <w:vAlign w:val="bottom"/>
          </w:tcPr>
          <w:p>
            <w:pPr>
              <w:jc w:val="right"/>
              <w:ind w:right="433"/>
              <w:spacing w:after="0"/>
              <w:rPr>
                <w:sz w:val="20"/>
                <w:szCs w:val="20"/>
                <w:color w:val="auto"/>
              </w:rPr>
            </w:pPr>
            <w:r>
              <w:rPr>
                <w:rFonts w:ascii="Arial" w:cs="Arial" w:eastAsia="Arial" w:hAnsi="Arial"/>
                <w:sz w:val="18"/>
                <w:szCs w:val="18"/>
                <w:color w:val="auto"/>
              </w:rPr>
              <w:t>$582,226</w:t>
            </w:r>
          </w:p>
        </w:tc>
        <w:tc>
          <w:tcPr>
            <w:tcW w:w="1860" w:type="dxa"/>
            <w:vAlign w:val="bottom"/>
          </w:tcPr>
          <w:p>
            <w:pPr>
              <w:jc w:val="right"/>
              <w:ind w:right="653"/>
              <w:spacing w:after="0"/>
              <w:rPr>
                <w:sz w:val="20"/>
                <w:szCs w:val="20"/>
                <w:color w:val="auto"/>
              </w:rPr>
            </w:pPr>
            <w:r>
              <w:rPr>
                <w:rFonts w:ascii="Arial" w:cs="Arial" w:eastAsia="Arial" w:hAnsi="Arial"/>
                <w:sz w:val="18"/>
                <w:szCs w:val="18"/>
                <w:color w:val="auto"/>
              </w:rPr>
              <w:t>$699,228</w:t>
            </w:r>
          </w:p>
        </w:tc>
        <w:tc>
          <w:tcPr>
            <w:tcW w:w="2220" w:type="dxa"/>
            <w:vAlign w:val="bottom"/>
          </w:tcPr>
          <w:p>
            <w:pPr>
              <w:jc w:val="right"/>
              <w:ind w:right="1015"/>
              <w:spacing w:after="0"/>
              <w:rPr>
                <w:sz w:val="20"/>
                <w:szCs w:val="20"/>
                <w:color w:val="auto"/>
              </w:rPr>
            </w:pPr>
            <w:r>
              <w:rPr>
                <w:rFonts w:ascii="Arial" w:cs="Arial" w:eastAsia="Arial" w:hAnsi="Arial"/>
                <w:sz w:val="18"/>
                <w:szCs w:val="18"/>
                <w:color w:val="auto"/>
              </w:rPr>
              <w:t>($117,002)</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99"/>
              </w:rPr>
              <w:t>(17)%</w:t>
            </w:r>
          </w:p>
        </w:tc>
      </w:tr>
      <w:tr>
        <w:trPr>
          <w:trHeight w:val="405"/>
        </w:trPr>
        <w:tc>
          <w:tcPr>
            <w:tcW w:w="5320" w:type="dxa"/>
            <w:vAlign w:val="bottom"/>
          </w:tcPr>
          <w:p>
            <w:pPr>
              <w:spacing w:after="0"/>
              <w:rPr>
                <w:sz w:val="24"/>
                <w:szCs w:val="24"/>
                <w:color w:val="auto"/>
              </w:rPr>
            </w:pPr>
          </w:p>
        </w:tc>
        <w:tc>
          <w:tcPr>
            <w:tcW w:w="1400" w:type="dxa"/>
            <w:vAlign w:val="bottom"/>
          </w:tcPr>
          <w:p>
            <w:pPr>
              <w:jc w:val="right"/>
              <w:ind w:right="833"/>
              <w:spacing w:after="0"/>
              <w:rPr>
                <w:sz w:val="20"/>
                <w:szCs w:val="20"/>
                <w:color w:val="auto"/>
              </w:rPr>
            </w:pPr>
            <w:r>
              <w:rPr>
                <w:rFonts w:ascii="Arial" w:cs="Arial" w:eastAsia="Arial" w:hAnsi="Arial"/>
                <w:sz w:val="18"/>
                <w:szCs w:val="18"/>
                <w:color w:val="auto"/>
              </w:rPr>
              <w:t>20</w:t>
            </w:r>
          </w:p>
        </w:tc>
        <w:tc>
          <w:tcPr>
            <w:tcW w:w="1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53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0"/>
        <w:spacing w:after="0" w:line="342" w:lineRule="auto"/>
        <w:rPr>
          <w:sz w:val="20"/>
          <w:szCs w:val="20"/>
          <w:color w:val="auto"/>
        </w:rPr>
      </w:pPr>
      <w:r>
        <w:rPr>
          <w:rFonts w:ascii="Arial" w:cs="Arial" w:eastAsia="Arial" w:hAnsi="Arial"/>
          <w:sz w:val="16"/>
          <w:szCs w:val="16"/>
          <w:color w:val="auto"/>
        </w:rPr>
        <w:t>Interest income for the three months ended September 30, 2007 and 2006 was approximately $618,000 and $736,000, respectively. The decrease in interest income for the 2007 period was primarily attributable to a lower average investment balance when compared to the three-month period in 2006.</w:t>
      </w:r>
    </w:p>
    <w:p>
      <w:pPr>
        <w:spacing w:after="0" w:line="16"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Interest expense for the three months ended September 30, 2007 and 2006 was approximately $29,000 and $34,000, respectively. The decrease in interest expense in 2007 was attributable to lower outstanding debt and capital lease balances in 2007 compared to 2006. Other income (expense) comprises primarily of state franchise tax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 for the nine-month period ended September 30, 2007, as compared with the same period in 2006, is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2007</w:t>
            </w:r>
          </w:p>
        </w:tc>
        <w:tc>
          <w:tcPr>
            <w:tcW w:w="18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2006</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40" w:type="dxa"/>
            <w:vAlign w:val="bottom"/>
            <w:tcBorders>
              <w:bottom w:val="single" w:sz="8" w:color="auto"/>
            </w:tcBorders>
          </w:tcPr>
          <w:p>
            <w:pPr>
              <w:jc w:val="right"/>
              <w:ind w:right="1379"/>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Revenue from grants and licensing agreements</w:t>
            </w: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$26,948</w:t>
            </w:r>
          </w:p>
        </w:tc>
        <w:tc>
          <w:tcPr>
            <w:tcW w:w="188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$80,406</w:t>
            </w:r>
          </w:p>
        </w:tc>
        <w:tc>
          <w:tcPr>
            <w:tcW w:w="21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rPr>
              <w:t>($53,458)</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1"/>
              </w:rPr>
              <w:t>(66%)</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$26,948</w:t>
            </w:r>
          </w:p>
        </w:tc>
        <w:tc>
          <w:tcPr>
            <w:tcW w:w="18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$80,406</w:t>
            </w:r>
          </w:p>
        </w:tc>
        <w:tc>
          <w:tcPr>
            <w:tcW w:w="21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($53,458)</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1"/>
              </w:rPr>
              <w:t>(66%)</w:t>
            </w:r>
          </w:p>
        </w:tc>
      </w:tr>
    </w:tbl>
    <w:p>
      <w:pPr>
        <w:spacing w:after="0" w:line="94"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For the nine months ended September 30, 2007 and 2006, revenue from grants and licensing agreements totaled approximately $27,000 and $80,000 respectively. The decrease in revenue from 2006 to 2007 was primarily attributable to the completed draw down in 2006 of a September 2004 Small Business Technology Transfer grant for studies in Alzheimer’s disease. The grant of $464,000 for studies in Alzheimer’s disease consisted of approximately $308,000 for the first year and approximately $156,000 for the remainder of the grant term, September, 2005 through June,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expenses for the nine-month period ended September 30, 2007, as compared with the same period in 2006, is summarized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2007</w:t>
            </w: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2006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2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jc w:val="right"/>
              <w:ind w:right="334"/>
              <w:spacing w:after="0"/>
              <w:rPr>
                <w:sz w:val="20"/>
                <w:szCs w:val="20"/>
                <w:color w:val="auto"/>
              </w:rPr>
            </w:pPr>
            <w:r>
              <w:rPr>
                <w:rFonts w:ascii="Arial" w:cs="Arial" w:eastAsia="Arial" w:hAnsi="Arial"/>
                <w:sz w:val="18"/>
                <w:szCs w:val="18"/>
                <w:color w:val="auto"/>
              </w:rPr>
              <w:t>$14,139,297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14"/>
              <w:spacing w:after="0"/>
              <w:rPr>
                <w:sz w:val="20"/>
                <w:szCs w:val="20"/>
                <w:color w:val="auto"/>
              </w:rPr>
            </w:pPr>
            <w:r>
              <w:rPr>
                <w:rFonts w:ascii="Arial" w:cs="Arial" w:eastAsia="Arial" w:hAnsi="Arial"/>
                <w:sz w:val="18"/>
                <w:szCs w:val="18"/>
                <w:color w:val="auto"/>
                <w:w w:val="97"/>
              </w:rPr>
              <w:t>9,402,472</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$4,736,825</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5,716,480</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7"/>
              </w:rPr>
              <w:t>4,979,349</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737,131</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5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439,471</w:t>
            </w: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499,186</w:t>
            </w:r>
          </w:p>
        </w:tc>
        <w:tc>
          <w:tcPr>
            <w:tcW w:w="2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rPr>
              <w:t>(59,715)</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$20,295,248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86"/>
              </w:rPr>
              <w:t>14,881,007</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$5,414,241</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0" w:firstLine="450"/>
        <w:spacing w:after="0" w:line="259" w:lineRule="auto"/>
        <w:rPr>
          <w:sz w:val="20"/>
          <w:szCs w:val="20"/>
          <w:color w:val="auto"/>
        </w:rPr>
      </w:pPr>
      <w:r>
        <w:rPr>
          <w:rFonts w:ascii="Arial" w:cs="Arial" w:eastAsia="Arial" w:hAnsi="Arial"/>
          <w:sz w:val="18"/>
          <w:szCs w:val="18"/>
          <w:color w:val="auto"/>
        </w:rPr>
        <w:t>Research and development expenses totaled approximately $14,139,000 for the nine months ended September 30, 2007, compared with approximately $9,402,000 for the same period in 2006. The increase of $4,737,000, or approximately 50%, from 2006 to 2007 was primarily attributable to expansion of our operations in cell processing and clinical development, including an increase in personnel costs of approximately $1,119,000, an increase in external services and clinical study costs of approximately $2,792,000, with the remainder due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increases in supplies, rent and other operating expenses. At September 30, 2007, we had 49 full-time employees working in research and development and laboratory support services as compared to 37 at September 30, 2006.</w:t>
      </w:r>
    </w:p>
    <w:p>
      <w:pPr>
        <w:spacing w:after="0" w:line="62" w:lineRule="exact"/>
        <w:rPr>
          <w:sz w:val="20"/>
          <w:szCs w:val="20"/>
          <w:color w:val="auto"/>
        </w:rPr>
      </w:pPr>
    </w:p>
    <w:p>
      <w:pPr>
        <w:ind w:right="140" w:firstLine="450"/>
        <w:spacing w:after="0" w:line="255" w:lineRule="auto"/>
        <w:rPr>
          <w:sz w:val="20"/>
          <w:szCs w:val="20"/>
          <w:color w:val="auto"/>
        </w:rPr>
      </w:pPr>
      <w:r>
        <w:rPr>
          <w:rFonts w:ascii="Arial" w:cs="Arial" w:eastAsia="Arial" w:hAnsi="Arial"/>
          <w:sz w:val="18"/>
          <w:szCs w:val="18"/>
          <w:color w:val="auto"/>
        </w:rPr>
        <w:t>General and administrative expenses were approximately $5,716,000 for the nine months ended September 30, 2007, compared with approximately $4,979,000 for the same period in 2006. The increase of $737,000, or approximately 15%, from 2006 to 2007 was primarily attributable to an increase in personnel costs of approximately $579,000, of which approximately $427,000 was attributable to an increase in stock based compensation expense for grant of stock options and stock appreciation rights. The increase was also attributable to an increase in external services of approximately $571,000 primarily attributable to an increase in patent related external legal fees. The increase in the afore mentioned expenses was partially offset by a net decrease in other operating expenses.</w:t>
      </w:r>
    </w:p>
    <w:p>
      <w:pPr>
        <w:spacing w:after="0" w:line="85"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2006, the reserve was approximately $5,512,000. For the nine months ended September 30, 2007, payments of $1,067,000 net of subtenant income were recorded against this reserve (see Note 4). In the nine-month period ended September 30, 2007, we re-evaluated the estimate at September 30, 2007 and adjusted the reserve to approximately $4,884,000 by recording in aggregate, an additional $439,000 as wind-down expenses. Payments recorded against the reserve for the same period in 2006 were approximately $950,000 and additional expenses recorded to adjust the reserve were approximately $499,000.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for the nine-month period ended September 30, 2007, as compared with the same period in 2006, is summarized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2007</w:t>
            </w: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color w:val="auto"/>
              </w:rPr>
              <w:t>2006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20" w:type="dxa"/>
            <w:vAlign w:val="bottom"/>
            <w:tcBorders>
              <w:bottom w:val="single" w:sz="8" w:color="auto"/>
            </w:tcBorders>
          </w:tcPr>
          <w:p>
            <w:pPr>
              <w:jc w:val="right"/>
              <w:ind w:right="1414"/>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3"/>
              <w:spacing w:after="0"/>
              <w:rPr>
                <w:sz w:val="20"/>
                <w:szCs w:val="20"/>
                <w:color w:val="auto"/>
              </w:rPr>
            </w:pPr>
            <w:r>
              <w:rPr>
                <w:rFonts w:ascii="Arial" w:cs="Arial" w:eastAsia="Arial" w:hAnsi="Arial"/>
                <w:sz w:val="18"/>
                <w:szCs w:val="18"/>
                <w:color w:val="auto"/>
              </w:rPr>
              <w:t>550,467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633"/>
              <w:spacing w:after="0"/>
              <w:rPr>
                <w:sz w:val="20"/>
                <w:szCs w:val="20"/>
                <w:color w:val="auto"/>
              </w:rPr>
            </w:pPr>
            <w:r>
              <w:rPr>
                <w:rFonts w:ascii="Arial" w:cs="Arial" w:eastAsia="Arial" w:hAnsi="Arial"/>
                <w:sz w:val="18"/>
                <w:szCs w:val="18"/>
                <w:color w:val="auto"/>
              </w:rPr>
              <w:t>103,359</w:t>
            </w:r>
          </w:p>
        </w:tc>
        <w:tc>
          <w:tcPr>
            <w:tcW w:w="2220" w:type="dxa"/>
            <w:vAlign w:val="bottom"/>
          </w:tcPr>
          <w:p>
            <w:pPr>
              <w:jc w:val="right"/>
              <w:ind w:right="1074"/>
              <w:spacing w:after="0"/>
              <w:rPr>
                <w:sz w:val="20"/>
                <w:szCs w:val="20"/>
                <w:color w:val="auto"/>
              </w:rPr>
            </w:pPr>
            <w:r>
              <w:rPr>
                <w:rFonts w:ascii="Arial" w:cs="Arial" w:eastAsia="Arial" w:hAnsi="Arial"/>
                <w:sz w:val="18"/>
                <w:szCs w:val="18"/>
                <w:color w:val="auto"/>
              </w:rPr>
              <w:t>$  447,108</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w w:val="86"/>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717,621</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717,621</w:t>
            </w:r>
          </w:p>
        </w:tc>
        <w:tc>
          <w:tcPr>
            <w:tcW w:w="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220" w:type="dxa"/>
            <w:vAlign w:val="bottom"/>
          </w:tcPr>
          <w:p>
            <w:pPr>
              <w:jc w:val="right"/>
              <w:ind w:right="393"/>
              <w:spacing w:after="0"/>
              <w:rPr>
                <w:sz w:val="20"/>
                <w:szCs w:val="20"/>
                <w:color w:val="auto"/>
              </w:rPr>
            </w:pPr>
            <w:r>
              <w:rPr>
                <w:rFonts w:ascii="Arial" w:cs="Arial" w:eastAsia="Arial" w:hAnsi="Arial"/>
                <w:sz w:val="18"/>
                <w:szCs w:val="18"/>
                <w:color w:val="auto"/>
                <w:w w:val="89"/>
              </w:rPr>
              <w:t>1,926,753</w:t>
            </w:r>
          </w:p>
        </w:tc>
        <w:tc>
          <w:tcPr>
            <w:tcW w:w="520" w:type="dxa"/>
            <w:vAlign w:val="bottom"/>
          </w:tcPr>
          <w:p>
            <w:pPr>
              <w:spacing w:after="0"/>
              <w:rPr>
                <w:sz w:val="18"/>
                <w:szCs w:val="18"/>
                <w:color w:val="auto"/>
              </w:rPr>
            </w:pPr>
          </w:p>
        </w:tc>
        <w:tc>
          <w:tcPr>
            <w:tcW w:w="1440" w:type="dxa"/>
            <w:vAlign w:val="bottom"/>
          </w:tcPr>
          <w:p>
            <w:pPr>
              <w:jc w:val="right"/>
              <w:ind w:right="633"/>
              <w:spacing w:after="0"/>
              <w:rPr>
                <w:sz w:val="20"/>
                <w:szCs w:val="20"/>
                <w:color w:val="auto"/>
              </w:rPr>
            </w:pPr>
            <w:r>
              <w:rPr>
                <w:rFonts w:ascii="Arial" w:cs="Arial" w:eastAsia="Arial" w:hAnsi="Arial"/>
                <w:sz w:val="18"/>
                <w:szCs w:val="18"/>
                <w:color w:val="auto"/>
                <w:w w:val="87"/>
              </w:rPr>
              <w:t>1,779,016</w:t>
            </w:r>
          </w:p>
        </w:tc>
        <w:tc>
          <w:tcPr>
            <w:tcW w:w="2220" w:type="dxa"/>
            <w:vAlign w:val="bottom"/>
          </w:tcPr>
          <w:p>
            <w:pPr>
              <w:jc w:val="right"/>
              <w:ind w:right="1074"/>
              <w:spacing w:after="0"/>
              <w:rPr>
                <w:sz w:val="20"/>
                <w:szCs w:val="20"/>
                <w:color w:val="auto"/>
              </w:rPr>
            </w:pPr>
            <w:r>
              <w:rPr>
                <w:rFonts w:ascii="Arial" w:cs="Arial" w:eastAsia="Arial" w:hAnsi="Arial"/>
                <w:sz w:val="18"/>
                <w:szCs w:val="18"/>
                <w:color w:val="auto"/>
              </w:rPr>
              <w:t>147,737</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(96,777)</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8"/>
              </w:rPr>
              <w:t>(111,159)</w:t>
            </w:r>
          </w:p>
        </w:tc>
        <w:tc>
          <w:tcPr>
            <w:tcW w:w="22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14,382</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(27,009)</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(16,309)</w:t>
            </w:r>
          </w:p>
        </w:tc>
        <w:tc>
          <w:tcPr>
            <w:tcW w:w="2220" w:type="dxa"/>
            <w:vAlign w:val="bottom"/>
            <w:tcBorders>
              <w:bottom w:val="single" w:sz="8" w:color="auto"/>
            </w:tcBorders>
          </w:tcPr>
          <w:p>
            <w:pPr>
              <w:jc w:val="right"/>
              <w:ind w:right="1014"/>
              <w:spacing w:after="0"/>
              <w:rPr>
                <w:sz w:val="20"/>
                <w:szCs w:val="20"/>
                <w:color w:val="auto"/>
              </w:rPr>
            </w:pPr>
            <w:r>
              <w:rPr>
                <w:rFonts w:ascii="Arial" w:cs="Arial" w:eastAsia="Arial" w:hAnsi="Arial"/>
                <w:sz w:val="18"/>
                <w:szCs w:val="18"/>
                <w:color w:val="auto"/>
              </w:rPr>
              <w:t>(10,700)</w:t>
            </w: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89"/>
              </w:rPr>
              <w:t>3,071,055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87"/>
              </w:rPr>
              <w:t>1,754,907</w:t>
            </w:r>
          </w:p>
        </w:tc>
        <w:tc>
          <w:tcPr>
            <w:tcW w:w="22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$1,316,148</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change cannot be calculated</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Income under licenses and settlement agreement for the nine months ended September 30, 2007 were for the value of additional shares received from ReNeuron (see Note 2). As a consequence of the anti-dilution provisions included in the agreement between StemCells and ReNeuron, StemCells was entitled to approximately 822,000 shares, net of approximately 12,000 shares to Neurospheres. We recorded approximately $550,000 as other income for the fair value of the additional shares received. For the nine months ended September 30, 2006, we recorded approximately $103,000 as other income for approximately 439,000 additional shares received from ReNeuron as a consequence of the anti-dilution provisions in the agreement and net of shares due to Neurospheres. In February 2007, we sold 5,275,000 ordinary shares of ReNeuron for net proceeds of approximately $3,077,000. We recorded approximately $718,000 as realized gain for this transaction.</w:t>
      </w:r>
    </w:p>
    <w:p>
      <w:pPr>
        <w:spacing w:after="0" w:line="81" w:lineRule="exact"/>
        <w:rPr>
          <w:sz w:val="20"/>
          <w:szCs w:val="20"/>
          <w:color w:val="auto"/>
        </w:rPr>
      </w:pPr>
    </w:p>
    <w:p>
      <w:pPr>
        <w:jc w:val="both"/>
        <w:ind w:right="100" w:firstLine="450"/>
        <w:spacing w:after="0" w:line="264" w:lineRule="auto"/>
        <w:rPr>
          <w:sz w:val="20"/>
          <w:szCs w:val="20"/>
          <w:color w:val="auto"/>
        </w:rPr>
      </w:pPr>
      <w:r>
        <w:rPr>
          <w:rFonts w:ascii="Arial" w:cs="Arial" w:eastAsia="Arial" w:hAnsi="Arial"/>
          <w:sz w:val="18"/>
          <w:szCs w:val="18"/>
          <w:color w:val="auto"/>
        </w:rPr>
        <w:t>Interest income for the nine months ended September 30, 2007 and 2006 was approximately $1,927,000 and $1,779,000, respectively. The increase in interest income in 2007 was primarily attributable to a higher yield on a higher average investment balance in 2007 when compared to the nine-month period in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Interest expense for the nine months ended September 30, 2007 and 2006 was approximately $97,000 and $111,000 respectively. The decrease in interest expense in 2007 was attributable to lower outstanding debt and capital lease balances in 2007 compared to 2006. Other income (expense) comprises primarily of state franchise tax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80" w:firstLine="447"/>
        <w:spacing w:after="0" w:line="279" w:lineRule="auto"/>
        <w:rPr>
          <w:sz w:val="20"/>
          <w:szCs w:val="20"/>
          <w:color w:val="auto"/>
        </w:rPr>
      </w:pPr>
      <w:r>
        <w:rPr>
          <w:rFonts w:ascii="Arial" w:cs="Arial" w:eastAsia="Arial" w:hAnsi="Arial"/>
          <w:sz w:val="17"/>
          <w:szCs w:val="17"/>
          <w:color w:val="auto"/>
        </w:rPr>
        <w:t>We had cash, cash equivalents and short-term investments totaling $43,294,205 at September 30, 2007. Short-term investments include securities (commercial paper, corporate bonds and asset backed securities) with days to maturity of 365 days or less, and excludes securities with an original holding period of 90 days or less, which securities are treated as cash equivalents. Cash equivalents are invested in US Treasury debt securities and commercial paper with maturities of 90 days or less. The table below summarizes our cash flows for the respective nine-month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2007</w:t>
            </w: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2006</w:t>
            </w:r>
          </w:p>
        </w:tc>
        <w:tc>
          <w:tcPr>
            <w:tcW w:w="282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60" w:type="dxa"/>
            <w:vAlign w:val="bottom"/>
            <w:tcBorders>
              <w:bottom w:val="single" w:sz="8" w:color="auto"/>
            </w:tcBorders>
          </w:tcPr>
          <w:p>
            <w:pPr>
              <w:jc w:val="right"/>
              <w:ind w:right="836"/>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$(15,009,151)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88"/>
              </w:rPr>
              <w:t>(12,077,200)</w:t>
            </w:r>
          </w:p>
        </w:tc>
        <w:tc>
          <w:tcPr>
            <w:tcW w:w="16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 (2,931,951)</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(23,980,350)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54"/>
              <w:spacing w:after="0"/>
              <w:rPr>
                <w:sz w:val="20"/>
                <w:szCs w:val="20"/>
                <w:color w:val="auto"/>
              </w:rPr>
            </w:pPr>
            <w:r>
              <w:rPr>
                <w:rFonts w:ascii="Arial" w:cs="Arial" w:eastAsia="Arial" w:hAnsi="Arial"/>
                <w:sz w:val="18"/>
                <w:szCs w:val="18"/>
                <w:color w:val="auto"/>
                <w:w w:val="97"/>
              </w:rPr>
              <w:t>(1,318,929)</w:t>
            </w:r>
          </w:p>
        </w:tc>
        <w:tc>
          <w:tcPr>
            <w:tcW w:w="1660" w:type="dxa"/>
            <w:vAlign w:val="bottom"/>
          </w:tcPr>
          <w:p>
            <w:pPr>
              <w:jc w:val="right"/>
              <w:ind w:right="376"/>
              <w:spacing w:after="0"/>
              <w:rPr>
                <w:sz w:val="20"/>
                <w:szCs w:val="20"/>
                <w:color w:val="auto"/>
              </w:rPr>
            </w:pPr>
            <w:r>
              <w:rPr>
                <w:rFonts w:ascii="Arial" w:cs="Arial" w:eastAsia="Arial" w:hAnsi="Arial"/>
                <w:sz w:val="18"/>
                <w:szCs w:val="18"/>
                <w:color w:val="auto"/>
              </w:rPr>
              <w:t>(22,661,421)</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4,723,173</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3"/>
              </w:rPr>
              <w:t>34,295,771</w:t>
            </w:r>
          </w:p>
        </w:tc>
        <w:tc>
          <w:tcPr>
            <w:tcW w:w="16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(29,572,598)</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vMerge w:val="continue"/>
          </w:tcPr>
          <w:p>
            <w:pPr>
              <w:spacing w:after="0"/>
              <w:rPr>
                <w:sz w:val="18"/>
                <w:szCs w:val="18"/>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$(34,266,328)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614"/>
              <w:spacing w:after="0"/>
              <w:rPr>
                <w:sz w:val="20"/>
                <w:szCs w:val="20"/>
                <w:color w:val="auto"/>
              </w:rPr>
            </w:pPr>
            <w:r>
              <w:rPr>
                <w:rFonts w:ascii="Arial" w:cs="Arial" w:eastAsia="Arial" w:hAnsi="Arial"/>
                <w:sz w:val="18"/>
                <w:szCs w:val="18"/>
                <w:color w:val="auto"/>
                <w:w w:val="93"/>
              </w:rPr>
              <w:t>20,899,642</w:t>
            </w:r>
          </w:p>
        </w:tc>
        <w:tc>
          <w:tcPr>
            <w:tcW w:w="1660" w:type="dxa"/>
            <w:vAlign w:val="bottom"/>
          </w:tcPr>
          <w:p>
            <w:pPr>
              <w:jc w:val="right"/>
              <w:ind w:right="376"/>
              <w:spacing w:after="0"/>
              <w:rPr>
                <w:sz w:val="20"/>
                <w:szCs w:val="20"/>
                <w:color w:val="auto"/>
              </w:rPr>
            </w:pPr>
            <w:r>
              <w:rPr>
                <w:rFonts w:ascii="Arial" w:cs="Arial" w:eastAsia="Arial" w:hAnsi="Arial"/>
                <w:sz w:val="18"/>
                <w:szCs w:val="18"/>
                <w:color w:val="auto"/>
              </w:rPr>
              <w:t>$(55,165,970)</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60" w:firstLine="447"/>
        <w:spacing w:after="0" w:line="264" w:lineRule="auto"/>
        <w:rPr>
          <w:sz w:val="20"/>
          <w:szCs w:val="20"/>
          <w:color w:val="auto"/>
        </w:rPr>
      </w:pPr>
      <w:r>
        <w:rPr>
          <w:rFonts w:ascii="Arial" w:cs="Arial" w:eastAsia="Arial" w:hAnsi="Arial"/>
          <w:sz w:val="18"/>
          <w:szCs w:val="18"/>
          <w:color w:val="auto"/>
        </w:rPr>
        <w:t>The increase of approximately $2,932,000, or 24%, in cash used in operating activities from 2006 to 2007, was primarily attributable to the expansion of our operations in cell processing and clinical operations including an increase in personnel costs, an increase in external services and clinical study costs, increases in supplies other operating expenses.</w:t>
      </w:r>
    </w:p>
    <w:p>
      <w:pPr>
        <w:spacing w:after="0" w:line="73" w:lineRule="exact"/>
        <w:rPr>
          <w:sz w:val="20"/>
          <w:szCs w:val="20"/>
          <w:color w:val="auto"/>
        </w:rPr>
      </w:pPr>
    </w:p>
    <w:p>
      <w:pPr>
        <w:ind w:right="540" w:firstLine="450"/>
        <w:spacing w:after="0" w:line="277" w:lineRule="auto"/>
        <w:rPr>
          <w:sz w:val="20"/>
          <w:szCs w:val="20"/>
          <w:color w:val="auto"/>
        </w:rPr>
      </w:pPr>
      <w:r>
        <w:rPr>
          <w:rFonts w:ascii="Arial" w:cs="Arial" w:eastAsia="Arial" w:hAnsi="Arial"/>
          <w:sz w:val="18"/>
          <w:szCs w:val="18"/>
          <w:color w:val="auto"/>
        </w:rPr>
        <w:t>Cash used in investing activities in 2007, was primarily for the purchase of short-term investments. Cash used in investing activities in 2006 was primarily for capital expenditures.</w:t>
      </w:r>
    </w:p>
    <w:p>
      <w:pPr>
        <w:spacing w:after="0" w:line="62"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Net cash provided by financing activities in 2007 was primarily attributable to sales of shares of our common stock under our sales agreement with Cantor. From January 1, 2007 to September 30, 2007, we sold a total of 1,217,000 shares of our common stock under this agreement for gross proceeds of approximately $3,805,000. Net cash provided by financing activities in 2006 was primarily attributable to the sale of 11,750,820 shares of our common stock to a limited number of institutional investors at a price of $3.05 per share, for gross proceeds of approximately $35,840,000. See the following discussion for more on our financing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sources of cash inflow for the nine months ended September 30, 2007 include the following:</w:t>
      </w:r>
    </w:p>
    <w:p>
      <w:pPr>
        <w:spacing w:after="0" w:line="121" w:lineRule="exact"/>
        <w:rPr>
          <w:sz w:val="20"/>
          <w:szCs w:val="20"/>
          <w:color w:val="auto"/>
        </w:rPr>
      </w:pPr>
    </w:p>
    <w:p>
      <w:pPr>
        <w:ind w:left="900" w:right="140" w:hanging="446"/>
        <w:spacing w:after="0" w:line="342"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On April 26,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29" w:lineRule="exact"/>
        <w:rPr>
          <w:rFonts w:ascii="Arial" w:cs="Arial" w:eastAsia="Arial" w:hAnsi="Arial"/>
          <w:sz w:val="16"/>
          <w:szCs w:val="16"/>
          <w:b w:val="1"/>
          <w:bCs w:val="1"/>
          <w:color w:val="auto"/>
        </w:rPr>
      </w:pPr>
    </w:p>
    <w:p>
      <w:pPr>
        <w:ind w:left="900" w:right="320" w:hanging="446"/>
        <w:spacing w:after="0" w:line="342"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 February 2007, we sold 5,275,000 ordinary shares of ReNeuron for net proceeds of approximately $3,077,000. After this sale, as of September 30, 2007, we owned approximately 4,822,000 ordinary shares of ReNeuron with a fair market value of approximately $1,819,000.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6" w:lineRule="auto"/>
        <w:tabs>
          <w:tab w:leader="none" w:pos="90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On December 29, 2006, we filed a Prospectus Supplement announcing the entry of a sales agreement with Cantor under which up to 10,000,000 shares may be sold from time to time under a shelf registration statement. From January 1, 2007 to September 30, 2007, we sold a total of 1,217,000 shares of our common stock under this agreement for gross proceeds of approximately $3,805,000. Subsequently, in October 2007, we sold an additional 590,000 shares of our common stock under this agreement for gross proceeds of approximately$1,328,000. Cantor is paid compensation equal to 5.0% of the gross proceeds pursuant to the terms of the agreement.</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Major sources of cash inflow for the previous three years include the following</w:t>
      </w:r>
      <w:r>
        <w:rPr>
          <w:rFonts w:ascii="Arial" w:cs="Arial" w:eastAsia="Arial" w:hAnsi="Arial"/>
          <w:sz w:val="18"/>
          <w:szCs w:val="18"/>
          <w:color w:val="auto"/>
        </w:rPr>
        <w:t>:</w:t>
      </w:r>
    </w:p>
    <w:p>
      <w:pPr>
        <w:spacing w:after="0" w:line="121" w:lineRule="exact"/>
        <w:rPr>
          <w:sz w:val="20"/>
          <w:szCs w:val="20"/>
          <w:color w:val="auto"/>
        </w:rPr>
      </w:pPr>
    </w:p>
    <w:p>
      <w:pPr>
        <w:ind w:left="900" w:right="120" w:hanging="446"/>
        <w:spacing w:after="0" w:line="279" w:lineRule="auto"/>
        <w:tabs>
          <w:tab w:leader="none" w:pos="90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 We received total proceeds, net of offering expenses and placement agency fees, of approximately $33,422,000. No warrants were issued as part of this financing transaction.</w:t>
      </w:r>
    </w:p>
    <w:p>
      <w:pPr>
        <w:spacing w:after="0" w:line="76" w:lineRule="exact"/>
        <w:rPr>
          <w:rFonts w:ascii="Arial" w:cs="Arial" w:eastAsia="Arial" w:hAnsi="Arial"/>
          <w:sz w:val="17"/>
          <w:szCs w:val="17"/>
          <w:b w:val="1"/>
          <w:bCs w:val="1"/>
          <w:color w:val="auto"/>
        </w:rPr>
      </w:pPr>
    </w:p>
    <w:p>
      <w:pPr>
        <w:ind w:left="900" w:right="240" w:hanging="446"/>
        <w:spacing w:after="0" w:line="342" w:lineRule="auto"/>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29" w:lineRule="exact"/>
        <w:rPr>
          <w:rFonts w:ascii="Arial" w:cs="Arial" w:eastAsia="Arial" w:hAnsi="Arial"/>
          <w:sz w:val="16"/>
          <w:szCs w:val="16"/>
          <w:b w:val="1"/>
          <w:bCs w:val="1"/>
          <w:color w:val="auto"/>
        </w:rPr>
      </w:pPr>
    </w:p>
    <w:p>
      <w:pPr>
        <w:ind w:left="900" w:right="60" w:hanging="446"/>
        <w:spacing w:after="0" w:line="277"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2005, an aggregate of 2,958,348 warrants were exercised. For the exercise of these warrants, we issued 2,842,625 shares of our common stock and received proceeds of approximately $5,939,000.</w:t>
      </w:r>
    </w:p>
    <w:p>
      <w:pPr>
        <w:spacing w:after="0" w:line="75" w:lineRule="exact"/>
        <w:rPr>
          <w:rFonts w:ascii="Arial" w:cs="Arial" w:eastAsia="Arial" w:hAnsi="Arial"/>
          <w:sz w:val="18"/>
          <w:szCs w:val="18"/>
          <w:b w:val="1"/>
          <w:bCs w:val="1"/>
          <w:color w:val="auto"/>
        </w:rPr>
      </w:pPr>
    </w:p>
    <w:p>
      <w:pPr>
        <w:ind w:left="900" w:hanging="446"/>
        <w:spacing w:after="0" w:line="297" w:lineRule="auto"/>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On October 26, 2004, we entered into an agreement with institutional investors with respect to the registered direct placement of 7,500,000 shares of our common stock at a purchase price of $3.00 per share, for gross proceeds of $22,500,000. C.E. Unterberg, Towbin LLC (Unterberg) and Shoreline Pacific, LLC (Shoreline) served as placement agents for the transaction. We sold these shares under a shelf registration statement previously filed with and declared effective by the SEC. For acting as our placement agent Unterberg and Shoreline received fees of approximately $1,350,000 and expense reimbursement of approximately $40,000. No warrants were issued as part of this financing transaction.</w:t>
      </w:r>
    </w:p>
    <w:p>
      <w:pPr>
        <w:spacing w:after="0" w:line="63" w:lineRule="exact"/>
        <w:rPr>
          <w:rFonts w:ascii="Arial" w:cs="Arial" w:eastAsia="Arial" w:hAnsi="Arial"/>
          <w:sz w:val="16"/>
          <w:szCs w:val="16"/>
          <w:b w:val="1"/>
          <w:bCs w:val="1"/>
          <w:color w:val="auto"/>
        </w:rPr>
      </w:pPr>
    </w:p>
    <w:p>
      <w:pPr>
        <w:ind w:left="900" w:right="40" w:hanging="446"/>
        <w:spacing w:after="0" w:line="255"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Contractual Cash Obligations</w:t>
      </w:r>
    </w:p>
    <w:p>
      <w:pPr>
        <w:spacing w:after="0" w:line="121"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2007, based on past experience and current assumptions, approximately $1,500,000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9" w:lineRule="exact"/>
        <w:rPr>
          <w:sz w:val="20"/>
          <w:szCs w:val="20"/>
          <w:color w:val="auto"/>
        </w:rPr>
      </w:pPr>
    </w:p>
    <w:p>
      <w:pPr>
        <w:ind w:right="480" w:firstLine="447"/>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ind w:right="237"/>
              <w:spacing w:after="0"/>
              <w:rPr>
                <w:sz w:val="20"/>
                <w:szCs w:val="20"/>
                <w:color w:val="auto"/>
              </w:rPr>
            </w:pPr>
            <w:r>
              <w:rPr>
                <w:rFonts w:ascii="Arial" w:cs="Arial" w:eastAsia="Arial" w:hAnsi="Arial"/>
                <w:sz w:val="14"/>
                <w:szCs w:val="14"/>
                <w:color w:val="auto"/>
                <w:w w:val="90"/>
              </w:rPr>
              <w:t>Payable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October to</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December</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38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400" w:type="dxa"/>
            <w:vAlign w:val="bottom"/>
          </w:tcPr>
          <w:p>
            <w:pPr>
              <w:spacing w:after="0"/>
              <w:rPr>
                <w:sz w:val="12"/>
                <w:szCs w:val="12"/>
                <w:color w:val="auto"/>
              </w:rPr>
            </w:pPr>
          </w:p>
        </w:tc>
        <w:tc>
          <w:tcPr>
            <w:tcW w:w="92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2"/>
              </w:rPr>
              <w:t>2012 and</w:t>
            </w: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6"/>
              </w:rPr>
              <w:t>2007</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1,649,944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60,850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244,572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242,560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242,321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615,110</w:t>
            </w: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8"/>
              </w:rPr>
              <w:t>12,644,814</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795,478</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3,469,017</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3,536,843</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87"/>
              </w:rPr>
              <w:t>1,767,304</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9"/>
              </w:rPr>
              <w:t>1,171,875</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87"/>
              </w:rPr>
              <w:t>1,904,297</w:t>
            </w: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8"/>
              </w:rPr>
              <w:t>14,294,758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6"/>
              </w:rPr>
              <w:t>856,328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3,713,548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3,781,415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87"/>
              </w:rPr>
              <w:t>2,009,864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1,414,196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87"/>
              </w:rPr>
              <w:t>2,519,407</w:t>
            </w:r>
          </w:p>
        </w:tc>
      </w:tr>
    </w:tbl>
    <w:p>
      <w:pPr>
        <w:spacing w:after="0" w:line="107" w:lineRule="exact"/>
        <w:rPr>
          <w:sz w:val="20"/>
          <w:szCs w:val="20"/>
          <w:color w:val="auto"/>
        </w:rPr>
      </w:pPr>
    </w:p>
    <w:p>
      <w:pPr>
        <w:ind w:right="20" w:firstLine="447"/>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businesses,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jc w:val="center"/>
        <w:ind w:right="400"/>
        <w:spacing w:after="0" w:line="291" w:lineRule="auto"/>
        <w:rPr>
          <w:sz w:val="20"/>
          <w:szCs w:val="20"/>
          <w:color w:val="auto"/>
        </w:rPr>
      </w:pPr>
      <w:r>
        <w:rPr>
          <w:rFonts w:ascii="Arial" w:cs="Arial" w:eastAsia="Arial" w:hAnsi="Arial"/>
          <w:sz w:val="16"/>
          <w:szCs w:val="16"/>
          <w:color w:val="auto"/>
        </w:rPr>
        <w:t>We intend to pursue opportunities to obtain additional financing in the future through equity and debt financings, grants and collaborative research arrangements. We have a shelf registration statement which, as of October 31, 2007, covered shares of our common stock up to a value of approximately</w:t>
      </w:r>
    </w:p>
    <w:p>
      <w:pPr>
        <w:ind w:right="120"/>
        <w:spacing w:after="0" w:line="269" w:lineRule="auto"/>
        <w:rPr>
          <w:sz w:val="20"/>
          <w:szCs w:val="20"/>
          <w:color w:val="auto"/>
        </w:rPr>
      </w:pPr>
      <w:r>
        <w:rPr>
          <w:rFonts w:ascii="Arial" w:cs="Arial" w:eastAsia="Arial" w:hAnsi="Arial"/>
          <w:sz w:val="17"/>
          <w:szCs w:val="17"/>
          <w:color w:val="auto"/>
        </w:rPr>
        <w:t>$59 million that could be available for financings. On December 29, 2006, we filed a Prospectus Supplement announcing the entry of a sales agreement with Cantor Fitzgerald &amp; Co. under which up to 10,000,000 shares may be sold from time to time under the shelf registration statement. As of October 31, 2007, we have sold 1,807,000 of these shares for gross proceeds of approximately $5,133,000. The source, timing and availability of any future financing will depend principally upon market conditions, interest rates and, more specifically, on our progress in our research, preclinical and clinical development programs. Funding may not be available when needed—at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73" w:lineRule="exact"/>
        <w:rPr>
          <w:sz w:val="20"/>
          <w:szCs w:val="20"/>
          <w:color w:val="auto"/>
        </w:rPr>
      </w:pPr>
    </w:p>
    <w:p>
      <w:pPr>
        <w:ind w:right="40" w:firstLine="447"/>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An amendment to the agreement was entered on April 3, 2006, a copy of which was attached as Exhibit 10.1 to the Company’s Quarterly Report on Form 10-Q for the quarter ended March 31, 2006. As of December 31, 2006, the Company held 9,274,837 shares of ReNeuron common stock with fair value of approximately $7,266,000. In February 2007, the Company sold 5,275,000 ordinary shares of ReNeuron for net proceeds of approximately $3,077,000. The Company recorded approximately $718,000 as realized gain for this transaction. In February 2007, ReNeuron issued additional shares of common stock as a consequence of certain anti-dilution provisions in the agreement. StemCells was entitled to approximately 822,000 shares net of approximately 12,000 shares to be transferred to Neurospheres. The Company recorded approximately $550,000 as other income for the fair value of the additional shares received. As of September 30, 2007, the Company owned approximately 4,822,000 ordinary shares of ReNeuron with a fair market value of approximately $1,819,000.</w:t>
      </w:r>
    </w:p>
    <w:p>
      <w:pPr>
        <w:spacing w:after="0" w:line="6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loss as of September 30, 2007 is approximately $451,000. A decline in the fair value of securities that is deemed other than temporary would be charged to earnings.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No. of Shares at</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Share price at</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Exchange Rate at</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Market Value in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Company/Stock</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USD at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Exchange</w:t>
            </w:r>
          </w:p>
        </w:tc>
        <w:tc>
          <w:tcPr>
            <w:tcW w:w="100" w:type="dxa"/>
            <w:vAlign w:val="bottom"/>
          </w:tcPr>
          <w:p>
            <w:pPr>
              <w:spacing w:after="0"/>
              <w:rPr>
                <w:sz w:val="12"/>
                <w:szCs w:val="12"/>
                <w:color w:val="auto"/>
              </w:rPr>
            </w:pPr>
          </w:p>
        </w:tc>
        <w:tc>
          <w:tcPr>
            <w:tcW w:w="23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Associated Risks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Symbol</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 xml:space="preserve">2007 in GBP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1 GBP = USD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Flows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ReNeuron Group</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AIM (AIM is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Lower share price</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ind w:right="4"/>
              <w:spacing w:after="0" w:line="195" w:lineRule="exact"/>
              <w:rPr>
                <w:sz w:val="20"/>
                <w:szCs w:val="20"/>
                <w:color w:val="auto"/>
              </w:rPr>
            </w:pPr>
            <w:r>
              <w:rPr>
                <w:rFonts w:ascii="Arial" w:cs="Arial" w:eastAsia="Arial" w:hAnsi="Arial"/>
                <w:sz w:val="18"/>
                <w:szCs w:val="18"/>
                <w:color w:val="auto"/>
              </w:rPr>
              <w:t>4,821,924</w:t>
            </w:r>
          </w:p>
        </w:tc>
        <w:tc>
          <w:tcPr>
            <w:tcW w:w="280" w:type="dxa"/>
            <w:vAlign w:val="bottom"/>
          </w:tcPr>
          <w:p>
            <w:pPr>
              <w:spacing w:after="0"/>
              <w:rPr>
                <w:sz w:val="16"/>
                <w:szCs w:val="16"/>
                <w:color w:val="auto"/>
              </w:rPr>
            </w:pPr>
          </w:p>
        </w:tc>
        <w:tc>
          <w:tcPr>
            <w:tcW w:w="980" w:type="dxa"/>
            <w:vAlign w:val="bottom"/>
            <w:tcBorders>
              <w:top w:val="single" w:sz="8" w:color="auto"/>
            </w:tcBorders>
          </w:tcPr>
          <w:p>
            <w:pPr>
              <w:jc w:val="right"/>
              <w:ind w:right="124"/>
              <w:spacing w:after="0" w:line="195" w:lineRule="exact"/>
              <w:rPr>
                <w:sz w:val="20"/>
                <w:szCs w:val="20"/>
                <w:color w:val="auto"/>
              </w:rPr>
            </w:pPr>
            <w:r>
              <w:rPr>
                <w:rFonts w:ascii="Arial" w:cs="Arial" w:eastAsia="Arial" w:hAnsi="Arial"/>
                <w:sz w:val="18"/>
                <w:szCs w:val="18"/>
                <w:color w:val="auto"/>
              </w:rPr>
              <w:t>0.1850</w:t>
            </w:r>
          </w:p>
        </w:tc>
        <w:tc>
          <w:tcPr>
            <w:tcW w:w="280" w:type="dxa"/>
            <w:vAlign w:val="bottom"/>
          </w:tcPr>
          <w:p>
            <w:pPr>
              <w:spacing w:after="0"/>
              <w:rPr>
                <w:sz w:val="16"/>
                <w:szCs w:val="16"/>
                <w:color w:val="auto"/>
              </w:rPr>
            </w:pPr>
          </w:p>
        </w:tc>
        <w:tc>
          <w:tcPr>
            <w:tcW w:w="1060" w:type="dxa"/>
            <w:vAlign w:val="bottom"/>
            <w:tcBorders>
              <w:top w:val="single" w:sz="8" w:color="auto"/>
            </w:tcBorders>
          </w:tcPr>
          <w:p>
            <w:pPr>
              <w:jc w:val="right"/>
              <w:ind w:right="164"/>
              <w:spacing w:after="0" w:line="195" w:lineRule="exact"/>
              <w:rPr>
                <w:sz w:val="20"/>
                <w:szCs w:val="20"/>
                <w:color w:val="auto"/>
              </w:rPr>
            </w:pPr>
            <w:r>
              <w:rPr>
                <w:rFonts w:ascii="Arial" w:cs="Arial" w:eastAsia="Arial" w:hAnsi="Arial"/>
                <w:sz w:val="18"/>
                <w:szCs w:val="18"/>
                <w:color w:val="auto"/>
              </w:rPr>
              <w:t>2.0389</w:t>
            </w:r>
          </w:p>
        </w:tc>
        <w:tc>
          <w:tcPr>
            <w:tcW w:w="3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$ 1,818,813</w:t>
            </w:r>
          </w:p>
        </w:tc>
        <w:tc>
          <w:tcPr>
            <w:tcW w:w="300" w:type="dxa"/>
            <w:vAlign w:val="bottom"/>
          </w:tcPr>
          <w:p>
            <w:pPr>
              <w:spacing w:after="0"/>
              <w:rPr>
                <w:sz w:val="16"/>
                <w:szCs w:val="16"/>
                <w:color w:val="auto"/>
              </w:rPr>
            </w:pPr>
          </w:p>
        </w:tc>
        <w:tc>
          <w:tcPr>
            <w:tcW w:w="620" w:type="dxa"/>
            <w:vAlign w:val="bottom"/>
            <w:tcBorders>
              <w:top w:val="single" w:sz="8" w:color="auto"/>
            </w:tcBorders>
          </w:tcPr>
          <w:p>
            <w:pPr>
              <w:jc w:val="right"/>
              <w:ind w:right="84"/>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plc/RENE</w:t>
            </w: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London Stock</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w w:val="98"/>
              </w:rPr>
              <w:t>- Foreign currency translation</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 Liquidity</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Alternative</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 Bankruptcy</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Market)</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73"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Other than the above, no significant changes have occurred in our quantitative and qualitative information about market risks disclosed in our Annual Report on Form 10-K for the fiscal year ending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300" w:firstLine="450"/>
        <w:spacing w:after="0" w:line="264"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its activities violate claims in four of our patents. Neuralstem has filed a motion for dismissal or summary judgment,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w:t>
      </w:r>
    </w:p>
    <w:p>
      <w:pPr>
        <w:spacing w:after="0" w:line="50"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In January 2007, Neuralstem petitioned the U.S. Patent and Trademark Office (PTO) to reexamine two of the patents in our infringement action against Neuralstem. In April 2007, Neuralstem petitioned the U.S. PTO to reexamine the remaining two patents in the suit. These requests were granted and, in June 2007, the parties voluntarily agreed to stay the pending litigation while the U.S. PTO considers these reexaminations. In October 2007, Neuralstem petitioned the U.S. PTO to reexamine a fifth patent (6,103,530), which claims a culture medium for proliferating mammalian neural stem cells. The Company expects all five patents to reissue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i w:val="1"/>
          <w:iCs w:val="1"/>
          <w:color w:val="auto"/>
        </w:rPr>
        <w:t>This quarterly report on Form 10-Q contains forward 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quarterly report on Form 10-Q or in other reports, press releases or other statements issued from time to time. Additional factors that may cause such a difference are set forth elsewhere in this quarterly report on Form 10-Q.</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adverse development in the initial clinical trial for our first product candidate developed from our cellular technologies could substantially depress our stock price and prevent us from raising additional capital.</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ability to progress as a company is significantly dependent on a single early stage clinical trial, our Phase I clinical trial for neuronal ceroid lipofuscinosis (NCL, also often referred to as Batten disease). Any clinical, regulatory or other development that delays or prevents us from completing this trial, any material safety issue or adverse side effect to any study participant in this trial, or the failure of this trial to show the results expected by investors would likely depress our stock price significantly and could prevent us from raising the substantial additional capital we will need to further develop our cellular technologies.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limited capital resources and, based on currently estimated operating expenses, our existing capital resources may not be sufficient to fund our operations beyond the next twelve months.</w:t>
      </w:r>
    </w:p>
    <w:p>
      <w:pPr>
        <w:spacing w:after="0" w:line="62"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do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not expect to become profitable within the next several years, but rather expect to incur additional and increasing operating losses. 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We rely on cash reserves and proceeds from equity and debt offerings, proceeds from the transfer, license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the next twelve months. The expansion of our clinical and other product development activities or the acquisition of additional technologies or businesses could cause us to need significant additional funds sooner than anticipated. We intend to pursue opportunities to obtain additional financing in the future through equity and debt financings, corporate alliances or combinations, grants and collaborative research arrangements. The source, timing and availability of any future financing will depend principally upon market conditions, interest rates and, more specifically, on our progress in our research, preclinical and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62"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have limited liquidity and capital resources and must obtain substantial additional capital to support our research and development programs and to acquire businesses, technology or intellectual property rights we might consider necessary, useful or complementary to our current efforts.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or combinations,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with our potential products and cellular technologies.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are subject to the risks of failure inherent in the development of products based on new technologies. The novel nature of these therapies creates significant challenges in regards to product development and optimization, manufacturing, government regulation, third party reimbursement, and market acceptance. For example, the U.S. Food and Drug Administration (FDA) has relatively little experience with cell-based therapeutics, and the pathway to regulatory approval for our product candidates may accordingly be more complex and lengthy than the pathway for new conventional drugs. These challenges may prevent us from developing and commercializing products on a timely or profitable basis or at all.</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is at an early stage of discovery and development, and we may fail to develop any commercially acceptable or profitable products.</w:t>
      </w:r>
    </w:p>
    <w:p>
      <w:pPr>
        <w:spacing w:after="0" w:line="140"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have yet to develop any products that have been approved for marketing. Before commercializing any medical product, we will need to obtain regulatory approval from the FDA or from equivalent foreign agencies after conducting extensive preclinical studies and clinical trials that demonstrate that our product candidate is safe and effective. Except for the NCL trial currently being conducted at the Oregon Health &amp; Science University (OHSU), we have had no experience conducting human clinical trials. We expect that none of our cell-based therapeutic product candidates will be commercially available for several years, if at 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programs are still at the preclinical phase for our human liver engrafting cells, and at the discovery phase for our candidate human pancreas stem cell. While the FDA has permitted us to initiate our Phase I clinical trial of our proprietary HuCNS-SC product candidate(purified human neural stem cells) in NCL, and the Institutional Review Board of OHSU has approved the protocol, there can be no assurance that the clinical investigators will be able to identify suitable candidates for completion of the trial (which is planned to enroll six patients only five of whom have received transplants of HuCNS-SC cells so far), or of a successful outcome of the trial if candidates are enrolled. We may fail to discover the cells we are seeking, to develop any products, to obtain regulatory approvals, to enter clinical trials, or to commercialize any products. We may elect to delay or discontinue preclinical studies or clinical trials based on unfavorable results. Any product developed from or based on cellular technologies may fail to:</w:t>
      </w:r>
    </w:p>
    <w:p>
      <w:pPr>
        <w:spacing w:after="0" w:line="7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properly engraft into existing tissue in the desired manner;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addition, our products may cause undesirable side effects. Results of preclinical research in animals may not be indicative of future clinical results in humans. If regulatory authorities do not approve our products or if we fail to maintain regulatory compliance, we would be unable to commercialize our products, and our business and results of operations would be harmed. Furthermore, because transplantation of cells is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85"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Moreover, because our cell-based therapeutic products will be derived from tissue of individuals other than the patient (that is, they will be “non-self” or “allogeneic” transplant products), patients will likely require the use of immunosuppressive drugs such as cyclosporine, FK506, or others to prevent rejection of the cells.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Immunosuppression is currently being tested with our therapeutic product candidate in our Phase I clinical trial for NCL (Batten disease).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in large part on our ability to develop and commercialize products that treat diseases other than Batten disease.</w:t>
      </w:r>
    </w:p>
    <w:p>
      <w:pPr>
        <w:spacing w:after="0" w:line="129"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this disease is rare and the market for treating this disease is small. Accordingly, even if we obtain marketing approval for our HuCNS-SC product candidate for infantile and late infantile NCL, in order to achieve profitability, if at all, we will need to obtain approval to treat additional diseases that present more significant market opportunities.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companies, businesses or technologies may substantially dilute our stockholders and increase our operating losses.</w:t>
      </w:r>
    </w:p>
    <w:p>
      <w:pPr>
        <w:spacing w:after="0" w:line="117" w:lineRule="exact"/>
        <w:rPr>
          <w:sz w:val="20"/>
          <w:szCs w:val="20"/>
          <w:color w:val="auto"/>
        </w:rPr>
      </w:pPr>
    </w:p>
    <w:p>
      <w:pPr>
        <w:ind w:right="180" w:firstLine="222"/>
        <w:spacing w:after="0" w:line="253" w:lineRule="auto"/>
        <w:rPr>
          <w:sz w:val="20"/>
          <w:szCs w:val="20"/>
          <w:color w:val="auto"/>
        </w:rPr>
      </w:pPr>
      <w:r>
        <w:rPr>
          <w:rFonts w:ascii="Arial" w:cs="Arial" w:eastAsia="Arial" w:hAnsi="Arial"/>
          <w:sz w:val="18"/>
          <w:szCs w:val="18"/>
          <w:color w:val="auto"/>
        </w:rPr>
        <w:t>We may make acquisitions of businesses, technologies or intellectual property rights we believe to be necessary, useful or complementary to our current product development efforts and cell-based therapeutics business. Any such acquisition may require assimilation of the operations, products or product candidates and personnel of the acquired business and the training and integration of its employees, and could substantially increase our costs of operation, without any offsetting increase in revenues. Acquisitions may not provide the intended technological, scientific or business benefits and could disrupt our operations and divert our limited resources and management’s attention from our current operations, which could harm our existing product development efforts. We will likely issue equity securities to pay for any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could substantially depress the price of our stock.</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cell-based therapeutics research and development.</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$1,550,000 in 2006;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$450,000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2006 and September 30, 2007, the reserve was $6,750,000 and $6,145,000, respectively. For the year 2006 and the nine-month period ending September 2007, we incurred $1,295,000 and $1,067,000 respectively,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partners to support our cell-based therapeutic product development efforts when needed to commercialize our technologies.</w:t>
      </w:r>
    </w:p>
    <w:p>
      <w:pPr>
        <w:spacing w:after="0" w:line="152" w:lineRule="exact"/>
        <w:rPr>
          <w:sz w:val="20"/>
          <w:szCs w:val="20"/>
          <w:color w:val="auto"/>
        </w:rPr>
      </w:pPr>
    </w:p>
    <w:p>
      <w:pPr>
        <w:ind w:right="120" w:firstLine="225"/>
        <w:spacing w:after="0" w:line="289" w:lineRule="auto"/>
        <w:rPr>
          <w:sz w:val="20"/>
          <w:szCs w:val="20"/>
          <w:color w:val="auto"/>
        </w:rPr>
      </w:pPr>
      <w:r>
        <w:rPr>
          <w:rFonts w:ascii="Arial" w:cs="Arial" w:eastAsia="Arial" w:hAnsi="Arial"/>
          <w:sz w:val="16"/>
          <w:szCs w:val="16"/>
          <w:color w:val="auto"/>
        </w:rPr>
        <w:t>Equity and debt financings alone may not be sufficient to fund the cost of developing our cellular technologies, and we may need to rely on partnering or other arrangements to provide financial support for our cellular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If we enter collaboration agreements and any of our collaborators terminates its relationship with us or fails to perform its obligations in a timely manner, the development or commercialization of our technology and potential products may be adversely affected.</w:t>
      </w:r>
    </w:p>
    <w:p>
      <w:pPr>
        <w:spacing w:after="0" w:line="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patient populations for many diseases of the central nervous system and the liver are very small, we may encounter difficulties in enrolling subjects in our clinical trials.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The first clinical application we are pursuing — NCL (also known as Batten disease) — has a very small patient population. From this small population, we must locate and enroll patients that satisfy the specific enrollment criteria for our clinical trials for this indication. This clinical trial may be delayed significantly or terminated if we are unable to enroll a sufficient number of qualified patients. Likewise, many of the other diseases of interest which may benefit from our investigative cell-based therapeutic products have equally small or smaller patient populations. Conducting clinical studies in such populations may be unexpectedly lengthy, difficult or costly because of enrollment delays or because of a lack of medical information about the particular disease states.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patents and proprietary rights, our business, financial condition and results of operations may be materially harmed.</w:t>
      </w:r>
    </w:p>
    <w:p>
      <w:pPr>
        <w:spacing w:after="0" w:line="140"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We either own or license a number of patents and pending patent applications related to various stem and progenitor cells and methods of deriving and using them, including human neural stem cell cultures.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a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issued patents through a U.S. PTO reexamination process or through the courts.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Third parties may challenge our patents or governmental authorities may declare them invalid or reduce their scope.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80" w:lineRule="exact"/>
        <w:rPr>
          <w:sz w:val="20"/>
          <w:szCs w:val="20"/>
          <w:color w:val="auto"/>
        </w:rPr>
      </w:pPr>
    </w:p>
    <w:p>
      <w:pPr>
        <w:jc w:val="both"/>
        <w:ind w:right="60" w:firstLine="225"/>
        <w:spacing w:after="0" w:line="288" w:lineRule="auto"/>
        <w:rPr>
          <w:sz w:val="20"/>
          <w:szCs w:val="20"/>
          <w:color w:val="auto"/>
        </w:rPr>
      </w:pPr>
      <w:r>
        <w:rPr>
          <w:rFonts w:ascii="Arial" w:cs="Arial" w:eastAsia="Arial" w:hAnsi="Arial"/>
          <w:sz w:val="16"/>
          <w:szCs w:val="16"/>
          <w:color w:val="auto"/>
        </w:rPr>
        <w:t>If we learn of third parties who infringe our patent rights, we may decide to initiate legal proceedings to enforce these rights. Patent litigation is inherently unpredictable and highly risky and may result in challenges to the validity or enforceability of our intellectual property, which could result in the loss of these rights. In July 2006, we brought a patent infringement action against Neuralstem, Inc., which was stayed in June 2007 after Neuralstem petitioned the U.S.</w:t>
      </w:r>
    </w:p>
    <w:p>
      <w:pPr>
        <w:ind w:right="260"/>
        <w:spacing w:after="0" w:line="254" w:lineRule="auto"/>
        <w:rPr>
          <w:sz w:val="20"/>
          <w:szCs w:val="20"/>
          <w:color w:val="auto"/>
        </w:rPr>
      </w:pPr>
      <w:r>
        <w:rPr>
          <w:rFonts w:ascii="Arial" w:cs="Arial" w:eastAsia="Arial" w:hAnsi="Arial"/>
          <w:sz w:val="18"/>
          <w:szCs w:val="18"/>
          <w:color w:val="auto"/>
        </w:rPr>
        <w:t>PTO to reexamine the four patents that are the subject of that litigation. Those reexamination proceedings are ongoing. In October 2007, Neuralstem petitioned the U.S. PTO to reexamine a fifth patent (6,103,530), which claims a culture medium for proliferating mammalian neural stem cells. In general litigation proceedings may also be very costly and the parties we bring actions against may have significantly greater financial resources than our own. We may not prevail in these proceedings. See “Part II, Item 1. Legal proceedings.”</w:t>
      </w:r>
    </w:p>
    <w:p>
      <w:pPr>
        <w:spacing w:after="0" w:line="8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others are first to discover and patent the stem and progenitor cells we are seeking to discover, we could be blocked from further work on those cells.</w:t>
      </w:r>
    </w:p>
    <w:p>
      <w:pPr>
        <w:spacing w:after="0" w:line="15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to be the first to discover the cells we are seeking. Failure to be the first could prevent us from effectively commercializing these cells, which may prove more effective than our own proprietary cells in treating specific diseases.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52"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74"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 Also, if we use alternative non-infringing technology, we may need to demonstrate comparability in subsequent clinical trials.</w:t>
      </w:r>
    </w:p>
    <w:p>
      <w:pPr>
        <w:spacing w:after="0" w:line="74" w:lineRule="exact"/>
        <w:rPr>
          <w:sz w:val="20"/>
          <w:szCs w:val="20"/>
          <w:color w:val="auto"/>
        </w:rPr>
      </w:pPr>
    </w:p>
    <w:p>
      <w:pPr>
        <w:ind w:right="240" w:firstLine="222"/>
        <w:spacing w:after="0" w:line="279" w:lineRule="auto"/>
        <w:rPr>
          <w:sz w:val="20"/>
          <w:szCs w:val="20"/>
          <w:color w:val="auto"/>
        </w:rPr>
      </w:pPr>
      <w:r>
        <w:rPr>
          <w:rFonts w:ascii="Arial" w:cs="Arial" w:eastAsia="Arial" w:hAnsi="Arial"/>
          <w:sz w:val="17"/>
          <w:szCs w:val="17"/>
          <w:color w:val="auto"/>
        </w:rPr>
        <w:t>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7" w:lineRule="exact"/>
        <w:rPr>
          <w:sz w:val="20"/>
          <w:szCs w:val="20"/>
          <w:color w:val="auto"/>
        </w:rPr>
      </w:pPr>
    </w:p>
    <w:p>
      <w:pPr>
        <w:ind w:right="120" w:firstLine="222"/>
        <w:spacing w:after="0" w:line="272" w:lineRule="auto"/>
        <w:rPr>
          <w:sz w:val="20"/>
          <w:szCs w:val="20"/>
          <w:color w:val="auto"/>
        </w:rPr>
      </w:pPr>
      <w:r>
        <w:rPr>
          <w:rFonts w:ascii="Arial" w:cs="Arial" w:eastAsia="Arial" w:hAnsi="Arial"/>
          <w:sz w:val="17"/>
          <w:szCs w:val="17"/>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therapeutic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Pharmaceuticals/Schering AG. Finally, we also expect to compete with a host of smaller biotechnology companies, some of which are privately owned.</w:t>
      </w:r>
    </w:p>
    <w:p>
      <w:pPr>
        <w:spacing w:after="0" w:line="7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believe that our human neural stem cells may have application to many or most of the Lysosomal Storage Diseases (“LSDs”) with CNS involvement. We are currently conducting a Phase I clinical trial at Oregon Health &amp; Safety University to treat infantile and late infantile NCL (also known as Batten disease), which are among the LSDs that affect the CNS. There can be no assurance that the trial will demonstrate either safety or efficacy of our HuCNS-SC product candidate. There are, so far as we know, no approved therapies for NCL or any of the other CNS-specific LSDs. But other companies, including Genzyme, BioMarin and Shire, have products approved to treat peripheral aspects of some of the other LSDs, and other products are in clinical trials.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In addition, new therapies may become available before we successfully develop a cell-based therapeautic for liver disease.</w:t>
      </w:r>
    </w:p>
    <w:p>
      <w:pPr>
        <w:spacing w:after="0" w:line="79"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85"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base our research and development on the use of human stem and progenitor cells obtained from fetal tissue. The federal and state governments and other jurisdictions impose restrictions on the use of fetal tissue, including those incorporated in federal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guidelines for cell procurement. Certain components used to manufacture our stem and progenitor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84" w:lineRule="exact"/>
        <w:rPr>
          <w:sz w:val="20"/>
          <w:szCs w:val="20"/>
          <w:color w:val="auto"/>
        </w:rPr>
      </w:pPr>
    </w:p>
    <w:p>
      <w:pPr>
        <w:ind w:right="60" w:firstLine="215"/>
        <w:spacing w:after="0" w:line="272" w:lineRule="auto"/>
        <w:rPr>
          <w:sz w:val="20"/>
          <w:szCs w:val="20"/>
          <w:color w:val="auto"/>
        </w:rPr>
      </w:pPr>
      <w:r>
        <w:rPr>
          <w:rFonts w:ascii="Arial" w:cs="Arial" w:eastAsia="Arial" w:hAnsi="Arial"/>
          <w:sz w:val="17"/>
          <w:szCs w:val="17"/>
          <w:color w:val="auto"/>
        </w:rPr>
        <w:t>Although we do not use embryonic stem cells, U.S. government regulation and potential regulation of embryonic tissue may lead top researchers to leave the field of stem cell research or the country altogether.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be certain that constraints on the use of embryonic stem cells will not be extended to use of fetal stem or progenitor cells. Moreover, it is possible that concerns regarding research using embryonic stem cells will negatively impact our stock price and our ability to attract collaborators and investors.</w:t>
      </w:r>
    </w:p>
    <w:p>
      <w:pPr>
        <w:spacing w:after="0" w:line="7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may again consider, legislation that would restrict the extent and duration of the market exclusivity of an orphan drug. If enacted, such legislation could prevent us from obtaining some or all of the benefits of the existing statute even if we were to apply for and obtain orphan drug status with respect to a potential product.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chief operating officer, our vice presidents, and the heads of key departments or functions within the company. Although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62"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79"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development, manufacture and commercialization of cell-based therapeutic products expose us to product liability claims, which could lead to substantial liability.</w:t>
      </w:r>
    </w:p>
    <w:p>
      <w:pPr>
        <w:spacing w:after="0" w:line="62"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By developing, manufacturing and, ultimately, commercializing medical products, we are exposed to the risk of product liability claims. Product liability claims against us could entail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manufacture of cell-based therapeutic products is novel, highly regulated, critical to our business, and dependent upon specialized materials.</w:t>
      </w:r>
    </w:p>
    <w:p>
      <w:pPr>
        <w:spacing w:after="0" w:line="14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proliferation and manufacture of cell-based therapeutic products is a complicated and difficult process, dependent upon substantial know-how and subject to the need for continual process improvements. Our manufacturing experience is limited and the technologies are comparatively new. In addition, our ability to scale-up manufacturing to satisfy the requirements of our planned clinical trials is uncertain. Manufacturing disruptions may occur. In addition,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and available from a limited number of suppliers. At present, some of our process materials are single sourced, and the loss of one or more of these sources may adversely affect our business if we are unable to obtain alternative sources at all or upon terms that are acceptable to us.</w:t>
      </w:r>
    </w:p>
    <w:p>
      <w:pPr>
        <w:spacing w:after="0" w:line="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both domestic and foreign markets, sales of potential products are likely to depend in part upon the availability and amounts of reimbursement from third-party health care payor organizations, including government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has not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Government regulation and threatened regulation of embryonic tissue could also harm our ability to attract and retain qualified scientific personnel by causing top researchers to leave the country or the field of stem cell research altogether; and by encouraging the best graduate students to choose other fields that are less vulnerable to changes in regulatory oversight.</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shareholders.</w:t>
      </w:r>
    </w:p>
    <w:p>
      <w:pPr>
        <w:spacing w:after="0" w:line="62"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Our board of directors has the authority to issue shares of preferred stock and to fix the rights, preferences, privileges, and restrictions of these shares without shareholder approval. In addition, we have adopted a rights plan that generally permits our existing shareholders to acquire additional shares at a substantial discount to the market price in the event of certain attempts by third parties to acquire us. These rights, along with certain provisions in our corporate documents and Delaware law, may make it more difficult for a third party to acquire us or discourage a third party from attempting to acquire us, even if the acquisition might be beneficial to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market price of our stock has been and is likely to continue to be highly volatile due to the risks and uncertainties described in this section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 as well as other factors, including:</w:t>
      </w:r>
    </w:p>
    <w:p>
      <w:pPr>
        <w:spacing w:after="0" w:line="10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Over the two-year period ended September 30, 2007, the trading price of our common stock as reported on the Nasdaq Global Market ranged from a high of $6.77 to a low of $1.77. As a result of this volatility, your investment in our stock is subject to substantial risk. Furthermore, the volatility of our stock price could negatively impact our ability to raise capital or acquire businesses or technologies.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shareholders.</w:t>
      </w:r>
    </w:p>
    <w:p>
      <w:pPr>
        <w:spacing w:after="0" w:line="117" w:lineRule="exact"/>
        <w:rPr>
          <w:sz w:val="20"/>
          <w:szCs w:val="20"/>
          <w:color w:val="auto"/>
        </w:rPr>
      </w:pPr>
    </w:p>
    <w:p>
      <w:pPr>
        <w:ind w:right="300" w:firstLine="215"/>
        <w:spacing w:after="0" w:line="276" w:lineRule="auto"/>
        <w:rPr>
          <w:sz w:val="20"/>
          <w:szCs w:val="20"/>
          <w:color w:val="auto"/>
        </w:rPr>
      </w:pPr>
      <w:r>
        <w:rPr>
          <w:rFonts w:ascii="Arial" w:cs="Arial" w:eastAsia="Arial" w:hAnsi="Arial"/>
          <w:sz w:val="17"/>
          <w:szCs w:val="17"/>
          <w:color w:val="auto"/>
        </w:rPr>
        <w:t>As of September 30, 2007, there were outstanding warrants to purchase 1,355,000 shares of our common stock, at a weighted average exercise price of $1.85 per share. As of September 30, 2007, there were also outstanding options to purchase 9,033,794 shares of our common stock, at a weighted average exercise price of $2.36 per share. Moreover, we expect to issue additional options to purchase shares of our common stock to compensate employees, consultants and directors, and may issue additional shares to raise capital, to acquire businesses or technologies, to pay for services, or for other corporate purposes. Any such issuances will have the effect of diluting the interest of current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right="660" w:firstLine="447"/>
        <w:spacing w:after="0" w:line="277" w:lineRule="auto"/>
        <w:rPr>
          <w:sz w:val="20"/>
          <w:szCs w:val="20"/>
          <w:color w:val="auto"/>
        </w:rPr>
      </w:pPr>
      <w:r>
        <w:rPr>
          <w:rFonts w:ascii="Arial" w:cs="Arial" w:eastAsia="Arial" w:hAnsi="Arial"/>
          <w:sz w:val="18"/>
          <w:szCs w:val="18"/>
          <w:color w:val="auto"/>
        </w:rPr>
        <w:t>There were no matters required to be disclosed in a current report on Form 8-K during the fiscal quarter covered by this report that were not so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362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left="240" w:right="8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STEMCELLS, INC.</w:t>
            </w:r>
          </w:p>
        </w:tc>
        <w:tc>
          <w:tcPr>
            <w:tcW w:w="1700" w:type="dxa"/>
            <w:vAlign w:val="bottom"/>
          </w:tcPr>
          <w:p>
            <w:pPr>
              <w:spacing w:after="0"/>
              <w:rPr>
                <w:sz w:val="20"/>
                <w:szCs w:val="20"/>
                <w:color w:val="auto"/>
              </w:rPr>
            </w:pP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(name of Registrant)</w:t>
            </w:r>
          </w:p>
        </w:tc>
        <w:tc>
          <w:tcPr>
            <w:tcW w:w="1700" w:type="dxa"/>
            <w:vAlign w:val="bottom"/>
          </w:tcPr>
          <w:p>
            <w:pPr>
              <w:spacing w:after="0"/>
              <w:rPr>
                <w:sz w:val="19"/>
                <w:szCs w:val="19"/>
                <w:color w:val="auto"/>
              </w:rPr>
            </w:pPr>
          </w:p>
        </w:tc>
      </w:tr>
      <w:tr>
        <w:trPr>
          <w:trHeight w:val="850"/>
        </w:trPr>
        <w:tc>
          <w:tcPr>
            <w:tcW w:w="5500" w:type="dxa"/>
            <w:vAlign w:val="bottom"/>
          </w:tcPr>
          <w:p>
            <w:pPr>
              <w:spacing w:after="0"/>
              <w:rPr>
                <w:sz w:val="20"/>
                <w:szCs w:val="20"/>
                <w:color w:val="auto"/>
              </w:rPr>
            </w:pPr>
            <w:r>
              <w:rPr>
                <w:rFonts w:ascii="Arial" w:cs="Arial" w:eastAsia="Arial" w:hAnsi="Arial"/>
                <w:sz w:val="18"/>
                <w:szCs w:val="18"/>
                <w:color w:val="auto"/>
              </w:rPr>
              <w:t>November 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37</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19"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40" w:firstLine="9"/>
        <w:spacing w:after="0" w:line="264" w:lineRule="auto"/>
        <w:tabs>
          <w:tab w:leader="none" w:pos="13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40" w:firstLine="9"/>
        <w:spacing w:after="0" w:line="264" w:lineRule="auto"/>
        <w:tabs>
          <w:tab w:leader="none" w:pos="13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40" w:right="360" w:firstLine="9"/>
        <w:spacing w:after="0" w:line="342" w:lineRule="auto"/>
        <w:tabs>
          <w:tab w:leader="none" w:pos="138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00" w:hanging="251"/>
        <w:spacing w:after="0"/>
        <w:tabs>
          <w:tab w:leader="none" w:pos="14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w:t>
      </w:r>
    </w:p>
    <w:p>
      <w:pPr>
        <w:spacing w:after="0" w:line="46" w:lineRule="exact"/>
        <w:rPr>
          <w:rFonts w:ascii="Arial" w:cs="Arial" w:eastAsia="Arial" w:hAnsi="Arial"/>
          <w:sz w:val="16"/>
          <w:szCs w:val="16"/>
          <w:color w:val="auto"/>
        </w:rPr>
      </w:pPr>
    </w:p>
    <w:p>
      <w:pPr>
        <w:ind w:left="1140" w:right="60"/>
        <w:spacing w:after="0" w:line="261" w:lineRule="auto"/>
        <w:rPr>
          <w:rFonts w:ascii="Arial" w:cs="Arial" w:eastAsia="Arial" w:hAnsi="Arial"/>
          <w:sz w:val="16"/>
          <w:szCs w:val="16"/>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660" w:right="240" w:hanging="436"/>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580" w:firstLine="9"/>
        <w:spacing w:after="0" w:line="342" w:lineRule="auto"/>
        <w:tabs>
          <w:tab w:leader="none" w:pos="1385"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260" w:firstLine="9"/>
        <w:spacing w:after="0" w:line="277" w:lineRule="auto"/>
        <w:tabs>
          <w:tab w:leader="none" w:pos="13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40" w:firstLine="9"/>
        <w:spacing w:after="0" w:line="264" w:lineRule="auto"/>
        <w:tabs>
          <w:tab w:leader="none" w:pos="13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40" w:firstLine="9"/>
        <w:spacing w:after="0" w:line="264" w:lineRule="auto"/>
        <w:tabs>
          <w:tab w:leader="none" w:pos="13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40" w:right="360" w:firstLine="9"/>
        <w:spacing w:after="0" w:line="342" w:lineRule="auto"/>
        <w:tabs>
          <w:tab w:leader="none" w:pos="138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00" w:hanging="251"/>
        <w:spacing w:after="0"/>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w:t>
      </w:r>
    </w:p>
    <w:p>
      <w:pPr>
        <w:spacing w:after="0" w:line="46" w:lineRule="exact"/>
        <w:rPr>
          <w:rFonts w:ascii="Arial" w:cs="Arial" w:eastAsia="Arial" w:hAnsi="Arial"/>
          <w:sz w:val="16"/>
          <w:szCs w:val="16"/>
          <w:color w:val="auto"/>
        </w:rPr>
      </w:pPr>
    </w:p>
    <w:p>
      <w:pPr>
        <w:ind w:left="1140" w:right="60"/>
        <w:spacing w:after="0" w:line="261" w:lineRule="auto"/>
        <w:rPr>
          <w:rFonts w:ascii="Arial" w:cs="Arial" w:eastAsia="Arial" w:hAnsi="Arial"/>
          <w:sz w:val="16"/>
          <w:szCs w:val="16"/>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660" w:right="240" w:hanging="436"/>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580" w:firstLine="9"/>
        <w:spacing w:after="0" w:line="342" w:lineRule="auto"/>
        <w:tabs>
          <w:tab w:leader="none" w:pos="138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260" w:firstLine="9"/>
        <w:spacing w:after="0" w:line="277" w:lineRule="auto"/>
        <w:tabs>
          <w:tab w:leader="none" w:pos="13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connection with the Quarterly Report on Form 10-Q of StemCells, Inc. (the “Company”) for the period ending September 30, 2007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3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on Form 10-Q of StemCells, Inc. (the “Company”) for the period ending September 30, 2007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2019-12-13T21:51:38Z</dcterms:created>
  <dcterms:modified xsi:type="dcterms:W3CDTF">2019-12-13T21:51:38Z</dcterms:modified>
</cp:coreProperties>
</file>