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November 12, 2008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StemCells,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31115</wp:posOffset>
            </wp:positionV>
            <wp:extent cx="23583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400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90"/>
              </w:rPr>
              <w:t>000-19871</w:t>
            </w:r>
          </w:p>
        </w:tc>
        <w:tc>
          <w:tcPr>
            <w:tcW w:w="3980" w:type="dxa"/>
            <w:vAlign w:val="bottom"/>
            <w:gridSpan w:val="2"/>
          </w:tcPr>
          <w:p>
            <w:pPr>
              <w:jc w:val="right"/>
              <w:ind w:right="1190"/>
              <w:spacing w:after="0"/>
              <w:rPr>
                <w:sz w:val="20"/>
                <w:szCs w:val="20"/>
                <w:color w:val="auto"/>
              </w:rPr>
            </w:pPr>
            <w:r>
              <w:rPr>
                <w:rFonts w:ascii="Arial" w:cs="Arial" w:eastAsia="Arial" w:hAnsi="Arial"/>
                <w:sz w:val="18"/>
                <w:szCs w:val="18"/>
                <w:b w:val="1"/>
                <w:bCs w:val="1"/>
                <w:color w:val="auto"/>
              </w:rPr>
              <w:t>94-3078125</w:t>
            </w:r>
          </w:p>
        </w:tc>
      </w:tr>
      <w:tr>
        <w:trPr>
          <w:trHeight w:val="209"/>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w:t>
            </w:r>
          </w:p>
        </w:tc>
        <w:tc>
          <w:tcPr>
            <w:tcW w:w="58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(Commission</w:t>
            </w:r>
          </w:p>
        </w:tc>
        <w:tc>
          <w:tcPr>
            <w:tcW w:w="56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3440" w:type="dxa"/>
            <w:vAlign w:val="bottom"/>
          </w:tcPr>
          <w:p>
            <w:pPr>
              <w:jc w:val="center"/>
              <w:spacing w:after="0"/>
              <w:rPr>
                <w:sz w:val="20"/>
                <w:szCs w:val="20"/>
                <w:color w:val="auto"/>
              </w:rPr>
            </w:pPr>
            <w:r>
              <w:rPr>
                <w:rFonts w:ascii="Arial" w:cs="Arial" w:eastAsia="Arial" w:hAnsi="Arial"/>
                <w:sz w:val="18"/>
                <w:szCs w:val="18"/>
                <w:color w:val="auto"/>
                <w:w w:val="93"/>
              </w:rPr>
              <w:t>of incorporation)</w:t>
            </w:r>
          </w:p>
        </w:tc>
        <w:tc>
          <w:tcPr>
            <w:tcW w:w="58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4"/>
              </w:rPr>
              <w:t>File Number)</w:t>
            </w: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2"/>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92"/>
              </w:rPr>
              <w:t>3155 Porter Drive, Palo Alto, California</w:t>
            </w:r>
          </w:p>
        </w:tc>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980" w:type="dxa"/>
            <w:vAlign w:val="bottom"/>
            <w:gridSpan w:val="2"/>
          </w:tcPr>
          <w:p>
            <w:pPr>
              <w:jc w:val="right"/>
              <w:ind w:right="1390"/>
              <w:spacing w:after="0"/>
              <w:rPr>
                <w:sz w:val="20"/>
                <w:szCs w:val="20"/>
                <w:color w:val="auto"/>
              </w:rPr>
            </w:pPr>
            <w:r>
              <w:rPr>
                <w:rFonts w:ascii="Arial" w:cs="Arial" w:eastAsia="Arial" w:hAnsi="Arial"/>
                <w:sz w:val="18"/>
                <w:szCs w:val="18"/>
                <w:b w:val="1"/>
                <w:bCs w:val="1"/>
                <w:color w:val="auto"/>
              </w:rPr>
              <w:t>94304</w:t>
            </w:r>
          </w:p>
        </w:tc>
      </w:tr>
      <w:tr>
        <w:trPr>
          <w:trHeight w:val="224"/>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650.475.3100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8.01. Other Events</w:t>
        </w:r>
      </w:hyperlink>
    </w:p>
    <w:p>
      <w:pPr>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9.01. Financial Statements and Exhibits</w:t>
        </w:r>
      </w:hyperlink>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Exhibit Index</w:t>
        </w:r>
      </w:hyperlink>
    </w:p>
    <w:p>
      <w:pPr>
        <w:spacing w:after="0" w:line="231" w:lineRule="auto"/>
        <w:rPr>
          <w:sz w:val="20"/>
          <w:szCs w:val="20"/>
          <w:color w:val="auto"/>
        </w:rPr>
      </w:pPr>
      <w:r>
        <w:rPr>
          <w:rFonts w:ascii="Arial" w:cs="Arial" w:eastAsia="Arial" w:hAnsi="Arial"/>
          <w:sz w:val="22"/>
          <w:szCs w:val="22"/>
          <w:u w:val="single" w:color="auto"/>
          <w:color w:val="0000EE"/>
        </w:rPr>
        <w:t>EX-1.1</w:t>
      </w:r>
    </w:p>
    <w:p>
      <w:pPr>
        <w:spacing w:after="0" w:line="230" w:lineRule="auto"/>
        <w:rPr>
          <w:sz w:val="20"/>
          <w:szCs w:val="20"/>
          <w:color w:val="auto"/>
        </w:rPr>
      </w:pPr>
      <w:r>
        <w:rPr>
          <w:rFonts w:ascii="Arial" w:cs="Arial" w:eastAsia="Arial" w:hAnsi="Arial"/>
          <w:sz w:val="22"/>
          <w:szCs w:val="22"/>
          <w:u w:val="single" w:color="auto"/>
          <w:color w:val="0000EE"/>
        </w:rPr>
        <w:t>EX-4.1</w:t>
      </w:r>
    </w:p>
    <w:p>
      <w:pPr>
        <w:spacing w:after="0" w:line="231" w:lineRule="auto"/>
        <w:rPr>
          <w:sz w:val="20"/>
          <w:szCs w:val="20"/>
          <w:color w:val="auto"/>
        </w:rPr>
      </w:pPr>
      <w:r>
        <w:rPr>
          <w:rFonts w:ascii="Arial" w:cs="Arial" w:eastAsia="Arial" w:hAnsi="Arial"/>
          <w:sz w:val="22"/>
          <w:szCs w:val="22"/>
          <w:u w:val="single" w:color="auto"/>
          <w:color w:val="0000EE"/>
        </w:rPr>
        <w:t>EX-5.1</w:t>
      </w:r>
    </w:p>
    <w:p>
      <w:pPr>
        <w:spacing w:after="0" w:line="231" w:lineRule="auto"/>
        <w:rPr>
          <w:sz w:val="20"/>
          <w:szCs w:val="20"/>
          <w:color w:val="auto"/>
        </w:rPr>
      </w:pPr>
      <w:r>
        <w:rPr>
          <w:rFonts w:ascii="Arial" w:cs="Arial" w:eastAsia="Arial" w:hAnsi="Arial"/>
          <w:sz w:val="22"/>
          <w:szCs w:val="22"/>
          <w:u w:val="single" w:color="auto"/>
          <w:color w:val="0000EE"/>
        </w:rPr>
        <w:t>EX-99.1</w:t>
      </w:r>
    </w:p>
    <w:p>
      <w:pPr>
        <w:spacing w:after="0"/>
        <w:rPr>
          <w:sz w:val="20"/>
          <w:szCs w:val="20"/>
          <w:color w:val="auto"/>
        </w:rPr>
      </w:pPr>
      <w:r>
        <w:rPr>
          <w:rFonts w:ascii="Arial" w:cs="Arial" w:eastAsia="Arial" w:hAnsi="Arial"/>
          <w:sz w:val="22"/>
          <w:szCs w:val="22"/>
          <w:u w:val="single" w:color="auto"/>
          <w:color w:val="0000EE"/>
        </w:rPr>
        <w:t>EX-99.2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jc w:val="both"/>
        <w:ind w:right="20" w:firstLine="225"/>
        <w:spacing w:after="0" w:line="259" w:lineRule="auto"/>
        <w:rPr>
          <w:sz w:val="20"/>
          <w:szCs w:val="20"/>
          <w:color w:val="auto"/>
        </w:rPr>
      </w:pPr>
      <w:r>
        <w:rPr>
          <w:rFonts w:ascii="Arial" w:cs="Arial" w:eastAsia="Arial" w:hAnsi="Arial"/>
          <w:sz w:val="18"/>
          <w:szCs w:val="18"/>
          <w:color w:val="auto"/>
        </w:rPr>
        <w:t>On July 18, 2008, the Securities and Exchange Commission (the “Commission”) declared effective the Registration Statement on Form S-3 (File No. 333-151891) of StemCells, Inc. (the “Company”) filed on June 24, 2008 with the Commission (the “Registration Statement”). The Registration Statement permits the Company to issue, in one or more offerings, shares of common stock, preferred stock, warrants or debt securities at an aggregate initial offering price not to exceed $100,000,000.</w:t>
      </w:r>
    </w:p>
    <w:p>
      <w:pPr>
        <w:spacing w:after="0" w:line="79"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On November 12, 2008, the Company entered into a placement agency agreement with Susquehanna Financial Group, LLLP and Dawson James Securities, Inc. as the exclusive co-placement agents, relating to the sale and issuance by the Company to certain investors (the “Purchasers”) of 13,793,104 units (the “Units”), with each Unit consisting of (i) one share of the Company’s common stock, par value $0.01 per share (“Common Stock”) and (ii) a warrant to purchase 0.75 of a share of Common Stock, at a purchase price of $1.45 per Unit, pursuant to the Registration Statement (the “Offering”). In the aggregate, the Company would issue 13,793,104 shares of Common Stock and warrants to purchase up to 10,344,828 shares of Common Stock (the “Warrants”), pursuant to the terms of the placement agency agreement and the related subscription agreements. The Warrants will generally be exercisable for a period of five years beginning six months after the date of issuance, and will carry a price per share equal to $2.30, or 110% of the closing price of the Common Stock on November 12, 2008 as reported by NASDAQ.</w:t>
      </w:r>
    </w:p>
    <w:p>
      <w:pPr>
        <w:spacing w:after="0" w:line="71" w:lineRule="exact"/>
        <w:rPr>
          <w:sz w:val="20"/>
          <w:szCs w:val="20"/>
          <w:color w:val="auto"/>
        </w:rPr>
      </w:pPr>
    </w:p>
    <w:p>
      <w:pPr>
        <w:ind w:right="40" w:firstLine="222"/>
        <w:spacing w:after="0" w:line="312" w:lineRule="auto"/>
        <w:rPr>
          <w:sz w:val="20"/>
          <w:szCs w:val="20"/>
          <w:color w:val="auto"/>
        </w:rPr>
      </w:pPr>
      <w:r>
        <w:rPr>
          <w:rFonts w:ascii="Arial" w:cs="Arial" w:eastAsia="Arial" w:hAnsi="Arial"/>
          <w:sz w:val="16"/>
          <w:szCs w:val="16"/>
          <w:color w:val="auto"/>
        </w:rPr>
        <w:t>The Company anticipates raising gross proceeds of $20 million. The net offering proceeds to the Company from the sale of the Units, after deducting the placement agents’ fees and other estimated offering expenses payable by the Company, are expected to be approximately $18.5 million. The Offering is expected close on or about November 17, 2008, or on such later date as the Company and the Purchasers may agree, subject to customary closing conditions.</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connection with the Offering, the Company is filing as exhibits to this Current Report on Form 8-K the following documents:</w:t>
      </w:r>
    </w:p>
    <w:p>
      <w:pPr>
        <w:spacing w:after="0" w:line="117" w:lineRule="exact"/>
        <w:rPr>
          <w:sz w:val="20"/>
          <w:szCs w:val="20"/>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as Exhibit 1.1, the Placement Agency Agreement;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as Exhibit 4.1, the Form of Warrant;</w:t>
      </w:r>
    </w:p>
    <w:p>
      <w:pPr>
        <w:spacing w:after="0" w:line="130" w:lineRule="exact"/>
        <w:rPr>
          <w:rFonts w:ascii="Arial" w:cs="Arial" w:eastAsia="Arial" w:hAnsi="Arial"/>
          <w:sz w:val="18"/>
          <w:szCs w:val="18"/>
          <w:b w:val="1"/>
          <w:bCs w:val="1"/>
          <w:color w:val="auto"/>
        </w:rPr>
      </w:pPr>
    </w:p>
    <w:p>
      <w:pPr>
        <w:ind w:left="660" w:right="14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as Exhibits 5.1 and 23.1, the legal opinion and consent of Ropes &amp; Gray LLP relating to the shares of Common Stock and the warrants to purchase Common Stock to be issued and sold in the Offering;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as Exhibit 99.1, the Form of Subscription Agreement.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as Exhibit 99.2, the Press Release.</w:t>
      </w:r>
    </w:p>
    <w:p>
      <w:pPr>
        <w:spacing w:after="0" w:line="117" w:lineRule="exact"/>
        <w:rPr>
          <w:sz w:val="20"/>
          <w:szCs w:val="20"/>
          <w:color w:val="auto"/>
        </w:rPr>
      </w:pPr>
    </w:p>
    <w:p>
      <w:pPr>
        <w:ind w:right="80" w:firstLine="222"/>
        <w:spacing w:after="0" w:line="264" w:lineRule="auto"/>
        <w:rPr>
          <w:sz w:val="20"/>
          <w:szCs w:val="20"/>
          <w:color w:val="auto"/>
        </w:rPr>
      </w:pPr>
      <w:r>
        <w:rPr>
          <w:rFonts w:ascii="Arial" w:cs="Arial" w:eastAsia="Arial" w:hAnsi="Arial"/>
          <w:sz w:val="18"/>
          <w:szCs w:val="18"/>
          <w:color w:val="auto"/>
        </w:rPr>
        <w:t>The foregoing summary of the terms of the subscription agreement, the warrant and the placement agency agreement is subject to, and qualified in its entirety by, the form of subscription agreement, the form of warrant and the placement agency agreement, which are attached to this Current Report on Form 8-K as Exhibits 99.1, 4.1 and 1.1 respectively and are incorporated herein by reference.</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Company’s press release announcing the Offering is filed as Exhibit 99.2 to this Current Report on Form 8-K,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421640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40" w:type="dxa"/>
            <w:vAlign w:val="bottom"/>
          </w:tcPr>
          <w:p>
            <w:pPr>
              <w:spacing w:after="0"/>
              <w:rPr>
                <w:sz w:val="14"/>
                <w:szCs w:val="14"/>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411"/>
        </w:trPr>
        <w:tc>
          <w:tcPr>
            <w:tcW w:w="920" w:type="dxa"/>
            <w:vAlign w:val="bottom"/>
          </w:tcPr>
          <w:p>
            <w:pPr>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Placement Agency Agreement dated as of November 12, 2008, by and between StemCells, Inc. and Susquehanna Financial Group, LLLP and</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Dawson James Securities as placement agents.</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Warrant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Opinion of Ropes &amp; Gray LLP.</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Ropes &amp; Gray LLP (contained in Exhibit 5.1 above).</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Subscription Agreement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99.2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Press release of StemCells, Inc. dated November 12, 2008.</w:t>
            </w:r>
          </w:p>
        </w:tc>
      </w:tr>
      <w:tr>
        <w:trPr>
          <w:trHeight w:val="632"/>
        </w:trPr>
        <w:tc>
          <w:tcPr>
            <w:tcW w:w="9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5240" w:val="left"/>
        </w:tabs>
        <w:rPr>
          <w:sz w:val="20"/>
          <w:szCs w:val="20"/>
          <w:color w:val="auto"/>
        </w:rPr>
      </w:pPr>
      <w:r>
        <w:rPr>
          <w:rFonts w:ascii="Arial" w:cs="Arial" w:eastAsia="Arial" w:hAnsi="Arial"/>
          <w:sz w:val="18"/>
          <w:szCs w:val="18"/>
          <w:color w:val="auto"/>
        </w:rPr>
        <w:t>November 12, 2008</w:t>
      </w:r>
      <w:r>
        <w:rPr>
          <w:sz w:val="20"/>
          <w:szCs w:val="20"/>
          <w:color w:val="auto"/>
        </w:rPr>
        <w:tab/>
      </w:r>
      <w:r>
        <w:rPr>
          <w:rFonts w:ascii="Arial" w:cs="Arial" w:eastAsia="Arial" w:hAnsi="Arial"/>
          <w:sz w:val="16"/>
          <w:szCs w:val="16"/>
          <w:color w:val="auto"/>
        </w:rPr>
        <w:t>StemCells, Inc.</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Ken Stratton</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Ken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-130810</wp:posOffset>
            </wp:positionV>
            <wp:extent cx="28727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5260"/>
        <w:spacing w:after="0"/>
        <w:tabs>
          <w:tab w:leader="none" w:pos="5820" w:val="left"/>
        </w:tabs>
        <w:rPr>
          <w:sz w:val="20"/>
          <w:szCs w:val="20"/>
          <w:color w:val="auto"/>
        </w:rPr>
      </w:pPr>
      <w:r>
        <w:rPr>
          <w:rFonts w:ascii="Arial" w:cs="Arial" w:eastAsia="Arial" w:hAnsi="Arial"/>
          <w:sz w:val="18"/>
          <w:szCs w:val="18"/>
          <w:color w:val="auto"/>
        </w:rPr>
        <w:t>Title:</w:t>
        <w:tab/>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ind w:left="40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9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24"/>
                <w:szCs w:val="24"/>
                <w:color w:val="auto"/>
              </w:rPr>
            </w:pPr>
          </w:p>
        </w:tc>
        <w:tc>
          <w:tcPr>
            <w:tcW w:w="10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920" w:type="dxa"/>
            <w:vAlign w:val="bottom"/>
          </w:tcPr>
          <w:p>
            <w:pPr>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Placement Agency Agreement dated as of November 12, 2008, by and between StemCells, Inc. and Susquehanna Financial Group, LLLP and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Dawson James Securities as placement agents.</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Warrant</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Opinion of Ropes &amp; Gray LLP.</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Ropes &amp; Gray LLP (contained in Exhibit 5.1 above).</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Subscription Agreement</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99.2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Press Release of StemCells, Inc., dated November 12, 2008.</w:t>
            </w:r>
          </w:p>
        </w:tc>
        <w:tc>
          <w:tcPr>
            <w:tcW w:w="0" w:type="dxa"/>
            <w:vAlign w:val="bottom"/>
          </w:tcPr>
          <w:p>
            <w:pPr>
              <w:spacing w:after="0"/>
              <w:rPr>
                <w:sz w:val="1"/>
                <w:szCs w:val="1"/>
                <w:color w:val="auto"/>
              </w:rPr>
            </w:pPr>
          </w:p>
        </w:tc>
      </w:tr>
    </w:tbl>
    <w:p>
      <w:pPr>
        <w:sectPr>
          <w:pgSz w:w="11900" w:h="16838" w:orient="portrait"/>
          <w:cols w:equalWidth="0" w:num="1">
            <w:col w:w="11420"/>
          </w:cols>
          <w:pgMar w:left="240" w:top="419"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t>Exhibit 1.1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TEM</w:t>
      </w:r>
      <w:r>
        <w:rPr>
          <w:rFonts w:ascii="Arial" w:cs="Arial" w:eastAsia="Arial" w:hAnsi="Arial"/>
          <w:sz w:val="18"/>
          <w:szCs w:val="18"/>
          <w:b w:val="1"/>
          <w:bCs w:val="1"/>
          <w:color w:val="auto"/>
        </w:rPr>
        <w:t>C</w:t>
      </w:r>
      <w:r>
        <w:rPr>
          <w:rFonts w:ascii="Arial" w:cs="Arial" w:eastAsia="Arial" w:hAnsi="Arial"/>
          <w:sz w:val="12"/>
          <w:szCs w:val="12"/>
          <w:b w:val="1"/>
          <w:bCs w:val="1"/>
          <w:color w:val="auto"/>
        </w:rPr>
        <w:t>ELLS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13,793,104 Shares of Common Stock</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Warrants to Purchase 10,344,828 Shares of Common Stock</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LACEMENT</w:t>
      </w:r>
      <w:r>
        <w:rPr>
          <w:rFonts w:ascii="Arial" w:cs="Arial" w:eastAsia="Arial" w:hAnsi="Arial"/>
          <w:sz w:val="18"/>
          <w:szCs w:val="18"/>
          <w:color w:val="auto"/>
        </w:rPr>
        <w:t xml:space="preserve"> A</w:t>
      </w:r>
      <w:r>
        <w:rPr>
          <w:rFonts w:ascii="Arial" w:cs="Arial" w:eastAsia="Arial" w:hAnsi="Arial"/>
          <w:sz w:val="12"/>
          <w:szCs w:val="12"/>
          <w:color w:val="auto"/>
        </w:rPr>
        <w:t>GENCY</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November 12,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t>Exhibit 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LACEMENT</w:t>
      </w:r>
      <w:r>
        <w:rPr>
          <w:rFonts w:ascii="Arial" w:cs="Arial" w:eastAsia="Arial" w:hAnsi="Arial"/>
          <w:sz w:val="18"/>
          <w:szCs w:val="18"/>
          <w:color w:val="auto"/>
        </w:rPr>
        <w:t xml:space="preserve"> A</w:t>
      </w:r>
      <w:r>
        <w:rPr>
          <w:rFonts w:ascii="Arial" w:cs="Arial" w:eastAsia="Arial" w:hAnsi="Arial"/>
          <w:sz w:val="12"/>
          <w:szCs w:val="12"/>
          <w:color w:val="auto"/>
        </w:rPr>
        <w:t>GENCY</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12,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Susquehanna Financial Group, LLLP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401 City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220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Bala Cynwyd, PA 19004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Dawson James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925 South Federal Highway, 6th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Boca Raton, FL 33432</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 w:firstLine="450"/>
        <w:spacing w:after="0" w:line="272" w:lineRule="auto"/>
        <w:rPr>
          <w:sz w:val="20"/>
          <w:szCs w:val="20"/>
          <w:color w:val="auto"/>
        </w:rPr>
      </w:pPr>
      <w:r>
        <w:rPr>
          <w:rFonts w:ascii="Arial" w:cs="Arial" w:eastAsia="Arial" w:hAnsi="Arial"/>
          <w:sz w:val="17"/>
          <w:szCs w:val="17"/>
          <w:color w:val="auto"/>
        </w:rPr>
        <w:t>StemCells,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proposes to issue and sell to certain investors (collectively, the “</w:t>
      </w:r>
      <w:r>
        <w:rPr>
          <w:rFonts w:ascii="Arial" w:cs="Arial" w:eastAsia="Arial" w:hAnsi="Arial"/>
          <w:sz w:val="17"/>
          <w:szCs w:val="17"/>
          <w:u w:val="single" w:color="auto"/>
          <w:color w:val="auto"/>
        </w:rPr>
        <w:t>Investors</w:t>
      </w:r>
      <w:r>
        <w:rPr>
          <w:rFonts w:ascii="Arial" w:cs="Arial" w:eastAsia="Arial" w:hAnsi="Arial"/>
          <w:sz w:val="17"/>
          <w:szCs w:val="17"/>
          <w:color w:val="auto"/>
        </w:rPr>
        <w:t>”) up to an aggregate of 13,793,104 shares (the “</w:t>
      </w:r>
      <w:r>
        <w:rPr>
          <w:rFonts w:ascii="Arial" w:cs="Arial" w:eastAsia="Arial" w:hAnsi="Arial"/>
          <w:sz w:val="17"/>
          <w:szCs w:val="17"/>
          <w:u w:val="single" w:color="auto"/>
          <w:color w:val="auto"/>
        </w:rPr>
        <w:t>Shares</w:t>
      </w:r>
      <w:r>
        <w:rPr>
          <w:rFonts w:ascii="Arial" w:cs="Arial" w:eastAsia="Arial" w:hAnsi="Arial"/>
          <w:sz w:val="17"/>
          <w:szCs w:val="17"/>
          <w:color w:val="auto"/>
        </w:rPr>
        <w:t>”) of Common Stock, $0.01 par value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of the Company. In addition, together with each Share sold, the Company shall issue and sell to each Investor a warrant substantially in the form the warrant attached as Annex I to Exhibit A hereto to purchase 0.75 shares of the Company’s Common Stock per each share issued to such Investor (the “</w:t>
      </w:r>
      <w:r>
        <w:rPr>
          <w:rFonts w:ascii="Arial" w:cs="Arial" w:eastAsia="Arial" w:hAnsi="Arial"/>
          <w:sz w:val="17"/>
          <w:szCs w:val="17"/>
          <w:u w:val="single" w:color="auto"/>
          <w:color w:val="auto"/>
        </w:rPr>
        <w:t>Warrants</w:t>
      </w:r>
      <w:r>
        <w:rPr>
          <w:rFonts w:ascii="Arial" w:cs="Arial" w:eastAsia="Arial" w:hAnsi="Arial"/>
          <w:sz w:val="17"/>
          <w:szCs w:val="17"/>
          <w:color w:val="auto"/>
        </w:rPr>
        <w:t>”). The Shares and the Warrants are collectively referred to herein as the “</w:t>
      </w:r>
      <w:r>
        <w:rPr>
          <w:rFonts w:ascii="Arial" w:cs="Arial" w:eastAsia="Arial" w:hAnsi="Arial"/>
          <w:sz w:val="17"/>
          <w:szCs w:val="17"/>
          <w:u w:val="single" w:color="auto"/>
          <w:color w:val="auto"/>
        </w:rPr>
        <w:t>Securities</w:t>
      </w:r>
      <w:r>
        <w:rPr>
          <w:rFonts w:ascii="Arial" w:cs="Arial" w:eastAsia="Arial" w:hAnsi="Arial"/>
          <w:sz w:val="17"/>
          <w:szCs w:val="17"/>
          <w:color w:val="auto"/>
        </w:rPr>
        <w:t>.” The Company desires to engage Susquehanna Financial Group, LLLP (“</w:t>
      </w:r>
      <w:r>
        <w:rPr>
          <w:rFonts w:ascii="Arial" w:cs="Arial" w:eastAsia="Arial" w:hAnsi="Arial"/>
          <w:sz w:val="17"/>
          <w:szCs w:val="17"/>
          <w:u w:val="single" w:color="auto"/>
          <w:color w:val="auto"/>
        </w:rPr>
        <w:t>Susquehanna</w:t>
      </w:r>
      <w:r>
        <w:rPr>
          <w:rFonts w:ascii="Arial" w:cs="Arial" w:eastAsia="Arial" w:hAnsi="Arial"/>
          <w:sz w:val="17"/>
          <w:szCs w:val="17"/>
          <w:color w:val="auto"/>
        </w:rPr>
        <w:t>”) and Dawson James Securities, Inc. (“</w:t>
      </w:r>
      <w:r>
        <w:rPr>
          <w:rFonts w:ascii="Arial" w:cs="Arial" w:eastAsia="Arial" w:hAnsi="Arial"/>
          <w:sz w:val="17"/>
          <w:szCs w:val="17"/>
          <w:u w:val="single" w:color="auto"/>
          <w:color w:val="auto"/>
        </w:rPr>
        <w:t>Dawson James</w:t>
      </w:r>
      <w:r>
        <w:rPr>
          <w:rFonts w:ascii="Arial" w:cs="Arial" w:eastAsia="Arial" w:hAnsi="Arial"/>
          <w:sz w:val="17"/>
          <w:szCs w:val="17"/>
          <w:color w:val="auto"/>
        </w:rPr>
        <w:t>”) as the exclusive placement agents (collectively, the “</w:t>
      </w:r>
      <w:r>
        <w:rPr>
          <w:rFonts w:ascii="Arial" w:cs="Arial" w:eastAsia="Arial" w:hAnsi="Arial"/>
          <w:sz w:val="17"/>
          <w:szCs w:val="17"/>
          <w:u w:val="single" w:color="auto"/>
          <w:color w:val="auto"/>
        </w:rPr>
        <w:t>Placement Agents</w:t>
      </w:r>
      <w:r>
        <w:rPr>
          <w:rFonts w:ascii="Arial" w:cs="Arial" w:eastAsia="Arial" w:hAnsi="Arial"/>
          <w:sz w:val="17"/>
          <w:szCs w:val="17"/>
          <w:color w:val="auto"/>
        </w:rPr>
        <w:t>”) in connection with such issuance and sale. The Securities are described in the Prospectus which is referred to below.</w:t>
      </w:r>
    </w:p>
    <w:p>
      <w:pPr>
        <w:spacing w:after="0" w:line="70" w:lineRule="exact"/>
        <w:rPr>
          <w:sz w:val="20"/>
          <w:szCs w:val="20"/>
          <w:color w:val="auto"/>
        </w:rPr>
      </w:pPr>
    </w:p>
    <w:p>
      <w:pPr>
        <w:ind w:right="180" w:firstLine="447"/>
        <w:spacing w:after="0" w:line="302" w:lineRule="auto"/>
        <w:rPr>
          <w:sz w:val="20"/>
          <w:szCs w:val="20"/>
          <w:color w:val="auto"/>
        </w:rPr>
      </w:pPr>
      <w:r>
        <w:rPr>
          <w:rFonts w:ascii="Arial" w:cs="Arial" w:eastAsia="Arial" w:hAnsi="Arial"/>
          <w:sz w:val="16"/>
          <w:szCs w:val="16"/>
          <w:color w:val="auto"/>
        </w:rPr>
        <w:t>The Company has prepared and filed, in accordance with the provisions of the Securities Act of 1933, as amended, and the rules and regulations thereunder (collectively, the “</w:t>
      </w:r>
      <w:r>
        <w:rPr>
          <w:rFonts w:ascii="Arial" w:cs="Arial" w:eastAsia="Arial" w:hAnsi="Arial"/>
          <w:sz w:val="16"/>
          <w:szCs w:val="16"/>
          <w:u w:val="single" w:color="auto"/>
          <w:color w:val="auto"/>
        </w:rPr>
        <w:t>Act</w:t>
      </w:r>
      <w:r>
        <w:rPr>
          <w:rFonts w:ascii="Arial" w:cs="Arial" w:eastAsia="Arial" w:hAnsi="Arial"/>
          <w:sz w:val="16"/>
          <w:szCs w:val="16"/>
          <w:color w:val="auto"/>
        </w:rPr>
        <w:t>”),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a registration statement on Form S-3 (File No. 333-151891) under the Act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Amendments to such registration statement, if necessary or appropriate, have been similarly prepared and filed with the Commission in accordance with the Act. Such registration statement, as so amended, has become effective under the Act.</w:t>
      </w:r>
    </w:p>
    <w:p>
      <w:pPr>
        <w:spacing w:after="0" w:line="46" w:lineRule="exact"/>
        <w:rPr>
          <w:sz w:val="20"/>
          <w:szCs w:val="20"/>
          <w:color w:val="auto"/>
        </w:rPr>
      </w:pPr>
    </w:p>
    <w:p>
      <w:pPr>
        <w:ind w:right="40" w:firstLine="450"/>
        <w:spacing w:after="0" w:line="291" w:lineRule="auto"/>
        <w:rPr>
          <w:sz w:val="20"/>
          <w:szCs w:val="20"/>
          <w:color w:val="auto"/>
        </w:rPr>
      </w:pPr>
      <w:r>
        <w:rPr>
          <w:rFonts w:ascii="Arial" w:cs="Arial" w:eastAsia="Arial" w:hAnsi="Arial"/>
          <w:sz w:val="16"/>
          <w:szCs w:val="16"/>
          <w:color w:val="auto"/>
        </w:rPr>
        <w:t>Except where the context otherwise requires,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as used herein, means the registration statement, as amended at the time of such registration statement’s effectiveness for purposes of Section 11 of the Act, as such section applies to the Placement Agents (the “</w:t>
      </w:r>
      <w:r>
        <w:rPr>
          <w:rFonts w:ascii="Arial" w:cs="Arial" w:eastAsia="Arial" w:hAnsi="Arial"/>
          <w:sz w:val="16"/>
          <w:szCs w:val="16"/>
          <w:u w:val="single" w:color="auto"/>
          <w:color w:val="auto"/>
        </w:rPr>
        <w:t>Effective Time</w:t>
      </w:r>
      <w:r>
        <w:rPr>
          <w:rFonts w:ascii="Arial" w:cs="Arial" w:eastAsia="Arial" w:hAnsi="Arial"/>
          <w:sz w:val="16"/>
          <w:szCs w:val="16"/>
          <w:color w:val="auto"/>
        </w:rPr>
        <w:t>”), including</w:t>
      </w:r>
    </w:p>
    <w:p>
      <w:pPr>
        <w:jc w:val="both"/>
        <w:ind w:right="140" w:firstLine="8"/>
        <w:spacing w:after="0" w:line="302" w:lineRule="auto"/>
        <w:tabs>
          <w:tab w:leader="none" w:pos="215" w:val="left"/>
        </w:tabs>
        <w:numPr>
          <w:ilvl w:val="0"/>
          <w:numId w:val="3"/>
        </w:numPr>
        <w:rPr>
          <w:rFonts w:ascii="Arial" w:cs="Arial" w:eastAsia="Arial" w:hAnsi="Arial"/>
          <w:sz w:val="16"/>
          <w:szCs w:val="16"/>
          <w:color w:val="auto"/>
        </w:rPr>
      </w:pPr>
      <w:r>
        <w:rPr>
          <w:rFonts w:ascii="Arial" w:cs="Arial" w:eastAsia="Arial" w:hAnsi="Arial"/>
          <w:sz w:val="16"/>
          <w:szCs w:val="16"/>
          <w:color w:val="auto"/>
        </w:rPr>
        <w:t>all documents filed as a part thereof or incorporated or deemed to be incorporated by reference therein, (ii) any information contained or incorporated by reference in a prospectus filed with the Commission pursuant to Rule 424(b) under the Act, to the extent such information is deemed, pursuant to Rule 430B or Rule 430C under the Act, to be part of the registration statement at the Effective Time, and (iii) any registration statement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363220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to register the offer and sale of Securities pursuant to Rule 462(b) under the Act.</w:t>
      </w:r>
    </w:p>
    <w:p>
      <w:pPr>
        <w:spacing w:after="0" w:line="117" w:lineRule="exact"/>
        <w:rPr>
          <w:sz w:val="20"/>
          <w:szCs w:val="20"/>
          <w:color w:val="auto"/>
        </w:rPr>
      </w:pPr>
    </w:p>
    <w:p>
      <w:pPr>
        <w:ind w:right="160" w:firstLine="450"/>
        <w:spacing w:after="0" w:line="259" w:lineRule="auto"/>
        <w:rPr>
          <w:sz w:val="20"/>
          <w:szCs w:val="20"/>
          <w:color w:val="auto"/>
        </w:rPr>
      </w:pPr>
      <w:r>
        <w:rPr>
          <w:rFonts w:ascii="Arial" w:cs="Arial" w:eastAsia="Arial" w:hAnsi="Arial"/>
          <w:sz w:val="18"/>
          <w:szCs w:val="18"/>
          <w:color w:val="auto"/>
        </w:rPr>
        <w:t>Except where the context otherwise requires, “</w:t>
      </w:r>
      <w:r>
        <w:rPr>
          <w:rFonts w:ascii="Arial" w:cs="Arial" w:eastAsia="Arial" w:hAnsi="Arial"/>
          <w:sz w:val="18"/>
          <w:szCs w:val="18"/>
          <w:u w:val="single" w:color="auto"/>
          <w:color w:val="auto"/>
        </w:rPr>
        <w:t>Prospectus Supplement</w:t>
      </w:r>
      <w:r>
        <w:rPr>
          <w:rFonts w:ascii="Arial" w:cs="Arial" w:eastAsia="Arial" w:hAnsi="Arial"/>
          <w:sz w:val="18"/>
          <w:szCs w:val="18"/>
          <w:color w:val="auto"/>
        </w:rPr>
        <w:t>,” as used herein, means the final prospectus supplement, relating to the Securities, filed by the Company with the Commission pursuant to Rule 424(b) under the Act on or before the second business day after the date hereof (or such earlier time as may be required under the Act), in the form furnished by the Company to you, for use by the Placement Agents and by dealers in connection with the offering of the Securities.</w:t>
      </w:r>
    </w:p>
    <w:p>
      <w:pPr>
        <w:spacing w:after="0" w:line="79" w:lineRule="exact"/>
        <w:rPr>
          <w:sz w:val="20"/>
          <w:szCs w:val="20"/>
          <w:color w:val="auto"/>
        </w:rPr>
      </w:pPr>
    </w:p>
    <w:p>
      <w:pPr>
        <w:ind w:right="500" w:firstLine="450"/>
        <w:spacing w:after="0" w:line="277" w:lineRule="auto"/>
        <w:rPr>
          <w:sz w:val="20"/>
          <w:szCs w:val="20"/>
          <w:color w:val="auto"/>
        </w:rPr>
      </w:pPr>
      <w:r>
        <w:rPr>
          <w:rFonts w:ascii="Arial" w:cs="Arial" w:eastAsia="Arial" w:hAnsi="Arial"/>
          <w:sz w:val="18"/>
          <w:szCs w:val="18"/>
          <w:color w:val="auto"/>
        </w:rPr>
        <w:t>Except where the context otherwise requires, “</w:t>
      </w:r>
      <w:r>
        <w:rPr>
          <w:rFonts w:ascii="Arial" w:cs="Arial" w:eastAsia="Arial" w:hAnsi="Arial"/>
          <w:sz w:val="18"/>
          <w:szCs w:val="18"/>
          <w:u w:val="single" w:color="auto"/>
          <w:color w:val="auto"/>
        </w:rPr>
        <w:t>Prospectus</w:t>
      </w:r>
      <w:r>
        <w:rPr>
          <w:rFonts w:ascii="Arial" w:cs="Arial" w:eastAsia="Arial" w:hAnsi="Arial"/>
          <w:sz w:val="18"/>
          <w:szCs w:val="18"/>
          <w:color w:val="auto"/>
        </w:rPr>
        <w:t>,” as used herein, means the Prospectus Supplement together with the basic prospectus attached to or used with the Prospectus Supplement.</w:t>
      </w:r>
    </w:p>
    <w:p>
      <w:pPr>
        <w:spacing w:after="0" w:line="62" w:lineRule="exact"/>
        <w:rPr>
          <w:sz w:val="20"/>
          <w:szCs w:val="20"/>
          <w:color w:val="auto"/>
        </w:rPr>
      </w:pPr>
    </w:p>
    <w:p>
      <w:pPr>
        <w:ind w:right="80" w:firstLine="450"/>
        <w:spacing w:after="0" w:line="277" w:lineRule="auto"/>
        <w:rPr>
          <w:sz w:val="20"/>
          <w:szCs w:val="20"/>
          <w:color w:val="auto"/>
        </w:rPr>
      </w:pPr>
      <w:r>
        <w:rPr>
          <w:rFonts w:ascii="Arial" w:cs="Arial" w:eastAsia="Arial" w:hAnsi="Arial"/>
          <w:sz w:val="18"/>
          <w:szCs w:val="18"/>
          <w:color w:val="auto"/>
        </w:rPr>
        <w:t>Except where the context otherwise requires, “</w:t>
      </w:r>
      <w:r>
        <w:rPr>
          <w:rFonts w:ascii="Arial" w:cs="Arial" w:eastAsia="Arial" w:hAnsi="Arial"/>
          <w:sz w:val="18"/>
          <w:szCs w:val="18"/>
          <w:u w:val="single" w:color="auto"/>
          <w:color w:val="auto"/>
        </w:rPr>
        <w:t>Basic Prospectus</w:t>
      </w:r>
      <w:r>
        <w:rPr>
          <w:rFonts w:ascii="Arial" w:cs="Arial" w:eastAsia="Arial" w:hAnsi="Arial"/>
          <w:sz w:val="18"/>
          <w:szCs w:val="18"/>
          <w:color w:val="auto"/>
        </w:rPr>
        <w:t>,” as used herein, means the basic prospectus included in the Registration Statement at the time the Registration Statement became effective under the Act.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Free Writing Prospectuses</w:t>
      </w:r>
      <w:r>
        <w:rPr>
          <w:rFonts w:ascii="Arial" w:cs="Arial" w:eastAsia="Arial" w:hAnsi="Arial"/>
          <w:sz w:val="18"/>
          <w:szCs w:val="18"/>
          <w:color w:val="auto"/>
        </w:rPr>
        <w:t xml:space="preserve">,” as used herein, means the documents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w:t>
      </w:r>
    </w:p>
    <w:p>
      <w:pPr>
        <w:spacing w:after="0" w:line="117"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with respect to any Investor, means the time of receipt and acceptance by the Company of an executed Subscription Agreement (as defined below) from such Investor.</w:t>
      </w:r>
    </w:p>
    <w:p>
      <w:pPr>
        <w:spacing w:after="0" w:line="62"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Any reference herein to the registration statement, the Registration Statement, the Basic Prospectus, the Prospectus Supplement, the Prospectus or any Permitted Free Writing Prospectus shall be deemed to refer to and include the documents, if any, incorporated by reference, or deemed to be incorporated by reference, therein (the “</w:t>
      </w:r>
      <w:r>
        <w:rPr>
          <w:rFonts w:ascii="Arial" w:cs="Arial" w:eastAsia="Arial" w:hAnsi="Arial"/>
          <w:sz w:val="17"/>
          <w:szCs w:val="17"/>
          <w:u w:val="single" w:color="auto"/>
          <w:color w:val="auto"/>
        </w:rPr>
        <w:t>Incorporated Documents</w:t>
      </w:r>
      <w:r>
        <w:rPr>
          <w:rFonts w:ascii="Arial" w:cs="Arial" w:eastAsia="Arial" w:hAnsi="Arial"/>
          <w:sz w:val="17"/>
          <w:szCs w:val="17"/>
          <w:color w:val="auto"/>
        </w:rPr>
        <w:t>”), including, unless the context otherwise requires, the documents, if any, filed as exhibits to such Incorporated Documents. Any reference herein to the terms “</w:t>
      </w:r>
      <w:r>
        <w:rPr>
          <w:rFonts w:ascii="Arial" w:cs="Arial" w:eastAsia="Arial" w:hAnsi="Arial"/>
          <w:sz w:val="17"/>
          <w:szCs w:val="17"/>
          <w:u w:val="single" w:color="auto"/>
          <w:color w:val="auto"/>
        </w:rPr>
        <w:t>amend</w:t>
      </w:r>
      <w:r>
        <w:rPr>
          <w:rFonts w:ascii="Arial" w:cs="Arial" w:eastAsia="Arial" w:hAnsi="Arial"/>
          <w:sz w:val="17"/>
          <w:szCs w:val="17"/>
          <w:color w:val="auto"/>
        </w:rPr>
        <w:t>,” “</w:t>
      </w:r>
      <w:r>
        <w:rPr>
          <w:rFonts w:ascii="Arial" w:cs="Arial" w:eastAsia="Arial" w:hAnsi="Arial"/>
          <w:sz w:val="17"/>
          <w:szCs w:val="17"/>
          <w:u w:val="single" w:color="auto"/>
          <w:color w:val="auto"/>
        </w:rPr>
        <w:t>amendment</w:t>
      </w:r>
      <w:r>
        <w:rPr>
          <w:rFonts w:ascii="Arial" w:cs="Arial" w:eastAsia="Arial" w:hAnsi="Arial"/>
          <w:sz w:val="17"/>
          <w:szCs w:val="17"/>
          <w:color w:val="auto"/>
        </w:rPr>
        <w:t>” or “</w:t>
      </w:r>
      <w:r>
        <w:rPr>
          <w:rFonts w:ascii="Arial" w:cs="Arial" w:eastAsia="Arial" w:hAnsi="Arial"/>
          <w:sz w:val="17"/>
          <w:szCs w:val="17"/>
          <w:u w:val="single" w:color="auto"/>
          <w:color w:val="auto"/>
        </w:rPr>
        <w:t>supplement</w:t>
      </w:r>
      <w:r>
        <w:rPr>
          <w:rFonts w:ascii="Arial" w:cs="Arial" w:eastAsia="Arial" w:hAnsi="Arial"/>
          <w:sz w:val="17"/>
          <w:szCs w:val="17"/>
          <w:color w:val="auto"/>
        </w:rPr>
        <w:t>” with respect to the Registration Statement, the Basic Prospectus, the Prospectus Supplement, the Prospectus or any Permitted Free Writing Prospectus shall be deemed to refer to and include the filing of any document under the Securities Exchange Act of 1934, as amended, and the rules and regulations thereunder (collectively, the “</w:t>
      </w:r>
      <w:r>
        <w:rPr>
          <w:rFonts w:ascii="Arial" w:cs="Arial" w:eastAsia="Arial" w:hAnsi="Arial"/>
          <w:sz w:val="17"/>
          <w:szCs w:val="17"/>
          <w:u w:val="single" w:color="auto"/>
          <w:color w:val="auto"/>
        </w:rPr>
        <w:t>Exchange Act</w:t>
      </w:r>
      <w:r>
        <w:rPr>
          <w:rFonts w:ascii="Arial" w:cs="Arial" w:eastAsia="Arial" w:hAnsi="Arial"/>
          <w:sz w:val="17"/>
          <w:szCs w:val="17"/>
          <w:color w:val="auto"/>
        </w:rPr>
        <w:t>”) on or after the initial effective date of the Registration Statement, or the date of the Basic Prospectus, the Prospectus Supplement, the Prospectus or such Permitted Free Writing Prospectus, as the case may be, and deemed to be incorporated therein by reference.</w:t>
      </w:r>
    </w:p>
    <w:p>
      <w:pPr>
        <w:spacing w:after="0" w:line="71" w:lineRule="exact"/>
        <w:rPr>
          <w:sz w:val="20"/>
          <w:szCs w:val="20"/>
          <w:color w:val="auto"/>
        </w:rPr>
      </w:pPr>
    </w:p>
    <w:p>
      <w:pPr>
        <w:ind w:right="120" w:firstLine="440"/>
        <w:spacing w:after="0" w:line="286" w:lineRule="auto"/>
        <w:rPr>
          <w:sz w:val="20"/>
          <w:szCs w:val="20"/>
          <w:color w:val="auto"/>
        </w:rPr>
      </w:pPr>
      <w:r>
        <w:rPr>
          <w:rFonts w:ascii="Arial" w:cs="Arial" w:eastAsia="Arial" w:hAnsi="Arial"/>
          <w:sz w:val="17"/>
          <w:szCs w:val="17"/>
          <w:color w:val="auto"/>
        </w:rPr>
        <w:t>As used in this Agreement, “</w:t>
      </w:r>
      <w:r>
        <w:rPr>
          <w:rFonts w:ascii="Arial" w:cs="Arial" w:eastAsia="Arial" w:hAnsi="Arial"/>
          <w:sz w:val="17"/>
          <w:szCs w:val="17"/>
          <w:u w:val="single" w:color="auto"/>
          <w:color w:val="auto"/>
        </w:rPr>
        <w:t>business day</w:t>
      </w:r>
      <w:r>
        <w:rPr>
          <w:rFonts w:ascii="Arial" w:cs="Arial" w:eastAsia="Arial" w:hAnsi="Arial"/>
          <w:sz w:val="17"/>
          <w:szCs w:val="17"/>
          <w:color w:val="auto"/>
        </w:rPr>
        <w:t>” shall mean a day on which the New York Stock Exchange (the “</w:t>
      </w:r>
      <w:r>
        <w:rPr>
          <w:rFonts w:ascii="Arial" w:cs="Arial" w:eastAsia="Arial" w:hAnsi="Arial"/>
          <w:sz w:val="17"/>
          <w:szCs w:val="17"/>
          <w:u w:val="single" w:color="auto"/>
          <w:color w:val="auto"/>
        </w:rPr>
        <w:t>NYSE</w:t>
      </w:r>
      <w:r>
        <w:rPr>
          <w:rFonts w:ascii="Arial" w:cs="Arial" w:eastAsia="Arial" w:hAnsi="Arial"/>
          <w:sz w:val="17"/>
          <w:szCs w:val="17"/>
          <w:color w:val="auto"/>
        </w:rPr>
        <w:t>”) is open for trading. The terms “herein,” “hereof,” “hereto,” “hereinafter” and similar terms, as used in this Agreement, shall in each case refer to this Agreement as a whole and not to any particular section, paragraph, sentence or other subdivision of this Agreement. The term “or,” as used herein, is not exclusive.</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and each Placement Agent agree as follows:</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10" w:name="page11"/>
    <w:bookmarkEnd w:id="10"/>
    <w:p>
      <w:pPr>
        <w:ind w:right="20" w:firstLine="233"/>
        <w:spacing w:after="0" w:line="291" w:lineRule="auto"/>
        <w:tabs>
          <w:tab w:leader="none" w:pos="405"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Agreement to Act as Placement Agents</w:t>
      </w:r>
      <w:r>
        <w:rPr>
          <w:rFonts w:ascii="Arial" w:cs="Arial" w:eastAsia="Arial" w:hAnsi="Arial"/>
          <w:sz w:val="16"/>
          <w:szCs w:val="16"/>
          <w:color w:val="auto"/>
        </w:rPr>
        <w:t>. Upon the basis of the representations and warranties of the Company and subject to the terms and conditions set forth in this Agreement, the Company engages each of the Placement Agents, on a commercially reasonable efforts basis, to act as its exclusive placement agents in connection with the offer and sale, by the Company, of Securities to the Investors. As compensation for services rendered, at the time of purchase (as defined below) the Company shall pay to each Placement Agent an amount equal to 3.0% (or 6.0% in the aggregate) of the gross proceeds received or to be received by the Company from the sale of the Securities (the “</w:t>
      </w:r>
      <w:r>
        <w:rPr>
          <w:rFonts w:ascii="Arial" w:cs="Arial" w:eastAsia="Arial" w:hAnsi="Arial"/>
          <w:sz w:val="16"/>
          <w:szCs w:val="16"/>
          <w:u w:val="single" w:color="auto"/>
          <w:color w:val="auto"/>
        </w:rPr>
        <w:t>Agency Fee</w:t>
      </w:r>
      <w:r>
        <w:rPr>
          <w:rFonts w:ascii="Arial" w:cs="Arial" w:eastAsia="Arial" w:hAnsi="Arial"/>
          <w:sz w:val="16"/>
          <w:szCs w:val="16"/>
          <w:color w:val="auto"/>
        </w:rPr>
        <w:t>”). The Shares are being sold to Investors at a price of $1.45 per share, and together with each Share, Investors will receive a Warrant to purchase 0.75 shares of the Company’s Common Stock at an exercise price of $2.30 per share. Each Placement Agent may retain other brokers or dealers to act as sub-agents on its behalf in connection with the offering and sale of the Securities.</w:t>
      </w:r>
    </w:p>
    <w:p>
      <w:pPr>
        <w:spacing w:after="0" w:line="59" w:lineRule="exact"/>
        <w:rPr>
          <w:sz w:val="20"/>
          <w:szCs w:val="20"/>
          <w:color w:val="auto"/>
        </w:rPr>
      </w:pPr>
    </w:p>
    <w:p>
      <w:pPr>
        <w:ind w:right="220" w:firstLine="447"/>
        <w:spacing w:after="0" w:line="302" w:lineRule="auto"/>
        <w:rPr>
          <w:sz w:val="20"/>
          <w:szCs w:val="20"/>
          <w:color w:val="auto"/>
        </w:rPr>
      </w:pPr>
      <w:r>
        <w:rPr>
          <w:rFonts w:ascii="Arial" w:cs="Arial" w:eastAsia="Arial" w:hAnsi="Arial"/>
          <w:sz w:val="16"/>
          <w:szCs w:val="16"/>
          <w:color w:val="auto"/>
        </w:rPr>
        <w:t xml:space="preserve">The Company expressly acknowledges and agrees that each Placement Agent’s obligations hereunder are on a reasonable efforts basis, and this Agreement shall not give rise to any commitment by either Placement Agent or any of its affiliates to underwrite or purchase any of the Securities or otherwise provide any financing. Neither Placement Agent shall have the authority to bind the Company in respect of the sale of any Securities. The sale of the Securities shall be made pursuant to purchase agreements substantially in the form included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(the “</w:t>
      </w:r>
      <w:r>
        <w:rPr>
          <w:rFonts w:ascii="Arial" w:cs="Arial" w:eastAsia="Arial" w:hAnsi="Arial"/>
          <w:sz w:val="16"/>
          <w:szCs w:val="16"/>
          <w:u w:val="single" w:color="auto"/>
          <w:color w:val="auto"/>
        </w:rPr>
        <w:t>Subscription Agreements</w:t>
      </w:r>
      <w:r>
        <w:rPr>
          <w:rFonts w:ascii="Arial" w:cs="Arial" w:eastAsia="Arial" w:hAnsi="Arial"/>
          <w:sz w:val="16"/>
          <w:szCs w:val="16"/>
          <w:color w:val="auto"/>
        </w:rPr>
        <w:t>”).</w:t>
      </w:r>
    </w:p>
    <w:p>
      <w:pPr>
        <w:spacing w:after="0" w:line="46" w:lineRule="exact"/>
        <w:rPr>
          <w:sz w:val="20"/>
          <w:szCs w:val="20"/>
          <w:color w:val="auto"/>
        </w:rPr>
      </w:pPr>
    </w:p>
    <w:p>
      <w:pPr>
        <w:jc w:val="both"/>
        <w:ind w:firstLine="233"/>
        <w:spacing w:after="0" w:line="288" w:lineRule="auto"/>
        <w:tabs>
          <w:tab w:leader="none" w:pos="405"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Payment and Delivery</w:t>
      </w:r>
      <w:r>
        <w:rPr>
          <w:rFonts w:ascii="Arial" w:cs="Arial" w:eastAsia="Arial" w:hAnsi="Arial"/>
          <w:sz w:val="16"/>
          <w:szCs w:val="16"/>
          <w:color w:val="auto"/>
        </w:rPr>
        <w:t>. Subject to the terms and conditions hereof, payment of the purchase price for, and delivery of certificates for, the Securities shall be made at the office of Pillsbury Winthrop Shaw Pittman LLP at 1540 Broadway, New York, New York 10036 (or at such other place as shall be agreed upon by you and the Company), at 10:00 A.M., New York City time, on November 17, 2008 (unless another time shall be agreed to by you and the Company).</w:t>
      </w:r>
    </w:p>
    <w:p>
      <w:pPr>
        <w:ind w:right="40"/>
        <w:spacing w:after="0" w:line="267" w:lineRule="auto"/>
        <w:rPr>
          <w:rFonts w:ascii="Arial" w:cs="Arial" w:eastAsia="Arial" w:hAnsi="Arial"/>
          <w:sz w:val="16"/>
          <w:szCs w:val="16"/>
          <w:color w:val="auto"/>
        </w:rPr>
      </w:pPr>
      <w:r>
        <w:rPr>
          <w:rFonts w:ascii="Arial" w:cs="Arial" w:eastAsia="Arial" w:hAnsi="Arial"/>
          <w:sz w:val="17"/>
          <w:szCs w:val="17"/>
          <w:color w:val="auto"/>
        </w:rPr>
        <w:t>Subject to the terms and conditions hereof, payment of the purchase price for the Securities (adjusted in the manner set forth below) shall be made to the Company in the manner set forth below by Federal Funds wire transfer, against delivery of certificates for the Shares, through the facilities of The Depository Trust Company (“</w:t>
      </w:r>
      <w:r>
        <w:rPr>
          <w:rFonts w:ascii="Arial" w:cs="Arial" w:eastAsia="Arial" w:hAnsi="Arial"/>
          <w:sz w:val="17"/>
          <w:szCs w:val="17"/>
          <w:u w:val="single" w:color="auto"/>
          <w:color w:val="auto"/>
        </w:rPr>
        <w:t>DTC</w:t>
      </w:r>
      <w:r>
        <w:rPr>
          <w:rFonts w:ascii="Arial" w:cs="Arial" w:eastAsia="Arial" w:hAnsi="Arial"/>
          <w:sz w:val="17"/>
          <w:szCs w:val="17"/>
          <w:color w:val="auto"/>
        </w:rPr>
        <w:t>”) and certificates for the Warrants, to such persons, and shall be registered in such name or names and shall be in such denominations, as the Placement Agents may request at least one business day before the time of purchase. Payment of the purchase price for the Securities to be purchased by Investors shall be made at the time of purchase by such Investors directly to the Company. The time at which such payment and delivery are to be made is hereinafter sometimes called the “</w:t>
      </w:r>
      <w:r>
        <w:rPr>
          <w:rFonts w:ascii="Arial" w:cs="Arial" w:eastAsia="Arial" w:hAnsi="Arial"/>
          <w:sz w:val="17"/>
          <w:szCs w:val="17"/>
          <w:u w:val="single" w:color="auto"/>
          <w:color w:val="auto"/>
        </w:rPr>
        <w:t>time of purchase</w:t>
      </w:r>
      <w:r>
        <w:rPr>
          <w:rFonts w:ascii="Arial" w:cs="Arial" w:eastAsia="Arial" w:hAnsi="Arial"/>
          <w:sz w:val="17"/>
          <w:szCs w:val="17"/>
          <w:color w:val="auto"/>
        </w:rPr>
        <w:t xml:space="preserve">.” At the time of purchase, the Company shall deliver to the Placement Agents, by Federal Funds wire transfer, an amount in cash equal to the sum of the aggregate Agency Fee and the Placement Agents’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estimate of the amount, if any, of expenses for which the Placement Agents are entitled to reimbursement pursuant hereto, which estimate shall be evidenced by expense reimbursement invoices provided by the Placement Agents to the Company prior to the time of purchase. As soon as reasonably practicable after the time of purchase, the Company or the Placement Agents, as applicable, shall make any necessary reconciling or additional payment(s) with respect to such estimate in order to effect the reimbursement to which the Placement Agents are entitled pursuant hereto. Electronic transfer of the Shares shall be made at the time of purchase in such names and in such denominations as a Placement Agent shall specify.</w:t>
      </w:r>
    </w:p>
    <w:p>
      <w:pPr>
        <w:spacing w:after="0" w:line="158" w:lineRule="exact"/>
        <w:rPr>
          <w:rFonts w:ascii="Arial" w:cs="Arial" w:eastAsia="Arial" w:hAnsi="Arial"/>
          <w:sz w:val="16"/>
          <w:szCs w:val="16"/>
          <w:color w:val="auto"/>
        </w:rPr>
      </w:pPr>
    </w:p>
    <w:p>
      <w:pPr>
        <w:ind w:left="5660" w:hanging="96"/>
        <w:spacing w:after="0"/>
        <w:tabs>
          <w:tab w:leader="none" w:pos="5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 w:name="page12"/>
    <w:bookmarkEnd w:id="11"/>
    <w:p>
      <w:pPr>
        <w:ind w:right="20" w:firstLine="450"/>
        <w:spacing w:after="0" w:line="264" w:lineRule="auto"/>
        <w:rPr>
          <w:sz w:val="20"/>
          <w:szCs w:val="20"/>
          <w:color w:val="auto"/>
        </w:rPr>
      </w:pPr>
      <w:r>
        <w:rPr>
          <w:rFonts w:ascii="Arial" w:cs="Arial" w:eastAsia="Arial" w:hAnsi="Arial"/>
          <w:sz w:val="18"/>
          <w:szCs w:val="18"/>
          <w:color w:val="auto"/>
        </w:rPr>
        <w:t>Deliveries of the documents described in Section 6 hereof with respect to the purchase of the Securities shall be made at the offices of Pillsbury Winthrop Shaw Pittman LLP at 1540 Broadway, New York, New York 10036, at 9:00 A.M., New York City time, on the date of the closing of the purchase of the Securities.</w:t>
      </w:r>
    </w:p>
    <w:p>
      <w:pPr>
        <w:spacing w:after="0" w:line="73" w:lineRule="exact"/>
        <w:rPr>
          <w:sz w:val="20"/>
          <w:szCs w:val="20"/>
          <w:color w:val="auto"/>
        </w:rPr>
      </w:pPr>
    </w:p>
    <w:p>
      <w:pPr>
        <w:ind w:left="420" w:hanging="187"/>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and agrees with the Placement Agents that:</w:t>
      </w:r>
    </w:p>
    <w:p>
      <w:pPr>
        <w:spacing w:after="0" w:line="117" w:lineRule="exact"/>
        <w:rPr>
          <w:rFonts w:ascii="Arial" w:cs="Arial" w:eastAsia="Arial" w:hAnsi="Arial"/>
          <w:sz w:val="18"/>
          <w:szCs w:val="18"/>
          <w:color w:val="auto"/>
        </w:rPr>
      </w:pPr>
    </w:p>
    <w:p>
      <w:pPr>
        <w:ind w:left="240" w:right="240" w:firstLine="221"/>
        <w:spacing w:after="0" w:line="255" w:lineRule="auto"/>
        <w:tabs>
          <w:tab w:leader="none" w:pos="71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Registration Statement has heretofore become effective under the Act or, with respect to any registration statement to be filed to register the offer and sale of Securities pursuant to Rule 462(b) under the Act, will be filed with the Commission and become effective under the Act no later than 10:00 P.M., New York City time, on the date of determination of the offering price for the Securities to Investors; no stop order of the Commission preventing or suspending the use of the Basic Prospectus, the Prospectus Supplement, the Prospectus or any Permitted Free Writing Prospectus, or the effectiveness of the Registration Statement, has been issued, and no proceedings for such purpose have been instituted or, to the Company’s knowledge, are contemplated by the Commission;</w:t>
      </w:r>
    </w:p>
    <w:p>
      <w:pPr>
        <w:spacing w:after="0" w:line="85" w:lineRule="exact"/>
        <w:rPr>
          <w:rFonts w:ascii="Arial" w:cs="Arial" w:eastAsia="Arial" w:hAnsi="Arial"/>
          <w:sz w:val="18"/>
          <w:szCs w:val="18"/>
          <w:color w:val="auto"/>
        </w:rPr>
      </w:pPr>
    </w:p>
    <w:p>
      <w:pPr>
        <w:ind w:left="240" w:firstLine="221"/>
        <w:spacing w:after="0" w:line="268" w:lineRule="auto"/>
        <w:tabs>
          <w:tab w:leader="none" w:pos="720" w:val="left"/>
        </w:tabs>
        <w:numPr>
          <w:ilvl w:val="1"/>
          <w:numId w:val="6"/>
        </w:numPr>
        <w:rPr>
          <w:rFonts w:ascii="Arial" w:cs="Arial" w:eastAsia="Arial" w:hAnsi="Arial"/>
          <w:sz w:val="17"/>
          <w:szCs w:val="17"/>
          <w:color w:val="auto"/>
        </w:rPr>
      </w:pPr>
      <w:r>
        <w:rPr>
          <w:rFonts w:ascii="Arial" w:cs="Arial" w:eastAsia="Arial" w:hAnsi="Arial"/>
          <w:sz w:val="17"/>
          <w:szCs w:val="17"/>
          <w:color w:val="auto"/>
        </w:rPr>
        <w:t>the Registration Statement complied when it became effective, complies as of the date hereof and, as amended or supplemented, at the time of purchase and at all times during which a prospectus is required by the Act to be delivered (whether physically or through compliance with Rule 172 under the Act or any similar rule) in connection with any sale of Securities, will comply, in all material respects, with the requirements of the Act; the conditions to the use of Form S-3 in connection with the offering and sale of the Securities as contemplated hereby have been satisfied; the Registration Statement meets, and the offering and sale of the Securities as contemplated hereby complies with, the requirements of Rule 415 under the Act (including, without limitation, Rule 415(a)(5)); the Registration Statement did not, as of the Effective Time, contain an untrue statement of a material fact or omit to state a material fact required to be stated therein or necessary to make the statements therein not misleading; the Basic Prospectus complied at the time it was filed with the Commission, and complies as of the date hereof, in all material respects with the requirements of the Act; at no time during the period that begins on the earlier of the date of the Basic Prospectus and the date the Basic Prospectus was filed with the Commission and ends at the time of purchase did or will the Basic Prospectus, as then amended or supplemented, include an untrue statement of a material fact or omit to state a material fact necessary in order to make the statements therein, in the light of the circumstances under which they were made, not misleading, and at no time during such period did or will the Basic Prospectus, as then amended or supplemented, together with any combination of one or more of the then issued Permitted Free Writing Prospectuses, if any, include an untrue statement of a material fact or omit to state a material fact necessary in order to make the statements therein, in the light of the circumstances under which they were made, not misleading; each of the Prospectus Supplement and the Prospectus will comply, as of the date that it is filed with the Commission, the date of the Prospectus Supplement, the time of purchase and at all times during which a prospectus is required by the Act to be delivered (whether physically or</w:t>
      </w:r>
    </w:p>
    <w:p>
      <w:pPr>
        <w:spacing w:after="0" w:line="153" w:lineRule="exact"/>
        <w:rPr>
          <w:rFonts w:ascii="Arial" w:cs="Arial" w:eastAsia="Arial" w:hAnsi="Arial"/>
          <w:sz w:val="17"/>
          <w:szCs w:val="17"/>
          <w:color w:val="auto"/>
        </w:rPr>
      </w:pPr>
    </w:p>
    <w:p>
      <w:pPr>
        <w:ind w:left="5660" w:hanging="96"/>
        <w:spacing w:after="0"/>
        <w:tabs>
          <w:tab w:leader="none" w:pos="5660" w:val="left"/>
        </w:tabs>
        <w:numPr>
          <w:ilvl w:val="2"/>
          <w:numId w:val="6"/>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ind w:right="80"/>
        <w:spacing w:after="0" w:line="285" w:lineRule="auto"/>
        <w:rPr>
          <w:sz w:val="20"/>
          <w:szCs w:val="20"/>
          <w:color w:val="auto"/>
        </w:rPr>
      </w:pPr>
      <w:r>
        <w:rPr>
          <w:rFonts w:ascii="Arial" w:cs="Arial" w:eastAsia="Arial" w:hAnsi="Arial"/>
          <w:sz w:val="16"/>
          <w:szCs w:val="16"/>
          <w:color w:val="auto"/>
        </w:rPr>
        <w:t xml:space="preserve">through compliance with Rule 172 under the Act or any similar rule) in connection with any sale of Securities, in all material respects, with the requirements of the Act (in the case of the Prospectus, including, without limitation, Section 10(a) of the Act); at no time during the period that begins on the earlier of the date of the Prospectus Supplement and the date the Prospectus Supplement is filed with the Commission and ends at the later of the time of purchase and the end of the period during which a prospectus is required by the Act to be delivered (whether physically or through compliance with Rule 172 under the Act or any similar rule) in connection with any sale of Securities did or will any Prospectus Supplement or the Prospectus, as then amended or supplemented, include an untrue statement of a material fact or omit to state a material fact necessary in order to make the statements therein, in the light of the circumstances under which they were made, not misleading; at no time during the period that begins on the date of such Permitted Free Writing Prospectus and ends at the time of purchase did or will any Permitted Free Writing Prospectus include an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makes no representation or warranty with respect to any statement contained in the Registration Statement, the Basic Prospectus, the Prospectus or any Permitted Free Writing Prospectus in reliance upon and in conformity with information concerning the Placement Agents and furnished in writing by the Placement Agents to the Company expressly for use in the Registration Statement, the Basic Prospectus, the Prospectus or such Permitted Free Writing Prospectus; each Incorporated Document, at the time such document was or will be filed with the Commission or at the time such document became or becomes effective, as applicable, complied or will comply, as applicable, in all material respects, with the requirements of the Exchange Act and did not or will not, as applicable, include an untrue statement of a material fact or omit to state a material fact necessary in order to make the statements therein, in the light of the circumstances under which they were made, not misleading;</w:t>
      </w:r>
    </w:p>
    <w:p>
      <w:pPr>
        <w:spacing w:after="0" w:line="70" w:lineRule="exact"/>
        <w:rPr>
          <w:sz w:val="20"/>
          <w:szCs w:val="20"/>
          <w:color w:val="auto"/>
        </w:rPr>
      </w:pPr>
    </w:p>
    <w:p>
      <w:pPr>
        <w:ind w:firstLine="221"/>
        <w:spacing w:after="0" w:line="270" w:lineRule="auto"/>
        <w:tabs>
          <w:tab w:leader="none" w:pos="47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prior to the execution of this Agreement, the Company has not, directly or indirectly, offered or sold any Securities by means of any “prospectus” (within the meaning of the Act) or used any “prospectus” (within the meaning of the Act) in connection with the offer or sale of the Securities, in each case other than the Basic Prospectus, the Permitted Free Writing Prospectuses, if any, and the Prospectus (if the parties utilize the Prospectus at or prior to the Applicable Time); the Company has not, directly or indirectly, prepared, used or referred to any Permitted Free Writing Prospectus except in compliance with Rules 164 and 433 under the Act; assuming that such Permitted Free Writing Prospectus is so sent or given after the Registration Statement was filed with the Commission (and after such Permitted Free Writing Prospectus was, if required pursuant to Rule 433(d) under the Act, filed with the Commission), the sending or giving, by the Placement Agents, of any Permitted Free Writing Prospectus will satisfy the provisions of Rule 164 and Rule 433 (without reliance on subsections (b), (c) and (d) of Rule 164); the conditions set forth in one or more of subclauses (i) through (iv), inclusive, of Rule 433(b)(1) under the Act are satisfied, and the registration statement relating to the offering of the Securities contemplated hereby, as filed with the Commission on June 24, 2008, includes a prospectus that, other than by reason of Rule</w:t>
      </w:r>
    </w:p>
    <w:p>
      <w:pPr>
        <w:spacing w:after="0" w:line="150" w:lineRule="exact"/>
        <w:rPr>
          <w:rFonts w:ascii="Arial" w:cs="Arial" w:eastAsia="Arial" w:hAnsi="Arial"/>
          <w:sz w:val="17"/>
          <w:szCs w:val="17"/>
          <w:color w:val="auto"/>
        </w:rPr>
      </w:pPr>
    </w:p>
    <w:p>
      <w:pPr>
        <w:ind w:left="5420" w:hanging="96"/>
        <w:spacing w:after="0"/>
        <w:tabs>
          <w:tab w:leader="none" w:pos="5420" w:val="left"/>
        </w:tabs>
        <w:numPr>
          <w:ilvl w:val="1"/>
          <w:numId w:val="7"/>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13" w:name="page14"/>
    <w:bookmarkEnd w:id="13"/>
    <w:p>
      <w:pPr>
        <w:spacing w:after="0" w:line="273" w:lineRule="auto"/>
        <w:rPr>
          <w:sz w:val="20"/>
          <w:szCs w:val="20"/>
          <w:color w:val="auto"/>
        </w:rPr>
      </w:pPr>
      <w:r>
        <w:rPr>
          <w:rFonts w:ascii="Arial" w:cs="Arial" w:eastAsia="Arial" w:hAnsi="Arial"/>
          <w:sz w:val="17"/>
          <w:szCs w:val="17"/>
          <w:color w:val="auto"/>
        </w:rPr>
        <w:t>433 or Rule 431 under the Act, satisfies the requirements of Section 10 of the Act; neither the Company nor the Placement Agents are disqualified, by reason of subsection (f) or (g) of Rule 164 under the Act, from using, in connection with the offer and sale of the Securities, “free writing prospectuses” (as defined in Rule 405 under the Act) pursuant to Rules 164 and 433 under the Act; the Company is not an “ineligible issuer” (as defined in Rule 405 under the Act) as of the eligibility determination date for purposes of Rules 164 and 433 under the Act with respect to the offering of the Securities contemplated by the Registration Statement; the parties hereto agree and understand that the content of any and all “road shows” (as defined in Rule 433 under the Act) related to the offering of the Securities contemplated hereby is solely the property of the Company;</w:t>
      </w:r>
    </w:p>
    <w:p>
      <w:pPr>
        <w:spacing w:after="0" w:line="70" w:lineRule="exact"/>
        <w:rPr>
          <w:sz w:val="20"/>
          <w:szCs w:val="20"/>
          <w:color w:val="auto"/>
        </w:rPr>
      </w:pPr>
    </w:p>
    <w:p>
      <w:pPr>
        <w:ind w:right="220" w:firstLine="221"/>
        <w:spacing w:after="0" w:line="277"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Securities have been registered with the Commission on Form S-3 under the Act pursuant to the standards for such Form S-3 in effect prior to October 21, 1992;</w:t>
      </w:r>
    </w:p>
    <w:p>
      <w:pPr>
        <w:spacing w:after="0" w:line="62" w:lineRule="exact"/>
        <w:rPr>
          <w:rFonts w:ascii="Arial" w:cs="Arial" w:eastAsia="Arial" w:hAnsi="Arial"/>
          <w:sz w:val="18"/>
          <w:szCs w:val="18"/>
          <w:color w:val="auto"/>
        </w:rPr>
      </w:pPr>
    </w:p>
    <w:p>
      <w:pPr>
        <w:ind w:firstLine="221"/>
        <w:spacing w:after="0" w:line="270" w:lineRule="auto"/>
        <w:tabs>
          <w:tab w:leader="none" w:pos="470" w:val="left"/>
        </w:tabs>
        <w:numPr>
          <w:ilvl w:val="0"/>
          <w:numId w:val="8"/>
        </w:numPr>
        <w:rPr>
          <w:rFonts w:ascii="Arial" w:cs="Arial" w:eastAsia="Arial" w:hAnsi="Arial"/>
          <w:sz w:val="17"/>
          <w:szCs w:val="17"/>
          <w:color w:val="auto"/>
        </w:rPr>
      </w:pPr>
      <w:r>
        <w:rPr>
          <w:rFonts w:ascii="Arial" w:cs="Arial" w:eastAsia="Arial" w:hAnsi="Arial"/>
          <w:sz w:val="17"/>
          <w:szCs w:val="17"/>
          <w:color w:val="auto"/>
        </w:rPr>
        <w:t>as of the date of this Agreement, the Company has an authorized and outstanding capitalization as set forth in the section of the Prospectus entitled “Capitalization” (and any similar sections or information, if any, contained in any Permitted Free Writing Prospectus), and, as of the time of purchase, the Company shall have an authorized and outstanding capitalization as set forth in the section of the Prospectus entitled “Capitalization” (and any similar sections or information, if any, contained in any Permitted Free Writing Prospectus) (subject, in each case, to the issuance of shares of Common Stock upon exercise of stock options and warrants disclosed as outstanding in the Registration Statement, the Basic Prospectus and the Prospectus and the grant of options under existing stock option plans described in the Registration Statement, the Basic Prospectus and the Prospectus); and all of the issued and outstanding shares of capital stock, including the Common Stock, of the Company have been duly authorized and validly issued and are fully paid and non-assessable, have been issued in compliance with all applicable securities laws and were not issued in violation of any preemptive right, resale right, right of first refusal or similar right; the Shares are duly listed, and admitted and authorized for trading, subject to official notice of issuance, on the Nasdaq National Market (the “</w:t>
      </w:r>
      <w:r>
        <w:rPr>
          <w:rFonts w:ascii="Arial" w:cs="Arial" w:eastAsia="Arial" w:hAnsi="Arial"/>
          <w:sz w:val="17"/>
          <w:szCs w:val="17"/>
          <w:u w:val="single" w:color="auto"/>
          <w:color w:val="auto"/>
        </w:rPr>
        <w:t>NASDAQ</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right="120" w:firstLine="221"/>
        <w:spacing w:after="0" w:line="259" w:lineRule="auto"/>
        <w:tabs>
          <w:tab w:leader="none" w:pos="45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has been duly incorporated and is validly existing as a corporation in good standing under the laws of the State of Delaware, with full corporate power and authority to own, lease and operate its properties and conduct its business as described in the Registration Statement, the Basic Prospectus, the Prospectus and the Permitted Free Writing Prospectuses, if any, to execute and deliver this Agreement and to issue, sell and deliver the Securities as contemplated herein;</w:t>
      </w:r>
    </w:p>
    <w:p>
      <w:pPr>
        <w:spacing w:after="0" w:line="78" w:lineRule="exact"/>
        <w:rPr>
          <w:rFonts w:ascii="Arial" w:cs="Arial" w:eastAsia="Arial" w:hAnsi="Arial"/>
          <w:sz w:val="18"/>
          <w:szCs w:val="18"/>
          <w:color w:val="auto"/>
        </w:rPr>
      </w:pPr>
    </w:p>
    <w:p>
      <w:pPr>
        <w:ind w:right="80" w:firstLine="221"/>
        <w:spacing w:after="0" w:line="259"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is duly qualified to do business as a foreign corporation and is in good standing in each jurisdiction where the ownership or leasing of its properties or the conduct of its business requires such qualification, except where the failure to be so qualified or in good standing would not, individually or in the aggregate, either (i) have a material adverse effect on the business, properties, financial condition, results of operations or prospects of the Company and the Subsidiary (as defined below) taken as a</w:t>
      </w:r>
    </w:p>
    <w:p>
      <w:pPr>
        <w:spacing w:after="0" w:line="159" w:lineRule="exact"/>
        <w:rPr>
          <w:rFonts w:ascii="Arial" w:cs="Arial" w:eastAsia="Arial" w:hAnsi="Arial"/>
          <w:sz w:val="18"/>
          <w:szCs w:val="18"/>
          <w:color w:val="auto"/>
        </w:rPr>
      </w:pPr>
    </w:p>
    <w:p>
      <w:pPr>
        <w:ind w:left="5420" w:hanging="96"/>
        <w:spacing w:after="0"/>
        <w:tabs>
          <w:tab w:leader="none" w:pos="5420" w:val="left"/>
        </w:tabs>
        <w:numPr>
          <w:ilvl w:val="1"/>
          <w:numId w:val="8"/>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14" w:name="page15"/>
    <w:bookmarkEnd w:id="14"/>
    <w:p>
      <w:pPr>
        <w:jc w:val="both"/>
        <w:ind w:right="160"/>
        <w:spacing w:after="0" w:line="264" w:lineRule="auto"/>
        <w:rPr>
          <w:sz w:val="20"/>
          <w:szCs w:val="20"/>
          <w:color w:val="auto"/>
        </w:rPr>
      </w:pPr>
      <w:r>
        <w:rPr>
          <w:rFonts w:ascii="Arial" w:cs="Arial" w:eastAsia="Arial" w:hAnsi="Arial"/>
          <w:sz w:val="18"/>
          <w:szCs w:val="18"/>
          <w:color w:val="auto"/>
        </w:rPr>
        <w:t>whole, (ii) prevent or materially interfere with consummation of the transactions contemplated hereby or (iii) result in the delisting of shares of Common Stock from the NASDAQ (the occurrence of any such effect or any such prevention or interference or any such result described in the foregoing clauses (i), (ii) and (iii) being herein referred to as a “</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w:t>
      </w:r>
    </w:p>
    <w:p>
      <w:pPr>
        <w:spacing w:after="0" w:line="73" w:lineRule="exact"/>
        <w:rPr>
          <w:sz w:val="20"/>
          <w:szCs w:val="20"/>
          <w:color w:val="auto"/>
        </w:rPr>
      </w:pPr>
    </w:p>
    <w:p>
      <w:pPr>
        <w:ind w:firstLine="221"/>
        <w:spacing w:after="0" w:line="286" w:lineRule="auto"/>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 has no subsidiaries (as defined under the Act) other than StemCells California, Inc. (the “</w:t>
      </w:r>
      <w:r>
        <w:rPr>
          <w:rFonts w:ascii="Arial" w:cs="Arial" w:eastAsia="Arial" w:hAnsi="Arial"/>
          <w:sz w:val="16"/>
          <w:szCs w:val="16"/>
          <w:u w:val="single" w:color="auto"/>
          <w:color w:val="auto"/>
        </w:rPr>
        <w:t>Subsidiary</w:t>
      </w:r>
      <w:r>
        <w:rPr>
          <w:rFonts w:ascii="Arial" w:cs="Arial" w:eastAsia="Arial" w:hAnsi="Arial"/>
          <w:sz w:val="16"/>
          <w:szCs w:val="16"/>
          <w:color w:val="auto"/>
        </w:rPr>
        <w:t>”); the Company owns all of the issued and outstanding capital stock of the Subsidiary; other than the capital stock of the Subsidiary, the Company does not own, directly or indirectly, any shares of stock or any other equity interests or long-term debt securities of any corporation, firm, partnership, joint venture, association or other entity, other than the Company’s equity interest in ReNeuron Group plc, as disclosed in the Registration Statement, Basic Prospectus and the Prospectus; complete and correct copies of the charters and the bylaws of the Company and the Subsidiary and all amendments thereto have been delivered to you, and no changes therein will be made on or after the date hereof through and including the time of purchase; the Subsidiary has been duly incorporated and is validly existing as a corporation in good standing under the laws of the State of California, with full corporate power and authority to own, lease and operate its properties and to conduct its business as described in the Registration Statement, the Basic Prospectus, the Prospectus and the Permitted Free Writing Prospectuses, if any; the Subsidiary is duly qualified to do business as a foreign corporation and is in good standing in each jurisdiction where the ownership or leasing of its properties or the conduct of its business requires such qualification, except where the failure to be so qualified or in good standing would not, individually or in the aggregate, have a Material Adverse Effect; all of the outstanding shares of capital stock of the Subsidiary have been duly authorized and validly issued, are fully paid and non-assessable, have been issued in compliance with all applicable securities laws, were not issued in violation of any preemptive right, resale right, right of first refusal or similar right and are owned by the Company subject to no security interest, other encumbrance or adverse claims; no options, warrants or other rights to purchase, agreements or other obligations to issue or other rights to convert any obligation into shares of capital stock or ownership interests in the Subsidiary are outstanding;</w:t>
      </w:r>
    </w:p>
    <w:p>
      <w:pPr>
        <w:spacing w:after="0" w:line="60" w:lineRule="exact"/>
        <w:rPr>
          <w:rFonts w:ascii="Arial" w:cs="Arial" w:eastAsia="Arial" w:hAnsi="Arial"/>
          <w:sz w:val="16"/>
          <w:szCs w:val="16"/>
          <w:color w:val="auto"/>
        </w:rPr>
      </w:pPr>
    </w:p>
    <w:p>
      <w:pPr>
        <w:ind w:right="80" w:firstLine="221"/>
        <w:spacing w:after="0" w:line="271" w:lineRule="auto"/>
        <w:tabs>
          <w:tab w:leader="none" w:pos="4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Securities have been duly and validly authorized by the Company and, when issued and delivered against payment therefor as provided in the Subscription Agreements, the Shares will be duly and validly issued, fully paid and non-assessable and the Securities will not be issued in violation of statutory and contractual preemptive rights, resale rights, rights of first refusal and similar rights; upon issuance and delivery of the Warrants pursuant to the Subscription Agreements, the Warrants will constitute valid and legally binding obligations of the Company and the shares of Common Stock underlying the Warrants (the “</w:t>
      </w:r>
      <w:r>
        <w:rPr>
          <w:rFonts w:ascii="Arial" w:cs="Arial" w:eastAsia="Arial" w:hAnsi="Arial"/>
          <w:sz w:val="17"/>
          <w:szCs w:val="17"/>
          <w:u w:val="single" w:color="auto"/>
          <w:color w:val="auto"/>
        </w:rPr>
        <w:t>Warrant Shares</w:t>
      </w:r>
      <w:r>
        <w:rPr>
          <w:rFonts w:ascii="Arial" w:cs="Arial" w:eastAsia="Arial" w:hAnsi="Arial"/>
          <w:sz w:val="17"/>
          <w:szCs w:val="17"/>
          <w:color w:val="auto"/>
        </w:rPr>
        <w:t>”), if and when issued and delivered in accordance with the terms of the Warrants, will be duly and validly issued, fully paid and non-assessable and will not be issued in violation of statutory and contractual preemptive rights, resale rights, rights of first refusal and similar rights; the Securities, when issued and delivered against payment therefor as provided herein, will be free of any restriction upon the voting or transfer thereof pursuant to the Company’s charter or bylaws or any</w:t>
      </w:r>
    </w:p>
    <w:p>
      <w:pPr>
        <w:spacing w:after="0" w:line="151" w:lineRule="exact"/>
        <w:rPr>
          <w:rFonts w:ascii="Arial" w:cs="Arial" w:eastAsia="Arial" w:hAnsi="Arial"/>
          <w:sz w:val="17"/>
          <w:szCs w:val="17"/>
          <w:color w:val="auto"/>
        </w:rPr>
      </w:pPr>
    </w:p>
    <w:p>
      <w:pPr>
        <w:ind w:left="5420" w:hanging="96"/>
        <w:spacing w:after="0"/>
        <w:tabs>
          <w:tab w:leader="none" w:pos="5420" w:val="left"/>
        </w:tabs>
        <w:numPr>
          <w:ilvl w:val="1"/>
          <w:numId w:val="9"/>
        </w:numPr>
        <w:rPr>
          <w:rFonts w:ascii="Arial" w:cs="Arial" w:eastAsia="Arial" w:hAnsi="Arial"/>
          <w:sz w:val="18"/>
          <w:szCs w:val="18"/>
          <w:color w:val="auto"/>
        </w:rPr>
      </w:pPr>
      <w:r>
        <w:rPr>
          <w:rFonts w:ascii="Arial" w:cs="Arial" w:eastAsia="Arial" w:hAnsi="Arial"/>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15" w:name="page16"/>
    <w:bookmarkEnd w:id="15"/>
    <w:p>
      <w:pPr>
        <w:ind w:left="4"/>
        <w:spacing w:after="0"/>
        <w:rPr>
          <w:sz w:val="20"/>
          <w:szCs w:val="20"/>
          <w:color w:val="auto"/>
        </w:rPr>
      </w:pPr>
      <w:r>
        <w:rPr>
          <w:rFonts w:ascii="Arial" w:cs="Arial" w:eastAsia="Arial" w:hAnsi="Arial"/>
          <w:sz w:val="18"/>
          <w:szCs w:val="18"/>
          <w:color w:val="auto"/>
        </w:rPr>
        <w:t>agreement or other instrument to which the Company is a party;</w:t>
      </w:r>
    </w:p>
    <w:p>
      <w:pPr>
        <w:spacing w:after="0" w:line="117" w:lineRule="exact"/>
        <w:rPr>
          <w:sz w:val="20"/>
          <w:szCs w:val="20"/>
          <w:color w:val="auto"/>
        </w:rPr>
      </w:pPr>
    </w:p>
    <w:p>
      <w:pPr>
        <w:ind w:left="4" w:firstLine="221"/>
        <w:spacing w:after="0" w:line="264" w:lineRule="auto"/>
        <w:tabs>
          <w:tab w:leader="none" w:pos="444"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capital stock of the Company, including the Securities, conforms in all material respects to each description thereof, if any, contained or incorporated by reference in the Registration Statement, the Basic Prospectus, the Prospectus or any Permitted Free Writing Prospectus and the certificates for the Shares are in due and proper form;</w:t>
      </w:r>
    </w:p>
    <w:p>
      <w:pPr>
        <w:spacing w:after="0" w:line="73" w:lineRule="exact"/>
        <w:rPr>
          <w:rFonts w:ascii="Arial" w:cs="Arial" w:eastAsia="Arial" w:hAnsi="Arial"/>
          <w:sz w:val="18"/>
          <w:szCs w:val="18"/>
          <w:color w:val="auto"/>
        </w:rPr>
      </w:pPr>
    </w:p>
    <w:p>
      <w:pPr>
        <w:ind w:left="484" w:hanging="259"/>
        <w:spacing w:after="0"/>
        <w:tabs>
          <w:tab w:leader="none" w:pos="484"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this Agreement and each Subscription Agreement has been duly authorized, executed and delivered by the Company;</w:t>
      </w:r>
    </w:p>
    <w:p>
      <w:pPr>
        <w:spacing w:after="0" w:line="117" w:lineRule="exact"/>
        <w:rPr>
          <w:rFonts w:ascii="Arial" w:cs="Arial" w:eastAsia="Arial" w:hAnsi="Arial"/>
          <w:sz w:val="18"/>
          <w:szCs w:val="18"/>
          <w:color w:val="auto"/>
        </w:rPr>
      </w:pPr>
    </w:p>
    <w:p>
      <w:pPr>
        <w:ind w:left="4" w:right="60" w:firstLine="221"/>
        <w:spacing w:after="0" w:line="290" w:lineRule="auto"/>
        <w:tabs>
          <w:tab w:leader="none" w:pos="444" w:val="left"/>
        </w:tabs>
        <w:numPr>
          <w:ilvl w:val="1"/>
          <w:numId w:val="10"/>
        </w:numPr>
        <w:rPr>
          <w:rFonts w:ascii="Arial" w:cs="Arial" w:eastAsia="Arial" w:hAnsi="Arial"/>
          <w:sz w:val="16"/>
          <w:szCs w:val="16"/>
          <w:color w:val="auto"/>
        </w:rPr>
      </w:pPr>
      <w:r>
        <w:rPr>
          <w:rFonts w:ascii="Arial" w:cs="Arial" w:eastAsia="Arial" w:hAnsi="Arial"/>
          <w:sz w:val="16"/>
          <w:szCs w:val="16"/>
          <w:color w:val="auto"/>
        </w:rPr>
        <w:t>neither the Company nor the Subsidiary is in breach or violation of or in default under (nor has any event occurred which, with notice, lapse of time or both, would result in any breach or violation of, constitute a default under or give the holder of any indebtedness (or a person acting on such holder’s behalf) the right to require the repurchase, redemption or repayment of all or a part of such indebtedness under) (A) its charter or bylaws, or (B) any indenture, mortgage, deed of trust, bank loan or credit agreement or other evidence of indebtedness, or any license, lease, contract or other agreement or instrument to which it is a party or by which it or any of its properties may be bound or affected, or (C) any federal, state, local or foreign law, regulation or rule, or (D) any rule or regulation of any self-regulatory organization or other non-governmental regulatory authority (including, without limitation, the rules and regulations of the NASDAQ), or (E) any decree, judgment or order applicable to it or any of its properties, except, with respect to clauses (B), (C), (D) or (E), for such breaches, violations, defaults and events as would not, individually or in the aggregate, have a Material Adverse Effect;</w:t>
      </w:r>
    </w:p>
    <w:p>
      <w:pPr>
        <w:spacing w:after="0" w:line="58" w:lineRule="exact"/>
        <w:rPr>
          <w:rFonts w:ascii="Arial" w:cs="Arial" w:eastAsia="Arial" w:hAnsi="Arial"/>
          <w:sz w:val="16"/>
          <w:szCs w:val="16"/>
          <w:color w:val="auto"/>
        </w:rPr>
      </w:pPr>
    </w:p>
    <w:p>
      <w:pPr>
        <w:ind w:left="4" w:right="200" w:firstLine="221"/>
        <w:spacing w:after="0" w:line="284" w:lineRule="auto"/>
        <w:tabs>
          <w:tab w:leader="none" w:pos="534"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execution, delivery and performance of this Agreement, the issuance and sale of the Securities, the issuance of the Warrant Shares and the consummation of the transactions contemplated hereby will not conflict with, result in any breach or violation of or constitute a default under (nor constitute any event which, with notice, lapse of time or both, would result in any breach or violation of, constitute a default under or give the holder of any indebtedness (or a person acting on such holder’s behalf) the right to require the repurchase, redemption or repayment of all or a part of such indebtedness under) (or result in the creation or imposition of a lien, charge or encumbrance on any property or assets of the Company or the Subsidiary pursuant to) (A) the charter or bylaws of the Company or the Subsidiary, or (B) any indenture, mortgage, deed of trust, bank loan or credit agreement or other evidence of indebtedness, or any license, lease, contract or other agreement or instrument to which the Company or the Subsidiary is a party or by which any of them or any of their respective properties may be bound or affected, or (C) any federal, state, local or foreign law, regulation or rule, or</w:t>
      </w:r>
    </w:p>
    <w:p>
      <w:pPr>
        <w:spacing w:after="0" w:line="1" w:lineRule="exact"/>
        <w:rPr>
          <w:rFonts w:ascii="Arial" w:cs="Arial" w:eastAsia="Arial" w:hAnsi="Arial"/>
          <w:sz w:val="16"/>
          <w:szCs w:val="16"/>
          <w:color w:val="auto"/>
        </w:rPr>
      </w:pPr>
    </w:p>
    <w:p>
      <w:pPr>
        <w:ind w:left="4" w:right="120" w:hanging="4"/>
        <w:spacing w:after="0" w:line="254" w:lineRule="auto"/>
        <w:tabs>
          <w:tab w:leader="none" w:pos="299"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rule or regulation of any self-regulatory organization or other non-governmental regulatory authority (including, without limitation, the rules and regulations of the NASDAQ), or (E) any decree, judgment or order applicable to the Company or the Subsidiary or any of their respective properties, except, with respect to clause (B), for such conflicts, breaches, violations, defaults and events as would not, individually or in the aggregate, have a Material Adverse Effect;</w:t>
      </w:r>
    </w:p>
    <w:p>
      <w:pPr>
        <w:spacing w:after="0" w:line="162" w:lineRule="exact"/>
        <w:rPr>
          <w:rFonts w:ascii="Arial" w:cs="Arial" w:eastAsia="Arial" w:hAnsi="Arial"/>
          <w:sz w:val="18"/>
          <w:szCs w:val="18"/>
          <w:color w:val="auto"/>
        </w:rPr>
      </w:pPr>
    </w:p>
    <w:p>
      <w:pPr>
        <w:ind w:left="5424" w:hanging="96"/>
        <w:spacing w:after="0"/>
        <w:tabs>
          <w:tab w:leader="none" w:pos="5424" w:val="left"/>
        </w:tabs>
        <w:numPr>
          <w:ilvl w:val="2"/>
          <w:numId w:val="11"/>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4"/>
          </w:cols>
          <w:pgMar w:left="476" w:top="935" w:right="279" w:bottom="1440" w:gutter="0" w:footer="0" w:header="0"/>
        </w:sectPr>
      </w:pPr>
    </w:p>
    <w:bookmarkStart w:id="16" w:name="page17"/>
    <w:bookmarkEnd w:id="16"/>
    <w:p>
      <w:pPr>
        <w:ind w:left="-221" w:firstLine="221"/>
        <w:spacing w:after="0" w:line="290" w:lineRule="auto"/>
        <w:tabs>
          <w:tab w:leader="none" w:pos="259"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except as have been obtained or made, no approval, authorization, consent or order of or filing with any federal, state, local or foreign governmental or regulatory commission, board, body, authority or agency, or of or with any self-regulatory organization or other non-governmental regulatory authority, or approval of the stockholders of the Company, is required in connection with the issuance and sale of the Securities, the issuance of the Warrant Shares or the consummation by the Company of the transactions contemplated hereby, other than (i) registration of the Securities and the Warrant Shares under the Act, which has been effected (or, with respect to any registration statement to be filed hereunder pursuant to Rule 462(b) under the Act, will be effected in accordance herewith), (ii) any necessary qualification under the securities or blue sky laws of the various jurisdictions in which the Securities or Warrant Shares are being offered, (iii) under the Conduct Rules of the Financial Industry Regulatory Authority, Inc. (“</w:t>
      </w:r>
      <w:r>
        <w:rPr>
          <w:rFonts w:ascii="Arial" w:cs="Arial" w:eastAsia="Arial" w:hAnsi="Arial"/>
          <w:sz w:val="16"/>
          <w:szCs w:val="16"/>
          <w:u w:val="single" w:color="auto"/>
          <w:color w:val="auto"/>
        </w:rPr>
        <w:t>FINRA</w:t>
      </w:r>
      <w:r>
        <w:rPr>
          <w:rFonts w:ascii="Arial" w:cs="Arial" w:eastAsia="Arial" w:hAnsi="Arial"/>
          <w:sz w:val="16"/>
          <w:szCs w:val="16"/>
          <w:color w:val="auto"/>
        </w:rPr>
        <w:t>”) or (iv) any necessary qualification with or notice to NASDAQ, which shall be effected or made in a timely manner;</w:t>
      </w:r>
    </w:p>
    <w:p>
      <w:pPr>
        <w:spacing w:after="0" w:line="58" w:lineRule="exact"/>
        <w:rPr>
          <w:rFonts w:ascii="Arial" w:cs="Arial" w:eastAsia="Arial" w:hAnsi="Arial"/>
          <w:sz w:val="16"/>
          <w:szCs w:val="16"/>
          <w:color w:val="auto"/>
        </w:rPr>
      </w:pPr>
    </w:p>
    <w:p>
      <w:pPr>
        <w:ind w:left="-221" w:right="40" w:firstLine="221"/>
        <w:spacing w:after="0" w:line="272" w:lineRule="auto"/>
        <w:tabs>
          <w:tab w:leader="none" w:pos="259"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except as described in the Registration Statement, the Basic Prospectus and the Prospectus, (i) no person has the right, contractual or otherwise, to cause the Company to issue or sell to it any shares of Common Stock or shares of any other capital stock or other equity interests of the Company, (ii) no person has any preemptive rights, resale rights, rights of first refusal or other rights to purchase any shares of Common Stock or shares of any other capital stock of or other equity interests in the Company and (iii) no person has the right to act as an underwriter or placement agent or as a financial advisor to the Company in connection with the offer and sale of the Securities; no person has the right, contractual or otherwise, to cause the Company to register under the Act any shares of Common Stock or shares of any other capital stock of or other equity interests in the Company, or to include any such shares or interests in the Registration Statement or the offering contemplated thereby;</w:t>
      </w:r>
    </w:p>
    <w:p>
      <w:pPr>
        <w:spacing w:after="0" w:line="69" w:lineRule="exact"/>
        <w:rPr>
          <w:rFonts w:ascii="Arial" w:cs="Arial" w:eastAsia="Arial" w:hAnsi="Arial"/>
          <w:sz w:val="17"/>
          <w:szCs w:val="17"/>
          <w:color w:val="auto"/>
        </w:rPr>
      </w:pPr>
    </w:p>
    <w:p>
      <w:pPr>
        <w:ind w:left="-221" w:right="20" w:firstLine="221"/>
        <w:spacing w:after="0" w:line="291" w:lineRule="auto"/>
        <w:tabs>
          <w:tab w:leader="none" w:pos="259" w:val="left"/>
        </w:tabs>
        <w:numPr>
          <w:ilvl w:val="0"/>
          <w:numId w:val="12"/>
        </w:numPr>
        <w:rPr>
          <w:rFonts w:ascii="Arial" w:cs="Arial" w:eastAsia="Arial" w:hAnsi="Arial"/>
          <w:sz w:val="16"/>
          <w:szCs w:val="16"/>
          <w:color w:val="auto"/>
        </w:rPr>
      </w:pPr>
      <w:r>
        <w:rPr>
          <w:rFonts w:ascii="Arial" w:cs="Arial" w:eastAsia="Arial" w:hAnsi="Arial"/>
          <w:sz w:val="16"/>
          <w:szCs w:val="16"/>
          <w:color w:val="auto"/>
        </w:rPr>
        <w:t>each of the Company and the Subsidiary has all necessary licenses, authorizations, consents and approvals and has made all necessary filings required under any applicable law, regulation or rule, and has obtained all necessary licenses, authorizations, consents and approvals from other persons, in order to conduct its business, except where the failure to have or obtain such licenses, authorizations, consents and approvals, or to make such filings, would not, individually or in the aggregate, have a Material Adverse Effect; neither the Company nor the Subsidiary is in violation of, or in default under, or has received notice of any proceedings relating to revocation or modification of, any such license, authorization, consent or approval or any federal, state, local or foreign law, regulation or rule or any decree, order or judgment applicable to the Company or the Subsidiary, except where such violation, default, revocation or modification would not, individually or in the aggregate, have a Material Adverse Effect;</w:t>
      </w:r>
    </w:p>
    <w:p>
      <w:pPr>
        <w:spacing w:after="0" w:line="59" w:lineRule="exact"/>
        <w:rPr>
          <w:rFonts w:ascii="Arial" w:cs="Arial" w:eastAsia="Arial" w:hAnsi="Arial"/>
          <w:sz w:val="16"/>
          <w:szCs w:val="16"/>
          <w:color w:val="auto"/>
        </w:rPr>
      </w:pPr>
    </w:p>
    <w:p>
      <w:pPr>
        <w:ind w:left="-221" w:right="440" w:firstLine="221"/>
        <w:spacing w:after="0" w:line="277" w:lineRule="auto"/>
        <w:tabs>
          <w:tab w:leader="none" w:pos="259"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except as described in the Registration Statement, the Basic Prospectus and the Prospectus, there are no actions, suits, claims, investigations or proceedings pending or, to the Company’s knowledge, threatened or contemplated to which the</w:t>
      </w:r>
    </w:p>
    <w:p>
      <w:pPr>
        <w:spacing w:after="0" w:line="143" w:lineRule="exact"/>
        <w:rPr>
          <w:rFonts w:ascii="Arial" w:cs="Arial" w:eastAsia="Arial" w:hAnsi="Arial"/>
          <w:sz w:val="18"/>
          <w:szCs w:val="18"/>
          <w:color w:val="auto"/>
        </w:rPr>
      </w:pPr>
    </w:p>
    <w:p>
      <w:pPr>
        <w:ind w:left="5199" w:hanging="96"/>
        <w:spacing w:after="0"/>
        <w:tabs>
          <w:tab w:leader="none" w:pos="5199" w:val="left"/>
        </w:tabs>
        <w:numPr>
          <w:ilvl w:val="1"/>
          <w:numId w:val="12"/>
        </w:numPr>
        <w:rPr>
          <w:rFonts w:ascii="Arial" w:cs="Arial" w:eastAsia="Arial" w:hAnsi="Arial"/>
          <w:sz w:val="18"/>
          <w:szCs w:val="18"/>
          <w:color w:val="auto"/>
        </w:rPr>
      </w:pPr>
      <w:r>
        <w:rPr>
          <w:rFonts w:ascii="Arial" w:cs="Arial" w:eastAsia="Arial" w:hAnsi="Arial"/>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59"/>
          </w:cols>
          <w:pgMar w:left="701" w:top="935" w:right="239" w:bottom="1440" w:gutter="0" w:footer="0" w:header="0"/>
        </w:sectPr>
      </w:pPr>
    </w:p>
    <w:bookmarkStart w:id="17" w:name="page18"/>
    <w:bookmarkEnd w:id="17"/>
    <w:p>
      <w:pPr>
        <w:ind w:right="60"/>
        <w:spacing w:after="0" w:line="257" w:lineRule="auto"/>
        <w:rPr>
          <w:sz w:val="20"/>
          <w:szCs w:val="20"/>
          <w:color w:val="auto"/>
        </w:rPr>
      </w:pPr>
      <w:r>
        <w:rPr>
          <w:rFonts w:ascii="Arial" w:cs="Arial" w:eastAsia="Arial" w:hAnsi="Arial"/>
          <w:sz w:val="18"/>
          <w:szCs w:val="18"/>
          <w:color w:val="auto"/>
        </w:rPr>
        <w:t>Company or the Subsidiary or any of their respective directors or officers is or would be a party or of which any of their respective properties is or would be subject at law or in equity, before or by any federal, state, local or foreign governmental or regulatory commission, board, body, authority or agency, or before or by any self-regulatory organization or other non-governmental regulatory authority (including, without limitation, the NASDAQ), except any such action, suit, claim, investigation or proceeding which, if resolved adversely to the Company or the Subsidiary, would not, individually or in the aggregate, have a Material Adverse Effect;</w:t>
      </w:r>
    </w:p>
    <w:p>
      <w:pPr>
        <w:spacing w:after="0" w:line="80" w:lineRule="exact"/>
        <w:rPr>
          <w:sz w:val="20"/>
          <w:szCs w:val="20"/>
          <w:color w:val="auto"/>
        </w:rPr>
      </w:pPr>
    </w:p>
    <w:p>
      <w:pPr>
        <w:ind w:firstLine="221"/>
        <w:spacing w:after="0" w:line="264" w:lineRule="auto"/>
        <w:tabs>
          <w:tab w:leader="none" w:pos="4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Grant Thornton LLP, whose reports on the consolidated financial statements of the Company and the Subsidiary are incorporated by reference in the Registration Statement, the Basic Prospectus and the Prospectus, is an independent registered public accountant as required by the Act and by the rules of the Public Company Accounting Oversight Board (the “</w:t>
      </w:r>
      <w:r>
        <w:rPr>
          <w:rFonts w:ascii="Arial" w:cs="Arial" w:eastAsia="Arial" w:hAnsi="Arial"/>
          <w:sz w:val="18"/>
          <w:szCs w:val="18"/>
          <w:u w:val="single" w:color="auto"/>
          <w:color w:val="auto"/>
        </w:rPr>
        <w:t>PCAOB</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firstLine="221"/>
        <w:spacing w:after="0" w:line="285"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financial statements included or incorporated by reference in the Registration Statement, the Basic Prospectus, the Prospectus or any Permitted Free Writing Prospectus, together with the related notes and schedules, present fairly the consolidated financial position of the Company and the Subsidiary as of the dates indicated and the consolidated results of operations, cash flows and changes in stockholders’ equity of the Company for the periods specified and have been prepared in compliance with the requirements of the Act and Exchange Act and in conformity with U.S. generally accepted accounting principles applied on a consistent basis during the periods involved; all pro forma financial statements, if any, and pro forma financial data included or incorporated by reference in the Registration Statement, the Basic Prospectus, the Prospectus or any Permitted Free Writing Prospectus comply with the requirements of the Act and the Exchange Act, and the assumptions used in the preparation of such pro forma financial statements and data are reasonable, the pro forma adjustments used therein are appropriate to give effect to the transactions or circumstances described therein and the pro forma adjustments have been properly applied to the historical amounts in the compilation of those statements and data; the other financial and statistical data contained or incorporated by reference in the Registration Statement, the Basic Prospectus, the Prospectus or any Permitted Free Writing Prospectus are accurately and fairly presented and prepared on a basis consistent with the financial statements and books and records of the Company; there are no financial statements (historical or pro forma) that are required to be included or incorporated by reference in the Registration Statement, the Basic Prospectus or the Prospectus that are not included or incorporated by reference as required; the Company and the Subsidiary do not have any material liabilities or obligations, direct or contingent (including any off-balance sheet obligations), not described in the Registration Statement, the Basic Prospectus and the Prospectus; and all disclosures contained or incorporated by reference in the Registration Statement, the Basic Prospectus, the Prospectus or any Permitted Free Writing Prospectus regarding “non-GAAP financial measures” (as such term is defined by the rules and regulations of the Commission) comply with Regulation G of the Exchange Act and Item 10 of Regulation S-K under the Act, to the extent applicable;</w:t>
      </w:r>
    </w:p>
    <w:p>
      <w:pPr>
        <w:spacing w:after="0" w:line="148" w:lineRule="exact"/>
        <w:rPr>
          <w:rFonts w:ascii="Arial" w:cs="Arial" w:eastAsia="Arial" w:hAnsi="Arial"/>
          <w:sz w:val="16"/>
          <w:szCs w:val="16"/>
          <w:color w:val="auto"/>
        </w:rPr>
      </w:pPr>
    </w:p>
    <w:p>
      <w:pPr>
        <w:ind w:left="5380" w:hanging="101"/>
        <w:spacing w:after="0"/>
        <w:tabs>
          <w:tab w:leader="none" w:pos="53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80" w:top="935" w:right="279" w:bottom="1440" w:gutter="0" w:footer="0" w:header="0"/>
        </w:sectPr>
      </w:pPr>
    </w:p>
    <w:bookmarkStart w:id="18" w:name="page19"/>
    <w:bookmarkEnd w:id="18"/>
    <w:p>
      <w:pPr>
        <w:ind w:left="-221" w:right="180" w:firstLine="221"/>
        <w:spacing w:after="0" w:line="269" w:lineRule="auto"/>
        <w:tabs>
          <w:tab w:leader="none" w:pos="219" w:val="left"/>
        </w:tabs>
        <w:numPr>
          <w:ilvl w:val="0"/>
          <w:numId w:val="14"/>
        </w:numPr>
        <w:rPr>
          <w:rFonts w:ascii="Arial" w:cs="Arial" w:eastAsia="Arial" w:hAnsi="Arial"/>
          <w:sz w:val="17"/>
          <w:szCs w:val="17"/>
          <w:color w:val="auto"/>
        </w:rPr>
      </w:pPr>
      <w:r>
        <w:rPr>
          <w:rFonts w:ascii="Arial" w:cs="Arial" w:eastAsia="Arial" w:hAnsi="Arial"/>
          <w:sz w:val="17"/>
          <w:szCs w:val="17"/>
          <w:color w:val="auto"/>
        </w:rPr>
        <w:t>subsequent to the respective dates as of which information is given in the Registration Statement, the Basic Prospectus, the Prospectus and the Permitted Free Writing Prospectuses, if any, in each case excluding any amendments or supplements to the foregoing made after the execution of this Agreement, there has not been (i) any material adverse change, or any development involving a prospective material adverse change, in the business, properties, management, financial condition or results of operations of the Company and the Subsidiary taken as a whole, (ii) any transaction which is material to the Company and the Subsidiary taken as a whole, (iii) any obligation or liability, direct or contingent (including any off-balance sheet obligations), incurred by the Company or the Subsidiary, which is material to the Company and the Subsidiary taken as a whole, (iv) any change in the capital stock or outstanding indebtedness of the Company or the Subsidiary (excluding, for purposes of this clause (iv), (A) any such changes due to the issuance of shares of Common Stock upon exercise of stock options and warrants disclosed as outstanding in the Registration Statement, the Basic Prospectus and the Prospectus or the grant of options under existing stock option plans described in the Registration Statement, the Basic Prospectus and the Prospectus, and (B) any incurrence of indebtedness made in the ordinary course of the Company’s business as contemplated by the Registration Statement, the Basic Prospectus and the Prospectus) or (v) any dividend or distribution of any kind declared, paid or made on the capital stock of the Company or the Subsidiary;</w:t>
      </w:r>
    </w:p>
    <w:p>
      <w:pPr>
        <w:spacing w:after="0" w:line="71" w:lineRule="exact"/>
        <w:rPr>
          <w:rFonts w:ascii="Arial" w:cs="Arial" w:eastAsia="Arial" w:hAnsi="Arial"/>
          <w:sz w:val="17"/>
          <w:szCs w:val="17"/>
          <w:color w:val="auto"/>
        </w:rPr>
      </w:pPr>
    </w:p>
    <w:p>
      <w:pPr>
        <w:ind w:left="-221" w:right="200" w:firstLine="221"/>
        <w:spacing w:after="0" w:line="257" w:lineRule="auto"/>
        <w:tabs>
          <w:tab w:leader="none" w:pos="259"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neither the Company nor the Subsidiary is, and at no time during which a prospectus is required by the Act to be delivered (whether physically or through compliance with Rule 172 under the Act or any similar rule) in connection with any sale of Securities will either of them be, and, after giving effect to the offering and sale of the Securities and the application of the proceeds thereof, neither of them will be, an “investment company” or an entity “controlled” by an “investment company,” as such terms are defined in the Investment Company Act of 1940, as amended (the “</w:t>
      </w:r>
      <w:r>
        <w:rPr>
          <w:rFonts w:ascii="Arial" w:cs="Arial" w:eastAsia="Arial" w:hAnsi="Arial"/>
          <w:sz w:val="18"/>
          <w:szCs w:val="18"/>
          <w:u w:val="single" w:color="auto"/>
          <w:color w:val="auto"/>
        </w:rPr>
        <w:t>Investment 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Act</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jc w:val="both"/>
        <w:ind w:left="-221" w:firstLine="221"/>
        <w:spacing w:after="0" w:line="297" w:lineRule="auto"/>
        <w:tabs>
          <w:tab w:leader="none" w:pos="259"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and the Subsidiary have good and marketable title to all property (real and personal) described in the Registration Statement, the Basic Prospectus, the Prospectus or any Permitted Free Writing Prospectus as being owned by any of them, free and clear of all liens, claims, security interests or other encumbrances, except to the extent such liens, claims, security interests or other encumbrances are disclosed in the Registration Statement, the Basic Prospectus and the Prospectus; all the property described in the Registration Statement, the Basic Prospectus, the Prospectus or any Permitted Free Writing Prospectus as being held under lease by the Company or the Subsidiary is held thereby under valid, subsisting and enforceable leases;</w:t>
      </w:r>
    </w:p>
    <w:p>
      <w:pPr>
        <w:spacing w:after="0" w:line="50" w:lineRule="exact"/>
        <w:rPr>
          <w:rFonts w:ascii="Arial" w:cs="Arial" w:eastAsia="Arial" w:hAnsi="Arial"/>
          <w:sz w:val="16"/>
          <w:szCs w:val="16"/>
          <w:color w:val="auto"/>
        </w:rPr>
      </w:pPr>
    </w:p>
    <w:p>
      <w:pPr>
        <w:ind w:left="-221" w:right="60" w:firstLine="221"/>
        <w:spacing w:after="0" w:line="259" w:lineRule="auto"/>
        <w:tabs>
          <w:tab w:leader="none" w:pos="299"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except as described in the Registration Statement, the Basic Prospectus and the Prospectus, the Company and the Subsidiary own, or have obtained valid and enforceable licenses for, or other rights to use, the inventions, patent applications, patents, trademarks (both registered and unregistered), tradenames, service names, copyrights, trade secrets and other proprietary information described in the Registration Statement, the Basic Prospectus, the Prospectus or any Permitted Free Writing Prospectus</w:t>
      </w:r>
    </w:p>
    <w:p>
      <w:pPr>
        <w:spacing w:after="0" w:line="159" w:lineRule="exact"/>
        <w:rPr>
          <w:rFonts w:ascii="Arial" w:cs="Arial" w:eastAsia="Arial" w:hAnsi="Arial"/>
          <w:sz w:val="18"/>
          <w:szCs w:val="18"/>
          <w:color w:val="auto"/>
        </w:rPr>
      </w:pPr>
    </w:p>
    <w:p>
      <w:pPr>
        <w:ind w:left="5159" w:hanging="98"/>
        <w:spacing w:after="0"/>
        <w:tabs>
          <w:tab w:leader="none" w:pos="5159" w:val="left"/>
        </w:tabs>
        <w:numPr>
          <w:ilvl w:val="1"/>
          <w:numId w:val="14"/>
        </w:numPr>
        <w:rPr>
          <w:rFonts w:ascii="Arial" w:cs="Arial" w:eastAsia="Arial" w:hAnsi="Arial"/>
          <w:sz w:val="18"/>
          <w:szCs w:val="18"/>
          <w:color w:val="auto"/>
        </w:rPr>
      </w:pPr>
      <w:r>
        <w:rPr>
          <w:rFonts w:ascii="Arial" w:cs="Arial" w:eastAsia="Arial" w:hAnsi="Arial"/>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59"/>
          </w:cols>
          <w:pgMar w:left="701" w:top="935" w:right="239" w:bottom="1440" w:gutter="0" w:footer="0" w:header="0"/>
        </w:sectPr>
      </w:pPr>
    </w:p>
    <w:bookmarkStart w:id="19" w:name="page20"/>
    <w:bookmarkEnd w:id="19"/>
    <w:p>
      <w:pPr>
        <w:spacing w:after="0" w:line="284" w:lineRule="auto"/>
        <w:rPr>
          <w:sz w:val="20"/>
          <w:szCs w:val="20"/>
          <w:color w:val="auto"/>
        </w:rPr>
      </w:pPr>
      <w:r>
        <w:rPr>
          <w:rFonts w:ascii="Arial" w:cs="Arial" w:eastAsia="Arial" w:hAnsi="Arial"/>
          <w:sz w:val="16"/>
          <w:szCs w:val="16"/>
          <w:color w:val="auto"/>
        </w:rPr>
        <w:t>as being owned or licensed by them or which are necessary for the conduct of their respective businesses as currently conducted or as proposed (in the Registration Statement, the Basic Prospectus, the Prospectus or any Permitted Free Writing Prospectus) to be conducted (including the commercialization of products or services described in the Registration Statement, the Basic Prospectus, the Prospectus or any Permitted Free Writing Prospectus as under development), except where the failure to own, license or have such rights would not, individually or in the aggregate, have a Material Adverse Effect (collectively,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except as described in the Registration Statement, the Basic Prospectus and the Prospectus, (i) there are no third parties who have or, to the Company’s knowledge, will be able to establish rights to any Intellectual Property, except for, and to the extent of, the ownership rights of the owners of the Intellectual Property which the Registration Statement, the Basic Prospectus and the Prospectus disclose is licensed to the Company; (ii) to the Company’s knowledge, there is no infringement by third parties of any Intellectual Property; (iii) there is no pending or, to the Company’s knowledge, threatened action, suit, proceeding or claim by others challenging the Company’s rights in or to any Intellectual Property, and the Company is unaware of any facts which could form a reasonable basis for any such action, suit, proceeding or claim; (iv) there is no pending or, to the Company’s knowledge, threatened action, suit, proceeding or claim by others challenging the validity, enforceability or scope of any Intellectual Property, and the Company is unaware of any facts which could form a reasonable basis for any such action, suit, proceeding or claim; (v) there is no pending or, to the Company’s knowledge, threatened action, suit, proceeding or claim by others that the Company or the Subsidiary infringes or otherwise violates, or would, upon the commercialization of any product or service described in the Registration Statement, the Basic Prospectus, the Prospectus or any Permitted Free Writing Prospectus as under development, infringe or violate, any patent, trademark, tradename, service name, copyright, trade secret or other proprietary rights of others, and the Company is unaware of any facts which could form a reasonable basis for any such action, suit, proceeding or claim; (vi) the Company and the Subsidiary have complied with the terms of each agreement pursuant to which Intellectual Property has been licensed to the Company or the Subsidiary (except where the failure to so comply would not, individually or in the aggregate, have a Material Adverse Effect), and all such agreements are in full force and effect; (vii) to the Company’s knowledge, there is no patent or patent application that contains claims that interfere with the issued or pending claims of any of the Intellectual Property or that challenges the validity, enforceability or scope of any of the Intellectual Property; (viii) to the Company’s knowledge, there is no prior art that may render any patent application within the Intellectual Property unpatentable that has not been disclosed to the U.S. Patent and Trademark Office; and (ix) the manufacture, use or sale of the product candidates described in the Registration Statement, the Basic Prospectus, the Prospectus or any Permitted Free Writing Prospectus as under development by the Company or the Subsidiary falls or would fall within the scope of one or more claims of one or more patents or patent applications owned by, or exclusively licensed to, the Company or the Subsidiary;</w:t>
      </w:r>
    </w:p>
    <w:p>
      <w:pPr>
        <w:spacing w:after="0" w:line="285" w:lineRule="exact"/>
        <w:rPr>
          <w:sz w:val="20"/>
          <w:szCs w:val="20"/>
          <w:color w:val="auto"/>
        </w:rPr>
      </w:pPr>
    </w:p>
    <w:p>
      <w:pPr>
        <w:ind w:right="780" w:firstLine="221"/>
        <w:spacing w:after="0" w:line="277" w:lineRule="auto"/>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neither the Company nor the Subsidiary is engaged in any unfair labor practice; except for matters which would not, individually or in the aggregate, have a</w:t>
      </w:r>
    </w:p>
    <w:p>
      <w:pPr>
        <w:spacing w:after="0" w:line="143" w:lineRule="exact"/>
        <w:rPr>
          <w:rFonts w:ascii="Arial" w:cs="Arial" w:eastAsia="Arial" w:hAnsi="Arial"/>
          <w:sz w:val="18"/>
          <w:szCs w:val="18"/>
          <w:color w:val="auto"/>
        </w:rPr>
      </w:pPr>
    </w:p>
    <w:p>
      <w:pPr>
        <w:ind w:left="5380" w:hanging="101"/>
        <w:spacing w:after="0"/>
        <w:tabs>
          <w:tab w:leader="none" w:pos="53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20" w:name="page21"/>
    <w:bookmarkEnd w:id="20"/>
    <w:p>
      <w:pPr>
        <w:spacing w:after="0" w:line="271" w:lineRule="auto"/>
        <w:rPr>
          <w:sz w:val="20"/>
          <w:szCs w:val="20"/>
          <w:color w:val="auto"/>
        </w:rPr>
      </w:pPr>
      <w:r>
        <w:rPr>
          <w:rFonts w:ascii="Arial" w:cs="Arial" w:eastAsia="Arial" w:hAnsi="Arial"/>
          <w:sz w:val="17"/>
          <w:szCs w:val="17"/>
          <w:color w:val="auto"/>
        </w:rPr>
        <w:t>Material Adverse Effect, (i) there is no (A) unfair labor practice complaint pending or, to the Company’s knowledge, threatened against the Company or the Subsidiary before the National Labor Relations Board, and no grievance or arbitration proceeding arising out of or under collective bargaining agreements is pending or, to the Company’s knowledge, threatened, (B) strike, labor dispute, slowdown or stoppage pending or, to the Company’s knowledge, threatened against the Company or the Subsidiary and (C) union representation dispute currently existing concerning the employees of the Company or the Subsidiary, (ii) to the Company’s knowledge, no union organizing activities are currently taking place concerning the employees of the Company or the Subsidiary and (iii) neither the Company nor the Subsidiary has violated any federal, state, local or foreign law relating to discrimination in the hiring, promotion or pay of employees, any applicable wage or hour laws or any provision of the Employee Retirement Income Security Act of 1974 (“</w:t>
      </w:r>
      <w:r>
        <w:rPr>
          <w:rFonts w:ascii="Arial" w:cs="Arial" w:eastAsia="Arial" w:hAnsi="Arial"/>
          <w:sz w:val="17"/>
          <w:szCs w:val="17"/>
          <w:u w:val="single" w:color="auto"/>
          <w:color w:val="auto"/>
        </w:rPr>
        <w:t>ERISA</w:t>
      </w:r>
      <w:r>
        <w:rPr>
          <w:rFonts w:ascii="Arial" w:cs="Arial" w:eastAsia="Arial" w:hAnsi="Arial"/>
          <w:sz w:val="17"/>
          <w:szCs w:val="17"/>
          <w:color w:val="auto"/>
        </w:rPr>
        <w:t>”) or the rules and regulations promulgated thereunder concerning the employees of the Company or the Subsidiary;</w:t>
      </w:r>
    </w:p>
    <w:p>
      <w:pPr>
        <w:spacing w:after="0" w:line="71" w:lineRule="exact"/>
        <w:rPr>
          <w:sz w:val="20"/>
          <w:szCs w:val="20"/>
          <w:color w:val="auto"/>
        </w:rPr>
      </w:pPr>
    </w:p>
    <w:p>
      <w:pPr>
        <w:ind w:right="40" w:firstLine="221"/>
        <w:spacing w:after="0" w:line="286" w:lineRule="auto"/>
        <w:tabs>
          <w:tab w:leader="none" w:pos="4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Company and the Subsidiary and their respective properties, assets and operations are in compliance with, and the Company and the Subsidiary hold all permits, authorizations and approvals required under, Environmental Laws (as defined below), except to the extent that failure to so comply or to hold such permits, authorizations or approvals would not, individually or in the aggregate, have a Material Adverse Effect; there are no past, present or, to the Company’s knowledge, reasonably anticipated future events, conditions, circumstances, activities, practices, actions, omissions or plans that could reasonably be expected to give rise to any material costs or liabilities to the Company or the Subsidiary under, or to interfere with or prevent compliance by the Company or the Subsidiary with, Environmental Laws; except as would not, individually or in the aggregate, have a Material Adverse Effect, neither the Company nor the Subsidiary (i) is the subject of any investigation, (ii) has received any notice or claim, (iii) is a party to or affected by any pending or, to the Company’s knowledge, threatened action, suit or proceeding, (iv) is bound by any judgment, decree or order or (v) has entered into any agreement, in each case relating to any alleged violation of any Environmental Law or any actual or alleged release or threatened release or cleanup at any location of any Hazardous Materials (as defined below) (as used herein, “</w:t>
      </w:r>
      <w:r>
        <w:rPr>
          <w:rFonts w:ascii="Arial" w:cs="Arial" w:eastAsia="Arial" w:hAnsi="Arial"/>
          <w:sz w:val="16"/>
          <w:szCs w:val="16"/>
          <w:u w:val="single" w:color="auto"/>
          <w:color w:val="auto"/>
        </w:rPr>
        <w:t>Environmental Law</w:t>
      </w:r>
      <w:r>
        <w:rPr>
          <w:rFonts w:ascii="Arial" w:cs="Arial" w:eastAsia="Arial" w:hAnsi="Arial"/>
          <w:sz w:val="16"/>
          <w:szCs w:val="16"/>
          <w:color w:val="auto"/>
        </w:rPr>
        <w:t>” means any federal, state, local or foreign law, statute, ordinance, rule, regulation, order, decree, judgment, injunction, permit, license, authorization or other binding requirement, or common law, relating to health, safety or the protection, cleanup or restoration of the environment or natural resources, including those relating to the distribution, processing, generation, treatment, storage, disposal, transportation, other handling or release or threatened release of Hazardous Materials, and “</w:t>
      </w:r>
      <w:r>
        <w:rPr>
          <w:rFonts w:ascii="Arial" w:cs="Arial" w:eastAsia="Arial" w:hAnsi="Arial"/>
          <w:sz w:val="16"/>
          <w:szCs w:val="16"/>
          <w:u w:val="single" w:color="auto"/>
          <w:color w:val="auto"/>
        </w:rPr>
        <w:t>Hazardous Materials</w:t>
      </w:r>
      <w:r>
        <w:rPr>
          <w:rFonts w:ascii="Arial" w:cs="Arial" w:eastAsia="Arial" w:hAnsi="Arial"/>
          <w:sz w:val="16"/>
          <w:szCs w:val="16"/>
          <w:color w:val="auto"/>
        </w:rPr>
        <w:t>” means any material (including, without limitation, pollutants, contaminants, hazardous or toxic substances or wastes) that is regulated by or may give rise to liability under any Environmental Law);</w:t>
      </w:r>
    </w:p>
    <w:p>
      <w:pPr>
        <w:spacing w:after="0" w:line="60" w:lineRule="exact"/>
        <w:rPr>
          <w:rFonts w:ascii="Arial" w:cs="Arial" w:eastAsia="Arial" w:hAnsi="Arial"/>
          <w:sz w:val="16"/>
          <w:szCs w:val="16"/>
          <w:color w:val="auto"/>
        </w:rPr>
      </w:pPr>
    </w:p>
    <w:p>
      <w:pPr>
        <w:ind w:right="40" w:firstLine="221"/>
        <w:spacing w:after="0" w:line="264" w:lineRule="auto"/>
        <w:tabs>
          <w:tab w:leader="none" w:pos="47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and the Subsidiary periodically review the effect of the Environmental Laws on their respective businesses, operations and properties, in the course of which they identify and evaluate associated costs and liabilities (including, without limitation, any capital or operating expenditures required for cleanup, closure of</w:t>
      </w:r>
    </w:p>
    <w:p>
      <w:pPr>
        <w:spacing w:after="0" w:line="154" w:lineRule="exact"/>
        <w:rPr>
          <w:rFonts w:ascii="Arial" w:cs="Arial" w:eastAsia="Arial" w:hAnsi="Arial"/>
          <w:sz w:val="18"/>
          <w:szCs w:val="18"/>
          <w:color w:val="auto"/>
        </w:rPr>
      </w:pPr>
    </w:p>
    <w:p>
      <w:pPr>
        <w:ind w:left="5380" w:hanging="101"/>
        <w:spacing w:after="0"/>
        <w:tabs>
          <w:tab w:leader="none" w:pos="53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21" w:name="page22"/>
    <w:bookmarkEnd w:id="21"/>
    <w:p>
      <w:pPr>
        <w:ind w:right="100"/>
        <w:spacing w:after="0" w:line="277" w:lineRule="auto"/>
        <w:rPr>
          <w:sz w:val="20"/>
          <w:szCs w:val="20"/>
          <w:color w:val="auto"/>
        </w:rPr>
      </w:pPr>
      <w:r>
        <w:rPr>
          <w:rFonts w:ascii="Arial" w:cs="Arial" w:eastAsia="Arial" w:hAnsi="Arial"/>
          <w:sz w:val="18"/>
          <w:szCs w:val="18"/>
          <w:color w:val="auto"/>
        </w:rPr>
        <w:t>properties or compliance with the Environmental Laws or any permit, license or approval, any related constraints on operating activities and any potential liabilities to third parties);</w:t>
      </w:r>
    </w:p>
    <w:p>
      <w:pPr>
        <w:spacing w:after="0" w:line="62" w:lineRule="exact"/>
        <w:rPr>
          <w:sz w:val="20"/>
          <w:szCs w:val="20"/>
          <w:color w:val="auto"/>
        </w:rPr>
      </w:pPr>
    </w:p>
    <w:p>
      <w:pPr>
        <w:jc w:val="both"/>
        <w:ind w:right="160" w:firstLine="221"/>
        <w:spacing w:after="0" w:line="312" w:lineRule="auto"/>
        <w:tabs>
          <w:tab w:leader="none" w:pos="55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all tax returns required to be filed by the Company or the Subsidiary have been timely filed or corrected, and all taxes and other assessments of a similar nature (whether imposed directly or through withholding) including any interest, additions to tax or penalties applicable thereto due or claimed to be due from such entities have been timely paid, other than those being contested in good faith and for which adequate reserves have been provided;</w:t>
      </w:r>
    </w:p>
    <w:p>
      <w:pPr>
        <w:spacing w:after="0" w:line="38" w:lineRule="exact"/>
        <w:rPr>
          <w:rFonts w:ascii="Arial" w:cs="Arial" w:eastAsia="Arial" w:hAnsi="Arial"/>
          <w:sz w:val="16"/>
          <w:szCs w:val="16"/>
          <w:color w:val="auto"/>
        </w:rPr>
      </w:pPr>
    </w:p>
    <w:p>
      <w:pPr>
        <w:ind w:right="120" w:firstLine="221"/>
        <w:spacing w:after="0" w:line="257" w:lineRule="auto"/>
        <w:tabs>
          <w:tab w:leader="none" w:pos="57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and the Subsidiary maintain insurance covering their respective properties, operations, personnel and businesses as the Company reasonably deems adequate; such insurance insures against such losses and risks to an extent which is adequate in accordance with customary industry practice to protect the Company and the Subsidiary and their respective businesses; all such insurance is fully in force on the date hereof and will be fully in force at the time of purchase; neither the Company nor the Subsidiary has reason to believe that it will not be able to renew any such insurance as and when such insurance expires;</w:t>
      </w:r>
    </w:p>
    <w:p>
      <w:pPr>
        <w:spacing w:after="0" w:line="80" w:lineRule="exact"/>
        <w:rPr>
          <w:rFonts w:ascii="Arial" w:cs="Arial" w:eastAsia="Arial" w:hAnsi="Arial"/>
          <w:sz w:val="18"/>
          <w:szCs w:val="18"/>
          <w:color w:val="auto"/>
        </w:rPr>
      </w:pPr>
    </w:p>
    <w:p>
      <w:pPr>
        <w:ind w:right="580" w:firstLine="221"/>
        <w:spacing w:after="0" w:line="297" w:lineRule="auto"/>
        <w:tabs>
          <w:tab w:leader="none" w:pos="55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neither the Company nor the Subsidiary has sent or received any communication regarding termination of, or intent not to renew, any of the contracts or agreements referred to or described in the Basic Prospectus, the Prospectus or any Permitted Free Writing Prospectus, or referred to or described in, or filed as an exhibit to, the Registration Statement or any Incorporated Document, and no such termination or non-renewal has been threatened by the Company or the Subsidiary or, to the Company’s knowledge, any other party to any such contract or agreement, except where the terminations or non-renewals of such contracts or agreements would not, individually or in the aggregate, have a Material Adverse Effect;</w:t>
      </w:r>
    </w:p>
    <w:p>
      <w:pPr>
        <w:spacing w:after="0" w:line="50" w:lineRule="exact"/>
        <w:rPr>
          <w:rFonts w:ascii="Arial" w:cs="Arial" w:eastAsia="Arial" w:hAnsi="Arial"/>
          <w:sz w:val="16"/>
          <w:szCs w:val="16"/>
          <w:color w:val="auto"/>
        </w:rPr>
      </w:pPr>
    </w:p>
    <w:p>
      <w:pPr>
        <w:ind w:firstLine="221"/>
        <w:spacing w:after="0" w:line="276" w:lineRule="auto"/>
        <w:tabs>
          <w:tab w:leader="none" w:pos="57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Company and the Subsidiary maintain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64" w:lineRule="exact"/>
        <w:rPr>
          <w:rFonts w:ascii="Arial" w:cs="Arial" w:eastAsia="Arial" w:hAnsi="Arial"/>
          <w:sz w:val="17"/>
          <w:szCs w:val="17"/>
          <w:color w:val="auto"/>
        </w:rPr>
      </w:pPr>
    </w:p>
    <w:p>
      <w:pPr>
        <w:jc w:val="both"/>
        <w:ind w:right="40" w:firstLine="221"/>
        <w:spacing w:after="0" w:line="259" w:lineRule="auto"/>
        <w:tabs>
          <w:tab w:leader="none" w:pos="55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has established and maintains and evaluates “disclosure controls and procedures” (as such term is defined in Rule 13a-15 and 15d-15 under the Exchange Act) and “internal control over financial reporting” (as such term is defined in Rule 13a-15 and 15d-15 under the Exchange Act); such disclosure controls and procedures are designed to ensure that material information relating to the Company, including its consolidated subsidiary, is made known to the Company’s Chief Executive</w:t>
      </w:r>
    </w:p>
    <w:p>
      <w:pPr>
        <w:spacing w:after="0" w:line="159" w:lineRule="exact"/>
        <w:rPr>
          <w:rFonts w:ascii="Arial" w:cs="Arial" w:eastAsia="Arial" w:hAnsi="Arial"/>
          <w:sz w:val="18"/>
          <w:szCs w:val="18"/>
          <w:color w:val="auto"/>
        </w:rPr>
      </w:pPr>
    </w:p>
    <w:p>
      <w:pPr>
        <w:ind w:left="5380" w:hanging="101"/>
        <w:spacing w:after="0"/>
        <w:tabs>
          <w:tab w:leader="none" w:pos="53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22" w:name="page23"/>
    <w:bookmarkEnd w:id="22"/>
    <w:p>
      <w:pPr>
        <w:spacing w:after="0" w:line="286" w:lineRule="auto"/>
        <w:rPr>
          <w:sz w:val="20"/>
          <w:szCs w:val="20"/>
          <w:color w:val="auto"/>
        </w:rPr>
      </w:pPr>
      <w:r>
        <w:rPr>
          <w:rFonts w:ascii="Arial" w:cs="Arial" w:eastAsia="Arial" w:hAnsi="Arial"/>
          <w:sz w:val="16"/>
          <w:szCs w:val="16"/>
          <w:color w:val="auto"/>
        </w:rPr>
        <w:t>Officer and its Chief Financial Officer by others within those entities, and such disclosure controls and procedures are effective to perform the functions for which they were established; the Company’s independent auditors and the Audit Committee of the Board of Directors of the Company have been advised of: (i) all significant deficiencies, if any, in the design or operation of internal controls which could adversely affect the Company’s ability to record, process, summarize and report financial data; and (ii) all fraud, if any, whether or not material, that involves management or other employees who have a role in the Company’s internal controls; all material weaknesses, if any, in internal controls have been identified to the Company’s independent auditors; since the date of the most recent evaluation of such disclosure controls and procedures and internal controls, there have been no significant changes in internal controls or in other factors that could significantly affect internal controls, including any corrective actions with regard to significant deficiencies and material weaknesses; the Company remediated the material weakness, significant deficiencies and ineffectiveness of internal controls over financial reporting disclosed in the Company’s Annual Report on Form 10-K filed with the Commission on March 15, 2005; all “significant deficiencies” and “material weaknesses” (as such terms are defined in PCAOB Auditing Standard No. 2) of the Company, if any, have been disclosed in the Registration Statement, the Basic Prospectus and the Prospectus; the principal executive officers (or their equivalents) and principal financial officers (or their equivalents) of the Company have made all certifications required by the Sarbanes-Oxley Act of 2002 (the “</w:t>
      </w:r>
      <w:r>
        <w:rPr>
          <w:rFonts w:ascii="Arial" w:cs="Arial" w:eastAsia="Arial" w:hAnsi="Arial"/>
          <w:sz w:val="16"/>
          <w:szCs w:val="16"/>
          <w:u w:val="single" w:color="auto"/>
          <w:color w:val="auto"/>
        </w:rPr>
        <w:t>Sarbanes-Oxley Act</w:t>
      </w:r>
      <w:r>
        <w:rPr>
          <w:rFonts w:ascii="Arial" w:cs="Arial" w:eastAsia="Arial" w:hAnsi="Arial"/>
          <w:sz w:val="16"/>
          <w:szCs w:val="16"/>
          <w:color w:val="auto"/>
        </w:rPr>
        <w:t>”) and any related rules and regulations promulgated by the Commission, and the statements contained in each such certification are complete and correct; the Company, the Subsidiary and the Company’s directors and officers are each in compliance in all material respects with all applicable effective provisions of the Sarbanes-Oxley Act and the rules and regulations of the Commission and the NASDAQ promulgated thereunder;</w:t>
      </w:r>
    </w:p>
    <w:p>
      <w:pPr>
        <w:spacing w:after="0" w:line="61" w:lineRule="exact"/>
        <w:rPr>
          <w:sz w:val="20"/>
          <w:szCs w:val="20"/>
          <w:color w:val="auto"/>
        </w:rPr>
      </w:pPr>
    </w:p>
    <w:p>
      <w:pPr>
        <w:ind w:right="40" w:firstLine="221"/>
        <w:spacing w:after="0" w:line="264" w:lineRule="auto"/>
        <w:tabs>
          <w:tab w:leader="none" w:pos="506"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statistical or market-related data included or incorporated by reference in the Registration Statement, the Basic Prospectus, the Prospectus or any Permitted Free Writing Prospectus are based on or derived from sources that the Company believes to be reliable and accurate, and the Company has obtained the written consent to the use of such data from such sources to the extent required;</w:t>
      </w:r>
    </w:p>
    <w:p>
      <w:pPr>
        <w:spacing w:after="0" w:line="73" w:lineRule="exact"/>
        <w:rPr>
          <w:rFonts w:ascii="Arial" w:cs="Arial" w:eastAsia="Arial" w:hAnsi="Arial"/>
          <w:sz w:val="18"/>
          <w:szCs w:val="18"/>
          <w:color w:val="auto"/>
        </w:rPr>
      </w:pPr>
    </w:p>
    <w:p>
      <w:pPr>
        <w:ind w:right="40" w:firstLine="221"/>
        <w:spacing w:after="0" w:line="259" w:lineRule="auto"/>
        <w:tabs>
          <w:tab w:leader="none" w:pos="57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neither the Company nor the Subsidiary nor, to the Company’s knowledge, any employee or agent of the Company or the Subsidiary has made any payment of funds of the Company or the Subsidiary or received or retained any funds in violation of any law, rule or regulation (including, without limitation, the Foreign Corrupt Practices Act of 1977), which payment, receipt or retention of funds is of a character required to be disclosed in the Registration Statement, the Basic Prospectus or the Prospectus;</w:t>
      </w:r>
    </w:p>
    <w:p>
      <w:pPr>
        <w:spacing w:after="0" w:line="78" w:lineRule="exact"/>
        <w:rPr>
          <w:rFonts w:ascii="Arial" w:cs="Arial" w:eastAsia="Arial" w:hAnsi="Arial"/>
          <w:sz w:val="18"/>
          <w:szCs w:val="18"/>
          <w:color w:val="auto"/>
        </w:rPr>
      </w:pPr>
    </w:p>
    <w:p>
      <w:pPr>
        <w:ind w:right="40" w:firstLine="221"/>
        <w:spacing w:after="0" w:line="264" w:lineRule="auto"/>
        <w:tabs>
          <w:tab w:leader="none" w:pos="57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Subsidiary is not currently prohibited, directly or indirectly, from paying any dividends to the Company, from making any other distribution on the Subsidiary’s capital stock, from repaying to the Company any loans or advances to the Subsidiary from the Company or from transferring any of the Subsidiary’s property or assets to the Company, except as described in the Registration Statement, the Basic</w:t>
      </w:r>
    </w:p>
    <w:p>
      <w:pPr>
        <w:spacing w:after="0" w:line="154" w:lineRule="exact"/>
        <w:rPr>
          <w:rFonts w:ascii="Arial" w:cs="Arial" w:eastAsia="Arial" w:hAnsi="Arial"/>
          <w:sz w:val="18"/>
          <w:szCs w:val="18"/>
          <w:color w:val="auto"/>
        </w:rPr>
      </w:pPr>
    </w:p>
    <w:p>
      <w:pPr>
        <w:ind w:left="5380" w:hanging="101"/>
        <w:spacing w:after="0"/>
        <w:tabs>
          <w:tab w:leader="none" w:pos="53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Prospectus and the Prospectus;</w:t>
      </w:r>
    </w:p>
    <w:p>
      <w:pPr>
        <w:spacing w:after="0" w:line="117" w:lineRule="exact"/>
        <w:rPr>
          <w:sz w:val="20"/>
          <w:szCs w:val="20"/>
          <w:color w:val="auto"/>
        </w:rPr>
      </w:pPr>
    </w:p>
    <w:p>
      <w:pPr>
        <w:ind w:right="20" w:firstLine="221"/>
        <w:spacing w:after="0" w:line="286" w:lineRule="auto"/>
        <w:tabs>
          <w:tab w:leader="none" w:pos="49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preclinical tests and clinical trials that are described in, or the results of which are referred to in, the Registration Statement, the Basic Prospectus, the Prospectus or any Permitted Free Writing Prospectus were and, if begun and still pending, are being conducted in all material respects in accordance with protocols, if any, filed with the appropriate regulatory authorities for each such test or trial, as the case may be, and with standard medical and scientific research procedures; the description of the results of such tests and trials contained in the Registration Statement, the Basic Prospectus, the Prospectus or any Permitted Free Writing Prospectus are accurate and complete in all material respects and fairly present the data derived from such tests and trials, and the Company and the Subsidiary have no knowledge of any other studies or tests the results of which are inconsistent with, or otherwise call into question, the results described or referred to in the Registration Statement, the Basic Prospectus, the Prospectus or any Permitted Free Writing Prospectus; except as disclosed in the Registration Statement, the Basic Prospectus and the Prospectus, neither the Company nor the Subsidiary has received any notices or other correspondence from the Food and Drug Administration of the U.S. Department of Health and Human Services or any committee thereof or from any other U.S. or foreign government or drug or medical device regulatory agency (the “</w:t>
      </w:r>
      <w:r>
        <w:rPr>
          <w:rFonts w:ascii="Arial" w:cs="Arial" w:eastAsia="Arial" w:hAnsi="Arial"/>
          <w:sz w:val="16"/>
          <w:szCs w:val="16"/>
          <w:u w:val="single" w:color="auto"/>
          <w:color w:val="auto"/>
        </w:rPr>
        <w:t>Regulatory Agencies</w:t>
      </w:r>
      <w:r>
        <w:rPr>
          <w:rFonts w:ascii="Arial" w:cs="Arial" w:eastAsia="Arial" w:hAnsi="Arial"/>
          <w:sz w:val="16"/>
          <w:szCs w:val="16"/>
          <w:color w:val="auto"/>
        </w:rPr>
        <w:t>”) prohibiting the commencement or requiring the termination, suspension or modification of any preclinical tests or clinical trials that are described or referred to in the Registration Statement, the Basic Prospectus, the Prospectus or any Permitted Free Writing Prospectus; and the Company and the Subsidiary have each operated and currently are in compliance in all material respects with all applicable rules, regulations and policies of the Regulatory Agencies;</w:t>
      </w:r>
    </w:p>
    <w:p>
      <w:pPr>
        <w:spacing w:after="0" w:line="66" w:lineRule="exact"/>
        <w:rPr>
          <w:rFonts w:ascii="Arial" w:cs="Arial" w:eastAsia="Arial" w:hAnsi="Arial"/>
          <w:sz w:val="16"/>
          <w:szCs w:val="16"/>
          <w:color w:val="auto"/>
        </w:rPr>
      </w:pPr>
    </w:p>
    <w:p>
      <w:pPr>
        <w:ind w:right="480" w:firstLine="221"/>
        <w:spacing w:after="0" w:line="286" w:lineRule="auto"/>
        <w:tabs>
          <w:tab w:leader="none" w:pos="49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issuance and sale of the Securities and the Warrant Shares as contemplated hereby will not cause any holder of any shares of capital stock, securities convertible into or exchangeable or exercisable for capital stock or options, warrants or other rights to purchase capital stock or any other securities of the Company to have any right to acquire any shares of preferred stock of the Company;</w:t>
      </w:r>
    </w:p>
    <w:p>
      <w:pPr>
        <w:spacing w:after="0" w:line="57" w:lineRule="exact"/>
        <w:rPr>
          <w:rFonts w:ascii="Arial" w:cs="Arial" w:eastAsia="Arial" w:hAnsi="Arial"/>
          <w:sz w:val="17"/>
          <w:szCs w:val="17"/>
          <w:color w:val="auto"/>
        </w:rPr>
      </w:pPr>
    </w:p>
    <w:p>
      <w:pPr>
        <w:ind w:left="560" w:hanging="339"/>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since September 30, 2007, the Company has not received any notice from the NASDAQ regarding the delisting of the Common Stock from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NASDAQ;</w:t>
      </w:r>
    </w:p>
    <w:p>
      <w:pPr>
        <w:spacing w:after="0" w:line="102" w:lineRule="exact"/>
        <w:rPr>
          <w:rFonts w:ascii="Arial" w:cs="Arial" w:eastAsia="Arial" w:hAnsi="Arial"/>
          <w:sz w:val="16"/>
          <w:szCs w:val="16"/>
          <w:color w:val="auto"/>
        </w:rPr>
      </w:pPr>
    </w:p>
    <w:p>
      <w:pPr>
        <w:ind w:firstLine="221"/>
        <w:spacing w:after="0" w:line="264" w:lineRule="auto"/>
        <w:tabs>
          <w:tab w:leader="none" w:pos="49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neither the Company nor the Subsidiary nor, to the Company’s knowledge, any of their respective directors, officers, affiliates or controlling persons has taken, directly or indirectly, any action designed, or which has constituted or might reasonably be expected to cause or result in the stabilization or manipulation of the price of any security of the Company to facilitate the sale or resale of the Securities;</w:t>
      </w:r>
    </w:p>
    <w:p>
      <w:pPr>
        <w:spacing w:after="0" w:line="73" w:lineRule="exact"/>
        <w:rPr>
          <w:rFonts w:ascii="Arial" w:cs="Arial" w:eastAsia="Arial" w:hAnsi="Arial"/>
          <w:sz w:val="18"/>
          <w:szCs w:val="18"/>
          <w:color w:val="auto"/>
        </w:rPr>
      </w:pPr>
    </w:p>
    <w:p>
      <w:pPr>
        <w:ind w:right="40" w:firstLine="221"/>
        <w:spacing w:after="0" w:line="286" w:lineRule="auto"/>
        <w:tabs>
          <w:tab w:leader="none" w:pos="67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 the Company’s knowledge, there are no affiliations or associations between (i) any member of FINRA and (ii) the Company or any of the Company’s officers, directors or 5% or greater security holders or any beneficial owner of the Company’s unregistered equity securities that were acquired at any time on or after the 180th day immediately preceding the date the Registration Statement was initially filed</w:t>
      </w:r>
    </w:p>
    <w:p>
      <w:pPr>
        <w:spacing w:after="0" w:line="138" w:lineRule="exact"/>
        <w:rPr>
          <w:rFonts w:ascii="Arial" w:cs="Arial" w:eastAsia="Arial" w:hAnsi="Arial"/>
          <w:sz w:val="17"/>
          <w:szCs w:val="17"/>
          <w:color w:val="auto"/>
        </w:rPr>
      </w:pPr>
    </w:p>
    <w:p>
      <w:pPr>
        <w:ind w:left="5380" w:hanging="101"/>
        <w:spacing w:after="0"/>
        <w:tabs>
          <w:tab w:leader="none" w:pos="53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24" w:name="page25"/>
    <w:bookmarkEnd w:id="24"/>
    <w:p>
      <w:pPr>
        <w:ind w:left="240"/>
        <w:spacing w:after="0"/>
        <w:rPr>
          <w:sz w:val="20"/>
          <w:szCs w:val="20"/>
          <w:color w:val="auto"/>
        </w:rPr>
      </w:pPr>
      <w:r>
        <w:rPr>
          <w:rFonts w:ascii="Arial" w:cs="Arial" w:eastAsia="Arial" w:hAnsi="Arial"/>
          <w:sz w:val="18"/>
          <w:szCs w:val="18"/>
          <w:color w:val="auto"/>
        </w:rPr>
        <w:t>with the Commission, except as disclosed in the Registration Statement, the Basic Prospectus and the Prospectus;</w:t>
      </w:r>
    </w:p>
    <w:p>
      <w:pPr>
        <w:spacing w:after="0" w:line="117" w:lineRule="exact"/>
        <w:rPr>
          <w:sz w:val="20"/>
          <w:szCs w:val="20"/>
          <w:color w:val="auto"/>
        </w:rPr>
      </w:pPr>
    </w:p>
    <w:p>
      <w:pPr>
        <w:ind w:left="240" w:firstLine="221"/>
        <w:spacing w:after="0" w:line="259" w:lineRule="auto"/>
        <w:tabs>
          <w:tab w:leader="none" w:pos="81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has not offered, or caused any Placement Agent to offer, Securities to any person with the intent to influence unlawfully (A) a customer or supplier of the Company or the Subsidiary to alter the customer’s or supplier’s level or type of business with the Company or the Subsidiary or (B) a trade journalist or publication to write or publish favorable information about the Company or the Subsidiary or any of their respective products or services; and</w:t>
      </w:r>
    </w:p>
    <w:p>
      <w:pPr>
        <w:spacing w:after="0" w:line="78" w:lineRule="exact"/>
        <w:rPr>
          <w:rFonts w:ascii="Arial" w:cs="Arial" w:eastAsia="Arial" w:hAnsi="Arial"/>
          <w:sz w:val="18"/>
          <w:szCs w:val="18"/>
          <w:color w:val="auto"/>
        </w:rPr>
      </w:pPr>
    </w:p>
    <w:p>
      <w:pPr>
        <w:ind w:left="240" w:right="140" w:firstLine="221"/>
        <w:spacing w:after="0" w:line="264" w:lineRule="auto"/>
        <w:tabs>
          <w:tab w:leader="none" w:pos="81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except pursuant to this Agreement or as would not, individually or in the aggregate, have a Material Adverse Effect, neither the Company nor the Subsidiary has incurred any liability for any finder’s or broker’s fee or agent’s commission in connection with the execution and delivery of this Agreement or the consummation of the transactions contemplated hereby or by the Registration Statement.</w:t>
      </w:r>
    </w:p>
    <w:p>
      <w:pPr>
        <w:spacing w:after="0" w:line="73" w:lineRule="exact"/>
        <w:rPr>
          <w:sz w:val="20"/>
          <w:szCs w:val="20"/>
          <w:color w:val="auto"/>
        </w:rPr>
      </w:pPr>
    </w:p>
    <w:p>
      <w:pPr>
        <w:jc w:val="both"/>
        <w:ind w:right="80" w:firstLine="450"/>
        <w:spacing w:after="0" w:line="264" w:lineRule="auto"/>
        <w:rPr>
          <w:sz w:val="20"/>
          <w:szCs w:val="20"/>
          <w:color w:val="auto"/>
        </w:rPr>
      </w:pPr>
      <w:r>
        <w:rPr>
          <w:rFonts w:ascii="Arial" w:cs="Arial" w:eastAsia="Arial" w:hAnsi="Arial"/>
          <w:sz w:val="18"/>
          <w:szCs w:val="18"/>
          <w:color w:val="auto"/>
        </w:rPr>
        <w:t>In addition, any certificate signed by any officer of the Company or the Subsidiary and delivered to the Placement Agents or counsel for the Placement Agents in connection with the offering of the Securities shall be deemed to be a representation and warranty by the Company, as to matters covered thereby, to the Placement Agents.</w:t>
      </w:r>
    </w:p>
    <w:p>
      <w:pPr>
        <w:spacing w:after="0" w:line="73" w:lineRule="exact"/>
        <w:rPr>
          <w:sz w:val="20"/>
          <w:szCs w:val="20"/>
          <w:color w:val="auto"/>
        </w:rPr>
      </w:pPr>
    </w:p>
    <w:p>
      <w:pPr>
        <w:ind w:left="420" w:hanging="187"/>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Certain Covenants of the Company</w:t>
      </w:r>
      <w:r>
        <w:rPr>
          <w:rFonts w:ascii="Arial" w:cs="Arial" w:eastAsia="Arial" w:hAnsi="Arial"/>
          <w:sz w:val="18"/>
          <w:szCs w:val="18"/>
          <w:color w:val="auto"/>
        </w:rPr>
        <w:t>. The Company hereby agrees:</w:t>
      </w:r>
    </w:p>
    <w:p>
      <w:pPr>
        <w:spacing w:after="0" w:line="117" w:lineRule="exact"/>
        <w:rPr>
          <w:rFonts w:ascii="Arial" w:cs="Arial" w:eastAsia="Arial" w:hAnsi="Arial"/>
          <w:sz w:val="18"/>
          <w:szCs w:val="18"/>
          <w:color w:val="auto"/>
        </w:rPr>
      </w:pPr>
    </w:p>
    <w:p>
      <w:pPr>
        <w:ind w:left="240" w:firstLine="221"/>
        <w:spacing w:after="0" w:line="255" w:lineRule="auto"/>
        <w:tabs>
          <w:tab w:leader="none" w:pos="710" w:val="left"/>
        </w:tabs>
        <w:numPr>
          <w:ilvl w:val="1"/>
          <w:numId w:val="21"/>
        </w:numPr>
        <w:rPr>
          <w:rFonts w:ascii="Arial" w:cs="Arial" w:eastAsia="Arial" w:hAnsi="Arial"/>
          <w:sz w:val="18"/>
          <w:szCs w:val="18"/>
          <w:color w:val="auto"/>
        </w:rPr>
      </w:pPr>
      <w:r>
        <w:rPr>
          <w:rFonts w:ascii="Arial" w:cs="Arial" w:eastAsia="Arial" w:hAnsi="Arial"/>
          <w:sz w:val="18"/>
          <w:szCs w:val="18"/>
          <w:color w:val="auto"/>
        </w:rPr>
        <w:t xml:space="preserve">to furnish such information as may be required and otherwise to cooperate in qualifying the Securities and the Warrants Shares for offering and sale under the securities or blue sky laws of such states or other jurisdictions as you may designate and to maintain such qualifications in effect so long as you may request for the distribution of the Securities and the Warrant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required to qualify as a foreign corporation or to consent to the service of process under the laws of any such jurisdiction (except service of process with respect to the offering and sale of the Securities and the Warrant Shares); and to promptly advise you of the receipt by the Company of any notification with respect to the suspension of the qualification of the Securities and the Warrant Shares for offer or sale in any jurisdiction or the initiation or threatening of any proceeding for such purpose;</w:t>
      </w:r>
    </w:p>
    <w:p>
      <w:pPr>
        <w:spacing w:after="0" w:line="81" w:lineRule="exact"/>
        <w:rPr>
          <w:rFonts w:ascii="Arial" w:cs="Arial" w:eastAsia="Arial" w:hAnsi="Arial"/>
          <w:sz w:val="18"/>
          <w:szCs w:val="18"/>
          <w:color w:val="auto"/>
        </w:rPr>
      </w:pPr>
    </w:p>
    <w:p>
      <w:pPr>
        <w:ind w:left="720" w:hanging="259"/>
        <w:spacing w:after="0"/>
        <w:tabs>
          <w:tab w:leader="none" w:pos="720" w:val="left"/>
        </w:tabs>
        <w:numPr>
          <w:ilvl w:val="1"/>
          <w:numId w:val="21"/>
        </w:numPr>
        <w:rPr>
          <w:rFonts w:ascii="Arial" w:cs="Arial" w:eastAsia="Arial" w:hAnsi="Arial"/>
          <w:sz w:val="17"/>
          <w:szCs w:val="17"/>
          <w:color w:val="auto"/>
        </w:rPr>
      </w:pPr>
      <w:r>
        <w:rPr>
          <w:rFonts w:ascii="Arial" w:cs="Arial" w:eastAsia="Arial" w:hAnsi="Arial"/>
          <w:sz w:val="17"/>
          <w:szCs w:val="17"/>
          <w:color w:val="auto"/>
        </w:rPr>
        <w:t>to make available to the Placement Agents, as soon as practicable after this Agreement becomes effective, and thereafter from time to time to</w:t>
      </w:r>
    </w:p>
    <w:p>
      <w:pPr>
        <w:spacing w:after="0" w:line="34" w:lineRule="exact"/>
        <w:rPr>
          <w:rFonts w:ascii="Arial" w:cs="Arial" w:eastAsia="Arial" w:hAnsi="Arial"/>
          <w:sz w:val="17"/>
          <w:szCs w:val="17"/>
          <w:color w:val="auto"/>
        </w:rPr>
      </w:pPr>
    </w:p>
    <w:p>
      <w:pPr>
        <w:ind w:left="240" w:right="40"/>
        <w:spacing w:after="0" w:line="252" w:lineRule="auto"/>
        <w:rPr>
          <w:rFonts w:ascii="Arial" w:cs="Arial" w:eastAsia="Arial" w:hAnsi="Arial"/>
          <w:sz w:val="17"/>
          <w:szCs w:val="17"/>
          <w:color w:val="auto"/>
        </w:rPr>
      </w:pPr>
      <w:r>
        <w:rPr>
          <w:rFonts w:ascii="Arial" w:cs="Arial" w:eastAsia="Arial" w:hAnsi="Arial"/>
          <w:sz w:val="18"/>
          <w:szCs w:val="18"/>
          <w:color w:val="auto"/>
        </w:rPr>
        <w:t>furnish to the Placement Agents, as many copies of the Prospectus (or of the Prospectus as amended or supplemented if the Company shall have made any amendments or supplements thereto after the effective date of the Registration Statement) as the Placement Agents may reasonably request; in case delivery (whether physically or through compliance with Rule 172 under the Act or any similar rule) of a prospectus in connection with the sale of the Securities and the Warrant Shares is required after the nine-month period referred to in Section 10(a)(3) of the Act, and after the time a post-effective amendment to the Registration Statement is required pursuant to Item 512(a) of Regulation S-K under the Act, the Company will promptly prepare, at its expense, such amendment or amendments</w:t>
      </w:r>
    </w:p>
    <w:p>
      <w:pPr>
        <w:spacing w:after="0" w:line="167" w:lineRule="exact"/>
        <w:rPr>
          <w:rFonts w:ascii="Arial" w:cs="Arial" w:eastAsia="Arial" w:hAnsi="Arial"/>
          <w:sz w:val="17"/>
          <w:szCs w:val="17"/>
          <w:color w:val="auto"/>
        </w:rPr>
      </w:pPr>
    </w:p>
    <w:p>
      <w:pPr>
        <w:ind w:left="5620" w:hanging="101"/>
        <w:spacing w:after="0"/>
        <w:tabs>
          <w:tab w:leader="none" w:pos="5620" w:val="left"/>
        </w:tabs>
        <w:numPr>
          <w:ilvl w:val="2"/>
          <w:numId w:val="21"/>
        </w:numPr>
        <w:rPr>
          <w:rFonts w:ascii="Arial" w:cs="Arial" w:eastAsia="Arial" w:hAnsi="Arial"/>
          <w:sz w:val="18"/>
          <w:szCs w:val="18"/>
          <w:color w:val="auto"/>
        </w:rPr>
      </w:pPr>
      <w:r>
        <w:rPr>
          <w:rFonts w:ascii="Arial" w:cs="Arial" w:eastAsia="Arial" w:hAnsi="Arial"/>
          <w:sz w:val="18"/>
          <w:szCs w:val="18"/>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5" w:name="page26"/>
    <w:bookmarkEnd w:id="25"/>
    <w:p>
      <w:pPr>
        <w:ind w:left="4" w:right="220"/>
        <w:spacing w:after="0" w:line="277" w:lineRule="auto"/>
        <w:rPr>
          <w:sz w:val="20"/>
          <w:szCs w:val="20"/>
          <w:color w:val="auto"/>
        </w:rPr>
      </w:pPr>
      <w:r>
        <w:rPr>
          <w:rFonts w:ascii="Arial" w:cs="Arial" w:eastAsia="Arial" w:hAnsi="Arial"/>
          <w:sz w:val="18"/>
          <w:szCs w:val="18"/>
          <w:color w:val="auto"/>
        </w:rPr>
        <w:t>to the Registration Statement and the Prospectus as may be necessary to permit compliance with the requirements of Section 10(a)(3) of the Act or Item 512(a) of Regulation S-K under the Act, as the case may be;</w:t>
      </w:r>
    </w:p>
    <w:p>
      <w:pPr>
        <w:spacing w:after="0" w:line="62" w:lineRule="exact"/>
        <w:rPr>
          <w:sz w:val="20"/>
          <w:szCs w:val="20"/>
          <w:color w:val="auto"/>
        </w:rPr>
      </w:pPr>
    </w:p>
    <w:p>
      <w:pPr>
        <w:ind w:left="4" w:right="40" w:firstLine="221"/>
        <w:spacing w:after="0" w:line="293" w:lineRule="auto"/>
        <w:tabs>
          <w:tab w:leader="none" w:pos="474" w:val="left"/>
        </w:tabs>
        <w:numPr>
          <w:ilvl w:val="1"/>
          <w:numId w:val="22"/>
        </w:numPr>
        <w:rPr>
          <w:rFonts w:ascii="Arial" w:cs="Arial" w:eastAsia="Arial" w:hAnsi="Arial"/>
          <w:sz w:val="16"/>
          <w:szCs w:val="16"/>
          <w:color w:val="auto"/>
        </w:rPr>
      </w:pPr>
      <w:r>
        <w:rPr>
          <w:rFonts w:ascii="Arial" w:cs="Arial" w:eastAsia="Arial" w:hAnsi="Arial"/>
          <w:sz w:val="16"/>
          <w:szCs w:val="16"/>
          <w:color w:val="auto"/>
        </w:rPr>
        <w:t>if, at the time this Agreement is executed and delivered, it is necessary for a post-effective amendment to the Registration Statement, or a Registration Statement under Rule 462(b) under the Act, to be filed with the Commission and become effective before the Securities and the Warrant Shares may be sold, the Company will use its best efforts to cause such post-effective amendment or such Registration Statement to be filed and become effective as soon as possible, and the Company will advise you promptly and, if requested by you, will confirm such advice in writing, (i) when such post-effective amendment or such Registration Statement has become effective, and (ii) if Rule 430A under the Act is used, when the Prospectus is filed with the Commission pursuant to Rule 424(b) under the Act (which the Company agrees to file in a timely manner in accordance with such Rules);</w:t>
      </w:r>
    </w:p>
    <w:p>
      <w:pPr>
        <w:spacing w:after="0" w:line="56" w:lineRule="exact"/>
        <w:rPr>
          <w:rFonts w:ascii="Arial" w:cs="Arial" w:eastAsia="Arial" w:hAnsi="Arial"/>
          <w:sz w:val="16"/>
          <w:szCs w:val="16"/>
          <w:color w:val="auto"/>
        </w:rPr>
      </w:pPr>
    </w:p>
    <w:p>
      <w:pPr>
        <w:jc w:val="both"/>
        <w:ind w:left="4" w:right="100" w:firstLine="221"/>
        <w:spacing w:after="0" w:line="288" w:lineRule="auto"/>
        <w:tabs>
          <w:tab w:leader="none" w:pos="484" w:val="left"/>
        </w:tabs>
        <w:numPr>
          <w:ilvl w:val="1"/>
          <w:numId w:val="22"/>
        </w:numPr>
        <w:rPr>
          <w:rFonts w:ascii="Arial" w:cs="Arial" w:eastAsia="Arial" w:hAnsi="Arial"/>
          <w:sz w:val="16"/>
          <w:szCs w:val="16"/>
          <w:color w:val="auto"/>
        </w:rPr>
      </w:pPr>
      <w:r>
        <w:rPr>
          <w:rFonts w:ascii="Arial" w:cs="Arial" w:eastAsia="Arial" w:hAnsi="Arial"/>
          <w:sz w:val="16"/>
          <w:szCs w:val="16"/>
          <w:color w:val="auto"/>
        </w:rPr>
        <w:t>if, at any time during the period when a prospectus is required by the Act to be delivered (whether physically or through compliance with Rule 172 under the Act or any similar rule) in connection with any sale of Securities and the Warrant Shares, the Registration Statement shall cease to comply with the requirements of the Act with respect to eligibility for the use of the form on which the Registration Statement was filed with the Commission, to</w:t>
      </w:r>
    </w:p>
    <w:p>
      <w:pPr>
        <w:ind w:left="4" w:right="60" w:hanging="4"/>
        <w:spacing w:after="0" w:line="290" w:lineRule="auto"/>
        <w:tabs>
          <w:tab w:leader="none" w:pos="219"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promptly notify you, (ii) promptly file with the Commission a new registration statement under the Act, relating to the Securities and the Warrant Shares, or a post-effective amendment to the Registration Statement, which new registration statement or post-effective amendment shall comply with the requirements of the Act and shall be in a form satisfactory to you, (iii) use its best efforts to cause such new registration statement or post-effective amendment to become effective under the Act as soon as practicable, (iv) promptly notify you of such effectiveness and (v) take all other action necessary or appropriate to permit the offering and sale of the Securities and the Warrant Shares to continue as contemplated in the Prospectus; all references herein to the Registration Statement shall be deemed to include each such new registration statement or post-effective amendment, if any;</w:t>
      </w:r>
    </w:p>
    <w:p>
      <w:pPr>
        <w:spacing w:after="0" w:line="56" w:lineRule="exact"/>
        <w:rPr>
          <w:rFonts w:ascii="Arial" w:cs="Arial" w:eastAsia="Arial" w:hAnsi="Arial"/>
          <w:sz w:val="16"/>
          <w:szCs w:val="16"/>
          <w:color w:val="auto"/>
        </w:rPr>
      </w:pPr>
    </w:p>
    <w:p>
      <w:pPr>
        <w:ind w:left="4" w:firstLine="221"/>
        <w:spacing w:after="0" w:line="254" w:lineRule="auto"/>
        <w:tabs>
          <w:tab w:leader="none" w:pos="474" w:val="left"/>
        </w:tabs>
        <w:numPr>
          <w:ilvl w:val="1"/>
          <w:numId w:val="23"/>
        </w:numPr>
        <w:rPr>
          <w:rFonts w:ascii="Arial" w:cs="Arial" w:eastAsia="Arial" w:hAnsi="Arial"/>
          <w:sz w:val="18"/>
          <w:szCs w:val="18"/>
          <w:color w:val="auto"/>
        </w:rPr>
      </w:pPr>
      <w:r>
        <w:rPr>
          <w:rFonts w:ascii="Arial" w:cs="Arial" w:eastAsia="Arial" w:hAnsi="Arial"/>
          <w:sz w:val="18"/>
          <w:szCs w:val="18"/>
          <w:color w:val="auto"/>
        </w:rPr>
        <w:t>if the period during which a prospectus is required by the Act to be delivered (whether physically or through compliance with Rule 172 under the Act or any similar rule) in connection with any sale of Securities and the Warrant Shares shall extend to or beyond July 18, 2011, to (i) file with the Commission, prior to July 18, 2011, a new registration statement under the Act relating to the Securities and the Warrant Shares, which new registration statement shall comply with the requirements of the Act (including, without limitation, Rule 415(a)(6) under the Act) and shall be in a form satisfactory to you; and (ii) use its best efforts to cause such new registration statement to become effective under the Act as soon as practicable, but in any event within 180 days after July 18, 2011 and promptly notify you of such effectiveness; the Company shall take all other action necessary or appropriate to permit the offering and sale of the Securities and the Warrant Shares to continue as contemplated in the Prospectus; all references herein to the Registration Statement shall be deemed to include each such new</w:t>
      </w:r>
    </w:p>
    <w:p>
      <w:pPr>
        <w:spacing w:after="0" w:line="165" w:lineRule="exact"/>
        <w:rPr>
          <w:rFonts w:ascii="Arial" w:cs="Arial" w:eastAsia="Arial" w:hAnsi="Arial"/>
          <w:sz w:val="18"/>
          <w:szCs w:val="18"/>
          <w:color w:val="auto"/>
        </w:rPr>
      </w:pPr>
    </w:p>
    <w:p>
      <w:pPr>
        <w:ind w:left="5384" w:hanging="101"/>
        <w:spacing w:after="0"/>
        <w:tabs>
          <w:tab w:leader="none" w:pos="5384" w:val="left"/>
        </w:tabs>
        <w:numPr>
          <w:ilvl w:val="2"/>
          <w:numId w:val="23"/>
        </w:numPr>
        <w:rPr>
          <w:rFonts w:ascii="Arial" w:cs="Arial" w:eastAsia="Arial" w:hAnsi="Arial"/>
          <w:sz w:val="18"/>
          <w:szCs w:val="18"/>
          <w:color w:val="auto"/>
        </w:rPr>
      </w:pPr>
      <w:r>
        <w:rPr>
          <w:rFonts w:ascii="Arial" w:cs="Arial" w:eastAsia="Arial" w:hAnsi="Arial"/>
          <w:sz w:val="18"/>
          <w:szCs w:val="18"/>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4"/>
          </w:cols>
          <w:pgMar w:left="476" w:top="935"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registration statement, if any;</w:t>
      </w:r>
    </w:p>
    <w:p>
      <w:pPr>
        <w:spacing w:after="0" w:line="117" w:lineRule="exact"/>
        <w:rPr>
          <w:sz w:val="20"/>
          <w:szCs w:val="20"/>
          <w:color w:val="auto"/>
        </w:rPr>
      </w:pPr>
    </w:p>
    <w:p>
      <w:pPr>
        <w:ind w:firstLine="221"/>
        <w:spacing w:after="0" w:line="272" w:lineRule="auto"/>
        <w:tabs>
          <w:tab w:leader="none" w:pos="45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to advise you promptly, confirming such advice in writing, of any request by the Commission for amendments or supplements to the Registration Statement, the Basic Prospectus, the Prospectus or any Permitted Free Writing Prospectus, or for additional information with respect thereto, or of notice of institution of proceedings for, or the entry of a stop order, suspending the effectiveness of the Registration Statement and, if the Commission should enter a stop order suspending the effectiveness of the Registration Statement, to use its best efforts to obtain the lifting or removal of such order as soon as possible; to advise you promptly of any proposal to amend or supplement the Registration Statement, the Basic Prospectus or the Prospectus, and to provide you and Placement Agents’ counsel copies of any such documents for review and comment a reasonable amount of time prior to any proposed filing and to file no such amendment or supplement to which you shall object in writing;</w:t>
      </w:r>
    </w:p>
    <w:p>
      <w:pPr>
        <w:spacing w:after="0" w:line="69" w:lineRule="exact"/>
        <w:rPr>
          <w:rFonts w:ascii="Arial" w:cs="Arial" w:eastAsia="Arial" w:hAnsi="Arial"/>
          <w:sz w:val="17"/>
          <w:szCs w:val="17"/>
          <w:color w:val="auto"/>
        </w:rPr>
      </w:pPr>
    </w:p>
    <w:p>
      <w:pPr>
        <w:ind w:firstLine="221"/>
        <w:spacing w:after="0" w:line="293" w:lineRule="auto"/>
        <w:tabs>
          <w:tab w:leader="none" w:pos="4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subject to Section 4(f) hereof, to file promptly all reports and documents and any preliminary or definitive proxy or information statement required to be filed by the Company with the Commission in order to comply with the Exchange Act for so long as a prospectus is required by the Act to be delivered (whether physically or through compliance with Rule 172 under the Act or any similar rule) in connection with any sale of Securities and the Warrant Shares; and to provide you, for your review and comment, with a copy of such reports and statements and other documents to be filed by the Company pursuant to Section 13, 14 or 15(d) of the Exchange Act during such period a reasonable amount of time prior to any proposed filing, and to file no such report, statement or document to which you shall have objected in writing; and to promptly notify you of such filing;</w:t>
      </w:r>
    </w:p>
    <w:p>
      <w:pPr>
        <w:spacing w:after="0" w:line="56" w:lineRule="exact"/>
        <w:rPr>
          <w:rFonts w:ascii="Arial" w:cs="Arial" w:eastAsia="Arial" w:hAnsi="Arial"/>
          <w:sz w:val="16"/>
          <w:szCs w:val="16"/>
          <w:color w:val="auto"/>
        </w:rPr>
      </w:pPr>
    </w:p>
    <w:p>
      <w:pPr>
        <w:ind w:right="20" w:firstLine="221"/>
        <w:spacing w:after="0" w:line="271" w:lineRule="auto"/>
        <w:tabs>
          <w:tab w:leader="none" w:pos="4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to advise the Placement Agents promptly of the happening of any event within the period during which a prospectus is required by the Act to be delivered (whether physically or through compliance with Rule 172 under the Act or any similar rule) in connection with any sale of Securities and the Warrant Shares, which event could require the making of any change in the Prospectus then being used so that the Prospectus would not include an untrue statement of a material fact or omit to state a material fact necessary in order to make the statements therein, in the light of the circumstances under which they are made, not misleading, and to advise the Placement Agents promptly if, during such period, it shall become necessary to amend or supplement the Prospectus to cause the Prospectus to comply with the requirements of the Act, and, in each case, during such time, subject to Section 4(f) hereof, to prepare and furnish, at the Company’s expense, to the Placement Agents promptly such amendments or supplements to such Prospectus as may be necessary to reflect any such change or to effect such compliance;</w:t>
      </w:r>
    </w:p>
    <w:p>
      <w:pPr>
        <w:spacing w:after="0" w:line="70" w:lineRule="exact"/>
        <w:rPr>
          <w:rFonts w:ascii="Arial" w:cs="Arial" w:eastAsia="Arial" w:hAnsi="Arial"/>
          <w:sz w:val="17"/>
          <w:szCs w:val="17"/>
          <w:color w:val="auto"/>
        </w:rPr>
      </w:pPr>
    </w:p>
    <w:p>
      <w:pPr>
        <w:ind w:right="20" w:firstLine="221"/>
        <w:spacing w:after="0" w:line="312" w:lineRule="auto"/>
        <w:tabs>
          <w:tab w:leader="none" w:pos="4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 make generally available to its security holders, and to deliver to you, an earnings statement of the Company (which will satisfy the provisions of Section 11(a) of the Act) covering a period of twelve months beginning after the effective date of the Registration Statement (as defined in Rule 158(c) under the Act) as soon as is reasonably practicable after the termination of such twelve-month period but in any case not later</w:t>
      </w:r>
    </w:p>
    <w:p>
      <w:pPr>
        <w:spacing w:after="0" w:line="119" w:lineRule="exact"/>
        <w:rPr>
          <w:rFonts w:ascii="Arial" w:cs="Arial" w:eastAsia="Arial" w:hAnsi="Arial"/>
          <w:sz w:val="16"/>
          <w:szCs w:val="16"/>
          <w:color w:val="auto"/>
        </w:rPr>
      </w:pPr>
    </w:p>
    <w:p>
      <w:pPr>
        <w:ind w:left="5380" w:hanging="101"/>
        <w:spacing w:after="0"/>
        <w:tabs>
          <w:tab w:leader="none" w:pos="53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480" w:top="935" w:right="31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than March 15, 2009;</w:t>
      </w:r>
    </w:p>
    <w:p>
      <w:pPr>
        <w:spacing w:after="0" w:line="117" w:lineRule="exact"/>
        <w:rPr>
          <w:sz w:val="20"/>
          <w:szCs w:val="20"/>
          <w:color w:val="auto"/>
        </w:rPr>
      </w:pPr>
    </w:p>
    <w:p>
      <w:pPr>
        <w:ind w:right="480" w:firstLine="221"/>
        <w:spacing w:after="0" w:line="277" w:lineRule="auto"/>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furnish to you two copies of the Registration Statement, as initially filed with the Commission, and of all amendments thereto (including all exhibits thereto and documents incorporated by reference therein);</w:t>
      </w:r>
    </w:p>
    <w:p>
      <w:pPr>
        <w:spacing w:after="0" w:line="62" w:lineRule="exact"/>
        <w:rPr>
          <w:rFonts w:ascii="Arial" w:cs="Arial" w:eastAsia="Arial" w:hAnsi="Arial"/>
          <w:sz w:val="18"/>
          <w:szCs w:val="18"/>
          <w:color w:val="auto"/>
        </w:rPr>
      </w:pPr>
    </w:p>
    <w:p>
      <w:pPr>
        <w:ind w:right="20" w:firstLine="221"/>
        <w:spacing w:after="0" w:line="286" w:lineRule="auto"/>
        <w:tabs>
          <w:tab w:leader="none" w:pos="4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to furnish to you as early as practicable prior to the time of purchase, but not later than two business days prior thereto, a copy of the latest available unaudited interim and monthly consolidated financial statements, if any, of the Company and the Subsidiary which have been read by the Company’s independent registered public accountants, as stated in their letter to be furnished pursuant to Section 6(c) hereof;</w:t>
      </w:r>
    </w:p>
    <w:p>
      <w:pPr>
        <w:spacing w:after="0" w:line="57" w:lineRule="exact"/>
        <w:rPr>
          <w:rFonts w:ascii="Arial" w:cs="Arial" w:eastAsia="Arial" w:hAnsi="Arial"/>
          <w:sz w:val="17"/>
          <w:szCs w:val="17"/>
          <w:color w:val="auto"/>
        </w:rPr>
      </w:pPr>
    </w:p>
    <w:p>
      <w:pPr>
        <w:ind w:right="180" w:firstLine="221"/>
        <w:spacing w:after="0" w:line="277" w:lineRule="auto"/>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apply the net proceeds from the sale of the Securities in the manner set forth under the caption “Use of proceeds” in the Basic Prospectus and in the Prospectus Supplement;</w:t>
      </w:r>
    </w:p>
    <w:p>
      <w:pPr>
        <w:spacing w:after="0" w:line="62" w:lineRule="exact"/>
        <w:rPr>
          <w:rFonts w:ascii="Arial" w:cs="Arial" w:eastAsia="Arial" w:hAnsi="Arial"/>
          <w:sz w:val="18"/>
          <w:szCs w:val="18"/>
          <w:color w:val="auto"/>
        </w:rPr>
      </w:pPr>
    </w:p>
    <w:p>
      <w:pPr>
        <w:ind w:firstLine="221"/>
        <w:spacing w:after="0" w:line="285" w:lineRule="auto"/>
        <w:tabs>
          <w:tab w:leader="none" w:pos="53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 pay all costs, expenses, fees and taxes in connection with (i) the preparation and filing of the Registration Statement, the Basic Prospectus, the Prospectus Supplement, the Prospectus, the Permitted Free Writing Prospectuses and any amendments or supplements thereto, and the printing and furnishing of copies of each thereof to the Placement Agents and to dealers (including costs of mailing and shipment), (ii) the registration, issue, sale and delivery of the Securities and the Warrant Shares including any stock or transfer taxes and stamp or similar duties payable upon the sale, issuance or delivery of the Securities and the Warrant Shares to the Placement Agents, (iii) the producing, word processing and/or printing of this Agreement and any closing documents (including compilations thereof) and the reproduction and/or printing and furnishing of copies of each thereof to the Placement Agents and (except closing documents) to dealers (including costs of mailing and shipment), (iv) the qualification of the Securities and the Warrant Shares for offering and sale under state or foreign laws and the determination of their eligibility for investment under state or foreign law (including the legal fees and filing fees and other disbursements of counsel for the Placement Agents) and the printing and furnishing of copies of any blue sky surveys or legal investment surveys to the Placement Agents and to dealers, (v) any listing of the Shares on any securities exchange or qualification of the Shares for quotation on the NASDAQ and any registration thereof under the Exchange Act, (vi) any filing for review of the offering of the Securities and the Warrant Shares by FINRA, including the legal fees and filing fees and other disbursements of counsel to the Placement Agents relating to FINRA matters, (vii) the fees and disbursements of any transfer agent or registrar for the Securities and the Warrant Shares, (viii) the costs and expenses of the Company relating to presentations or meetings undertaken in connection with the marketing of the offering and sale of the Securities to prospective investors and the Placement Agents’ sales forces, including, without limitation, expenses associated with the production of road show slides and graphics, fees and expenses of any consultants engaged in connection with the road show presentations, travel, lodging and other expenses incurred by the officers of the Company and any such consultants, and the cost of any aircraft chartered by the Company in connection with the road show, and (ix) the performance of</w:t>
      </w:r>
    </w:p>
    <w:p>
      <w:pPr>
        <w:spacing w:after="0" w:line="148" w:lineRule="exact"/>
        <w:rPr>
          <w:rFonts w:ascii="Arial" w:cs="Arial" w:eastAsia="Arial" w:hAnsi="Arial"/>
          <w:sz w:val="16"/>
          <w:szCs w:val="16"/>
          <w:color w:val="auto"/>
        </w:rPr>
      </w:pPr>
    </w:p>
    <w:p>
      <w:pPr>
        <w:ind w:left="5380" w:hanging="101"/>
        <w:spacing w:after="0"/>
        <w:tabs>
          <w:tab w:leader="none" w:pos="53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28" w:name="page29"/>
    <w:bookmarkEnd w:id="28"/>
    <w:p>
      <w:pPr>
        <w:ind w:left="4"/>
        <w:spacing w:after="0"/>
        <w:rPr>
          <w:sz w:val="20"/>
          <w:szCs w:val="20"/>
          <w:color w:val="auto"/>
        </w:rPr>
      </w:pPr>
      <w:r>
        <w:rPr>
          <w:rFonts w:ascii="Arial" w:cs="Arial" w:eastAsia="Arial" w:hAnsi="Arial"/>
          <w:sz w:val="18"/>
          <w:szCs w:val="18"/>
          <w:color w:val="auto"/>
        </w:rPr>
        <w:t>the Company’s other obligations hereunder;</w:t>
      </w:r>
    </w:p>
    <w:p>
      <w:pPr>
        <w:spacing w:after="0" w:line="117" w:lineRule="exact"/>
        <w:rPr>
          <w:sz w:val="20"/>
          <w:szCs w:val="20"/>
          <w:color w:val="auto"/>
        </w:rPr>
      </w:pPr>
    </w:p>
    <w:p>
      <w:pPr>
        <w:ind w:left="484" w:hanging="259"/>
        <w:spacing w:after="0"/>
        <w:tabs>
          <w:tab w:leader="none" w:pos="484" w:val="left"/>
        </w:tabs>
        <w:numPr>
          <w:ilvl w:val="1"/>
          <w:numId w:val="26"/>
        </w:numPr>
        <w:rPr>
          <w:rFonts w:ascii="Arial" w:cs="Arial" w:eastAsia="Arial" w:hAnsi="Arial"/>
          <w:sz w:val="18"/>
          <w:szCs w:val="18"/>
          <w:color w:val="auto"/>
        </w:rPr>
      </w:pPr>
      <w:r>
        <w:rPr>
          <w:rFonts w:ascii="Arial" w:cs="Arial" w:eastAsia="Arial" w:hAnsi="Arial"/>
          <w:sz w:val="18"/>
          <w:szCs w:val="18"/>
          <w:color w:val="auto"/>
        </w:rPr>
        <w:t>to comply with Rule 433(d) under the Act (without reliance on Rule 164(b) under the Act) and with Rule 433(g) under the Act;</w:t>
      </w:r>
    </w:p>
    <w:p>
      <w:pPr>
        <w:spacing w:after="0" w:line="117" w:lineRule="exact"/>
        <w:rPr>
          <w:rFonts w:ascii="Arial" w:cs="Arial" w:eastAsia="Arial" w:hAnsi="Arial"/>
          <w:sz w:val="18"/>
          <w:szCs w:val="18"/>
          <w:color w:val="auto"/>
        </w:rPr>
      </w:pPr>
    </w:p>
    <w:p>
      <w:pPr>
        <w:ind w:left="4" w:right="120" w:firstLine="221"/>
        <w:spacing w:after="0" w:line="284" w:lineRule="auto"/>
        <w:tabs>
          <w:tab w:leader="none" w:pos="484" w:val="left"/>
        </w:tabs>
        <w:numPr>
          <w:ilvl w:val="1"/>
          <w:numId w:val="26"/>
        </w:numPr>
        <w:rPr>
          <w:rFonts w:ascii="Arial" w:cs="Arial" w:eastAsia="Arial" w:hAnsi="Arial"/>
          <w:sz w:val="16"/>
          <w:szCs w:val="16"/>
          <w:color w:val="auto"/>
        </w:rPr>
      </w:pPr>
      <w:r>
        <w:rPr>
          <w:rFonts w:ascii="Arial" w:cs="Arial" w:eastAsia="Arial" w:hAnsi="Arial"/>
          <w:sz w:val="16"/>
          <w:szCs w:val="16"/>
          <w:color w:val="auto"/>
        </w:rPr>
        <w:t>beginning on the date hereof and ending on, and including, the date that is 90 days after the date of the Prospectus Supplement (the “</w:t>
      </w:r>
      <w:r>
        <w:rPr>
          <w:rFonts w:ascii="Arial" w:cs="Arial" w:eastAsia="Arial" w:hAnsi="Arial"/>
          <w:sz w:val="16"/>
          <w:szCs w:val="16"/>
          <w:u w:val="single" w:color="auto"/>
          <w:color w:val="auto"/>
        </w:rPr>
        <w:t>Lock-Up</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Period</w:t>
      </w:r>
      <w:r>
        <w:rPr>
          <w:rFonts w:ascii="Arial" w:cs="Arial" w:eastAsia="Arial" w:hAnsi="Arial"/>
          <w:sz w:val="16"/>
          <w:szCs w:val="16"/>
          <w:color w:val="auto"/>
        </w:rPr>
        <w:t>”), without the prior written consent of Susquehanna, not to (i) issue,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and the rules and regulations of the Commission promulgated thereunder, with respect to, any Common Stock or any other securities of the Company that are substantially similar to Common Stock, or any securities convertible into or exchangeable or exercisable for, or any warrants or other rights to purchase, the foregoing, (ii) file or cause to become effective a registration statement under the Act relating to the offer and sale of any Common Stock or any other securities of the Company that are substantially similar to Common Stock, or any securities convertible into or exchangeable or exercisable for, or any warrants or other rights to purchase, the foregoing,</w:t>
      </w:r>
    </w:p>
    <w:p>
      <w:pPr>
        <w:spacing w:after="0" w:line="1" w:lineRule="exact"/>
        <w:rPr>
          <w:rFonts w:ascii="Arial" w:cs="Arial" w:eastAsia="Arial" w:hAnsi="Arial"/>
          <w:sz w:val="16"/>
          <w:szCs w:val="16"/>
          <w:color w:val="auto"/>
        </w:rPr>
      </w:pPr>
    </w:p>
    <w:p>
      <w:pPr>
        <w:ind w:left="4" w:hanging="4"/>
        <w:spacing w:after="0" w:line="284" w:lineRule="auto"/>
        <w:tabs>
          <w:tab w:leader="none" w:pos="319" w:val="left"/>
        </w:tabs>
        <w:numPr>
          <w:ilvl w:val="0"/>
          <w:numId w:val="27"/>
        </w:numPr>
        <w:rPr>
          <w:rFonts w:ascii="Arial" w:cs="Arial" w:eastAsia="Arial" w:hAnsi="Arial"/>
          <w:sz w:val="16"/>
          <w:szCs w:val="16"/>
          <w:color w:val="auto"/>
        </w:rPr>
      </w:pPr>
      <w:r>
        <w:rPr>
          <w:rFonts w:ascii="Arial" w:cs="Arial" w:eastAsia="Arial" w:hAnsi="Arial"/>
          <w:sz w:val="16"/>
          <w:szCs w:val="16"/>
          <w:color w:val="auto"/>
        </w:rPr>
        <w:t>enter into any swap or other arrangement that transfers to another, in whole or in part, any of the economic consequences of ownership of Common Stock or any other securities of the Company that are substantially similar to Common Stock, or any securities convertible into or exchangeable or exercisable for, or any warrants or other rights to purchase, the foregoing, whether any such transaction is to be settled by delivery of Common Stock or such other securities, in cash or otherwise or (iv) publicly announce an intention to effect any transaction specified in clause (i), (ii) or (iii), except, in each case, for (A) the registration of the offer and sale of the Securities and Warrant Shares as contemplated by this Agreement, (B) issuances of Common Stock upon the exercise of options or warrants disclosed as outstanding in the Registration Statement, the Basic Prospectus and the Prospectus, (C) the issuance of employee stock options not exercisable during the Lock-Up Period pursuant to stock option plans described in the Registration Statement, the Basic Prospectus and the Prospectus, (D) the issuance, other than pursuant to stock option plans described in the Registration Statement, the Basic Prospectus or the Prospectus, of options and warrants for Common Stock to directors, officers, employees or consultants of the Company, as compensation for services rendered or to be rendered by them to the Company, provided such options and warrants are not exercisable during the Lock-Up Period and (E) the issuance of Common Stock or securities convertible into or exercisable for Common Stock in connection with a partnership, research, licensing, collaboration, joint venture or similar arrangement, or an acquisition of any other business or entity, or any stock, assets or technology thereof (any such arrangement or transaction, a “</w:t>
      </w:r>
      <w:r>
        <w:rPr>
          <w:rFonts w:ascii="Arial" w:cs="Arial" w:eastAsia="Arial" w:hAnsi="Arial"/>
          <w:sz w:val="16"/>
          <w:szCs w:val="16"/>
          <w:u w:val="single" w:color="auto"/>
          <w:color w:val="auto"/>
        </w:rPr>
        <w:t>Strategic Transaction</w:t>
      </w:r>
      <w:r>
        <w:rPr>
          <w:rFonts w:ascii="Arial" w:cs="Arial" w:eastAsia="Arial" w:hAnsi="Arial"/>
          <w:sz w:val="16"/>
          <w:szCs w:val="16"/>
          <w:color w:val="auto"/>
        </w:rPr>
        <w:t>”), provided that, in each case, (x) the aggregate number of shares of Common Stock issued or issuable (or underlying convertible or exercisable securities issued or issuable) pursuant to Strategic Transactions in reliance upon this clause (E) does not exceed 20% of the number of shares of Common Stock outstanding immediately prior to the Strategic Transaction (or the first Strategic Transaction, if more than one) and (y) each recipient of such shares of Common Stock or</w:t>
      </w:r>
    </w:p>
    <w:p>
      <w:pPr>
        <w:spacing w:after="0" w:line="148" w:lineRule="exact"/>
        <w:rPr>
          <w:rFonts w:ascii="Arial" w:cs="Arial" w:eastAsia="Arial" w:hAnsi="Arial"/>
          <w:sz w:val="16"/>
          <w:szCs w:val="16"/>
          <w:color w:val="auto"/>
        </w:rPr>
      </w:pPr>
    </w:p>
    <w:p>
      <w:pPr>
        <w:ind w:left="5384" w:hanging="101"/>
        <w:spacing w:after="0"/>
        <w:tabs>
          <w:tab w:leader="none" w:pos="5384" w:val="left"/>
        </w:tabs>
        <w:numPr>
          <w:ilvl w:val="2"/>
          <w:numId w:val="27"/>
        </w:numPr>
        <w:rPr>
          <w:rFonts w:ascii="Arial" w:cs="Arial" w:eastAsia="Arial" w:hAnsi="Arial"/>
          <w:sz w:val="18"/>
          <w:szCs w:val="18"/>
          <w:color w:val="auto"/>
        </w:rPr>
      </w:pPr>
      <w:r>
        <w:rPr>
          <w:rFonts w:ascii="Arial" w:cs="Arial" w:eastAsia="Arial" w:hAnsi="Arial"/>
          <w:sz w:val="18"/>
          <w:szCs w:val="18"/>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4"/>
          </w:cols>
          <w:pgMar w:left="476" w:top="935" w:right="239" w:bottom="1440" w:gutter="0" w:footer="0" w:header="0"/>
        </w:sectPr>
      </w:pPr>
    </w:p>
    <w:bookmarkStart w:id="29" w:name="page30"/>
    <w:bookmarkEnd w:id="29"/>
    <w:p>
      <w:pPr>
        <w:ind w:left="7" w:right="60"/>
        <w:spacing w:after="0" w:line="285" w:lineRule="auto"/>
        <w:rPr>
          <w:sz w:val="20"/>
          <w:szCs w:val="20"/>
          <w:color w:val="auto"/>
        </w:rPr>
      </w:pPr>
      <w:r>
        <w:rPr>
          <w:rFonts w:ascii="Arial" w:cs="Arial" w:eastAsia="Arial" w:hAnsi="Arial"/>
          <w:sz w:val="16"/>
          <w:szCs w:val="16"/>
          <w:color w:val="auto"/>
        </w:rPr>
        <w:t>securities convertible into or exercisable for Common Stock has theretofore executed a binding lock-up agreement agreeing with Susquehanna not to transfer, directly or indirectly, any such shares or securities (or shares of Common Stock underlying such securities) during the Lock-Up Period; provided, however, that if (a) during the period that begins on the date that is fifteen (15) calendar days plus three (3) business days before the last day of the Lock-Up Period and ends on the last day of the Lock-Up Period, the Company issues an earnings release or material news or a material event relating to the Company occurs; or (b) prior to the expiration of the Lock-Up Period, the Company announces that it will release earnings results during the sixteen</w:t>
      </w:r>
    </w:p>
    <w:p>
      <w:pPr>
        <w:spacing w:after="0" w:line="2" w:lineRule="exact"/>
        <w:rPr>
          <w:sz w:val="20"/>
          <w:szCs w:val="20"/>
          <w:color w:val="auto"/>
        </w:rPr>
      </w:pPr>
    </w:p>
    <w:p>
      <w:pPr>
        <w:ind w:left="7" w:right="500" w:hanging="4"/>
        <w:spacing w:after="0" w:line="255" w:lineRule="auto"/>
        <w:tabs>
          <w:tab w:leader="none" w:pos="352" w:val="left"/>
        </w:tabs>
        <w:numPr>
          <w:ilvl w:val="1"/>
          <w:numId w:val="28"/>
        </w:numPr>
        <w:rPr>
          <w:rFonts w:ascii="Arial" w:cs="Arial" w:eastAsia="Arial" w:hAnsi="Arial"/>
          <w:sz w:val="18"/>
          <w:szCs w:val="18"/>
          <w:color w:val="auto"/>
        </w:rPr>
      </w:pPr>
      <w:r>
        <w:rPr>
          <w:rFonts w:ascii="Arial" w:cs="Arial" w:eastAsia="Arial" w:hAnsi="Arial"/>
          <w:sz w:val="18"/>
          <w:szCs w:val="18"/>
          <w:color w:val="auto"/>
        </w:rPr>
        <w:t>day period beginning on the last day of the Lock-Up Period, then the restrictions imposed by this Section 4(o) shall continue to apply until the expiration of the date that is fifteen (15) calendar days plus three (3) business days after the date on which the issuance of the earnings release or the material news or material event occurs;</w:t>
      </w:r>
    </w:p>
    <w:p>
      <w:pPr>
        <w:spacing w:after="0" w:line="82" w:lineRule="exact"/>
        <w:rPr>
          <w:rFonts w:ascii="Arial" w:cs="Arial" w:eastAsia="Arial" w:hAnsi="Arial"/>
          <w:sz w:val="18"/>
          <w:szCs w:val="18"/>
          <w:color w:val="auto"/>
        </w:rPr>
      </w:pPr>
    </w:p>
    <w:p>
      <w:pPr>
        <w:ind w:left="7" w:firstLine="221"/>
        <w:spacing w:after="0" w:line="264" w:lineRule="auto"/>
        <w:tabs>
          <w:tab w:leader="none" w:pos="487" w:val="left"/>
        </w:tabs>
        <w:numPr>
          <w:ilvl w:val="2"/>
          <w:numId w:val="28"/>
        </w:numPr>
        <w:rPr>
          <w:rFonts w:ascii="Arial" w:cs="Arial" w:eastAsia="Arial" w:hAnsi="Arial"/>
          <w:sz w:val="18"/>
          <w:szCs w:val="18"/>
          <w:color w:val="auto"/>
        </w:rPr>
      </w:pPr>
      <w:r>
        <w:rPr>
          <w:rFonts w:ascii="Arial" w:cs="Arial" w:eastAsia="Arial" w:hAnsi="Arial"/>
          <w:sz w:val="18"/>
          <w:szCs w:val="18"/>
          <w:color w:val="auto"/>
        </w:rPr>
        <w:t>prior to the time of purchase, to issue no press release or other communication directly or indirectly and hold no press conferences with respect to the Company or the Subsidiary, the financial condition, results of operations, business, properties, assets, or liabilities of the Company or the Subsidiary, or the offering of the Securities, without your prior consent;</w:t>
      </w:r>
    </w:p>
    <w:p>
      <w:pPr>
        <w:spacing w:after="0" w:line="73" w:lineRule="exact"/>
        <w:rPr>
          <w:rFonts w:ascii="Arial" w:cs="Arial" w:eastAsia="Arial" w:hAnsi="Arial"/>
          <w:sz w:val="18"/>
          <w:szCs w:val="18"/>
          <w:color w:val="auto"/>
        </w:rPr>
      </w:pPr>
    </w:p>
    <w:p>
      <w:pPr>
        <w:ind w:left="487" w:hanging="259"/>
        <w:spacing w:after="0"/>
        <w:tabs>
          <w:tab w:leader="none" w:pos="487" w:val="left"/>
        </w:tabs>
        <w:numPr>
          <w:ilvl w:val="2"/>
          <w:numId w:val="28"/>
        </w:numPr>
        <w:rPr>
          <w:rFonts w:ascii="Arial" w:cs="Arial" w:eastAsia="Arial" w:hAnsi="Arial"/>
          <w:sz w:val="17"/>
          <w:szCs w:val="17"/>
          <w:color w:val="auto"/>
        </w:rPr>
      </w:pPr>
      <w:r>
        <w:rPr>
          <w:rFonts w:ascii="Arial" w:cs="Arial" w:eastAsia="Arial" w:hAnsi="Arial"/>
          <w:sz w:val="17"/>
          <w:szCs w:val="17"/>
          <w:color w:val="auto"/>
        </w:rPr>
        <w:t>not, at any time at or after the execution of this Agreement, to, directly or indirectly, offer or sell any Securities by means of any “prospectus”</w:t>
      </w:r>
    </w:p>
    <w:p>
      <w:pPr>
        <w:spacing w:after="0" w:line="34" w:lineRule="exact"/>
        <w:rPr>
          <w:rFonts w:ascii="Arial" w:cs="Arial" w:eastAsia="Arial" w:hAnsi="Arial"/>
          <w:sz w:val="17"/>
          <w:szCs w:val="17"/>
          <w:color w:val="auto"/>
        </w:rPr>
      </w:pPr>
    </w:p>
    <w:p>
      <w:pPr>
        <w:ind w:left="7" w:right="40"/>
        <w:spacing w:after="0" w:line="261" w:lineRule="auto"/>
        <w:rPr>
          <w:rFonts w:ascii="Arial" w:cs="Arial" w:eastAsia="Arial" w:hAnsi="Arial"/>
          <w:sz w:val="17"/>
          <w:szCs w:val="17"/>
          <w:color w:val="auto"/>
        </w:rPr>
      </w:pPr>
      <w:r>
        <w:rPr>
          <w:rFonts w:ascii="Arial" w:cs="Arial" w:eastAsia="Arial" w:hAnsi="Arial"/>
          <w:sz w:val="18"/>
          <w:szCs w:val="18"/>
          <w:color w:val="auto"/>
        </w:rPr>
        <w:t>(within the meaning of the Act), or use any “prospectus” (within the meaning of the Act) in connection with the offer or sale of the Securities, in each case other than the Prospectus;</w:t>
      </w:r>
    </w:p>
    <w:p>
      <w:pPr>
        <w:spacing w:after="0" w:line="75" w:lineRule="exact"/>
        <w:rPr>
          <w:rFonts w:ascii="Arial" w:cs="Arial" w:eastAsia="Arial" w:hAnsi="Arial"/>
          <w:sz w:val="17"/>
          <w:szCs w:val="17"/>
          <w:color w:val="auto"/>
        </w:rPr>
      </w:pPr>
    </w:p>
    <w:p>
      <w:pPr>
        <w:ind w:left="7" w:right="160" w:firstLine="221"/>
        <w:spacing w:after="0" w:line="264" w:lineRule="auto"/>
        <w:tabs>
          <w:tab w:leader="none" w:pos="457" w:val="left"/>
        </w:tabs>
        <w:numPr>
          <w:ilvl w:val="2"/>
          <w:numId w:val="28"/>
        </w:numPr>
        <w:rPr>
          <w:rFonts w:ascii="Arial" w:cs="Arial" w:eastAsia="Arial" w:hAnsi="Arial"/>
          <w:sz w:val="18"/>
          <w:szCs w:val="18"/>
          <w:color w:val="auto"/>
        </w:rPr>
      </w:pPr>
      <w:r>
        <w:rPr>
          <w:rFonts w:ascii="Arial" w:cs="Arial" w:eastAsia="Arial" w:hAnsi="Arial"/>
          <w:sz w:val="18"/>
          <w:szCs w:val="18"/>
          <w:color w:val="auto"/>
        </w:rPr>
        <w:t>not to, and to cause the Subsidiary not to, take, directly or indirectly, any action designed, or which will constitute, or has constituted, or might reasonably be expected to cause or result in the stabilization or manipulation of the price of any security of the Company to facilitate the sale or resale of the Securities and the Warrant Shares;</w:t>
      </w:r>
    </w:p>
    <w:p>
      <w:pPr>
        <w:spacing w:after="0" w:line="73" w:lineRule="exact"/>
        <w:rPr>
          <w:rFonts w:ascii="Arial" w:cs="Arial" w:eastAsia="Arial" w:hAnsi="Arial"/>
          <w:sz w:val="18"/>
          <w:szCs w:val="18"/>
          <w:color w:val="auto"/>
        </w:rPr>
      </w:pPr>
    </w:p>
    <w:p>
      <w:pPr>
        <w:ind w:left="7" w:right="100" w:firstLine="221"/>
        <w:spacing w:after="0" w:line="277" w:lineRule="auto"/>
        <w:tabs>
          <w:tab w:leader="none" w:pos="467" w:val="left"/>
        </w:tabs>
        <w:numPr>
          <w:ilvl w:val="2"/>
          <w:numId w:val="28"/>
        </w:numPr>
        <w:rPr>
          <w:rFonts w:ascii="Arial" w:cs="Arial" w:eastAsia="Arial" w:hAnsi="Arial"/>
          <w:sz w:val="18"/>
          <w:szCs w:val="18"/>
          <w:color w:val="auto"/>
        </w:rPr>
      </w:pPr>
      <w:r>
        <w:rPr>
          <w:rFonts w:ascii="Arial" w:cs="Arial" w:eastAsia="Arial" w:hAnsi="Arial"/>
          <w:sz w:val="18"/>
          <w:szCs w:val="18"/>
          <w:color w:val="auto"/>
        </w:rPr>
        <w:t>to use its best efforts to cause the Shares to be listed for quotation on the NASDAQ and to maintain the listing of the Common Stock, including the Shares, on the NASDAQ; and</w:t>
      </w:r>
    </w:p>
    <w:p>
      <w:pPr>
        <w:spacing w:after="0" w:line="62" w:lineRule="exact"/>
        <w:rPr>
          <w:rFonts w:ascii="Arial" w:cs="Arial" w:eastAsia="Arial" w:hAnsi="Arial"/>
          <w:sz w:val="18"/>
          <w:szCs w:val="18"/>
          <w:color w:val="auto"/>
        </w:rPr>
      </w:pPr>
    </w:p>
    <w:p>
      <w:pPr>
        <w:ind w:left="447" w:hanging="219"/>
        <w:spacing w:after="0"/>
        <w:tabs>
          <w:tab w:leader="none" w:pos="447" w:val="left"/>
        </w:tabs>
        <w:numPr>
          <w:ilvl w:val="2"/>
          <w:numId w:val="28"/>
        </w:numPr>
        <w:rPr>
          <w:rFonts w:ascii="Arial" w:cs="Arial" w:eastAsia="Arial" w:hAnsi="Arial"/>
          <w:sz w:val="17"/>
          <w:szCs w:val="17"/>
          <w:color w:val="auto"/>
        </w:rPr>
      </w:pPr>
      <w:r>
        <w:rPr>
          <w:rFonts w:ascii="Arial" w:cs="Arial" w:eastAsia="Arial" w:hAnsi="Arial"/>
          <w:sz w:val="17"/>
          <w:szCs w:val="17"/>
          <w:color w:val="auto"/>
        </w:rPr>
        <w:t>to maintain a transfer agent and, if necessary under the jurisdiction of incorporation of the Company, a registrar for the Common Stock.</w:t>
      </w:r>
    </w:p>
    <w:p>
      <w:pPr>
        <w:spacing w:after="0" w:line="128" w:lineRule="exact"/>
        <w:rPr>
          <w:rFonts w:ascii="Arial" w:cs="Arial" w:eastAsia="Arial" w:hAnsi="Arial"/>
          <w:sz w:val="17"/>
          <w:szCs w:val="17"/>
          <w:color w:val="auto"/>
        </w:rPr>
      </w:pPr>
    </w:p>
    <w:p>
      <w:pPr>
        <w:ind w:left="-233" w:right="40" w:firstLine="233"/>
        <w:spacing w:after="0" w:line="297" w:lineRule="auto"/>
        <w:tabs>
          <w:tab w:leader="none" w:pos="172"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Reimbursement of Placement Agents’ Expenses</w:t>
      </w:r>
      <w:r>
        <w:rPr>
          <w:rFonts w:ascii="Arial" w:cs="Arial" w:eastAsia="Arial" w:hAnsi="Arial"/>
          <w:sz w:val="16"/>
          <w:szCs w:val="16"/>
          <w:color w:val="auto"/>
        </w:rPr>
        <w:t>. If this Agreement is terminated by any Placement Agent pursuant to Section 7, if any of the conditions set forth in Section 6 are not satisfied in accordance with Section 6 or if the sale of the Securities to the Investors is not consummated because of any refusal, inability or failure on the part of the Company to perform any agreement or obligation, or to comply with any provision, of this Agreement or any Subscription Agreement, then the Company shall, in addition to paying the amounts described in Section 4(m) hereof, reimburse Susquehanna for all of its reasonable out-of-pocket expenses, including the fees and disbursements of its counsel, up to an aggregate amount of $75,000.</w:t>
      </w:r>
    </w:p>
    <w:p>
      <w:pPr>
        <w:spacing w:after="0" w:line="131" w:lineRule="exact"/>
        <w:rPr>
          <w:rFonts w:ascii="Arial" w:cs="Arial" w:eastAsia="Arial" w:hAnsi="Arial"/>
          <w:sz w:val="16"/>
          <w:szCs w:val="16"/>
          <w:color w:val="auto"/>
        </w:rPr>
      </w:pPr>
    </w:p>
    <w:p>
      <w:pPr>
        <w:ind w:left="5387" w:hanging="101"/>
        <w:spacing w:after="0"/>
        <w:tabs>
          <w:tab w:leader="none" w:pos="5387" w:val="left"/>
        </w:tabs>
        <w:numPr>
          <w:ilvl w:val="3"/>
          <w:numId w:val="29"/>
        </w:numPr>
        <w:rPr>
          <w:rFonts w:ascii="Arial" w:cs="Arial" w:eastAsia="Arial" w:hAnsi="Arial"/>
          <w:sz w:val="18"/>
          <w:szCs w:val="18"/>
          <w:color w:val="auto"/>
        </w:rPr>
      </w:pPr>
      <w:r>
        <w:rPr>
          <w:rFonts w:ascii="Arial" w:cs="Arial" w:eastAsia="Arial" w:hAnsi="Arial"/>
          <w:sz w:val="18"/>
          <w:szCs w:val="18"/>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7"/>
          </w:cols>
          <w:pgMar w:left="473" w:top="935" w:right="259" w:bottom="1440" w:gutter="0" w:footer="0" w:header="0"/>
        </w:sectPr>
      </w:pPr>
    </w:p>
    <w:bookmarkStart w:id="30" w:name="page31"/>
    <w:bookmarkEnd w:id="30"/>
    <w:p>
      <w:pPr>
        <w:jc w:val="both"/>
        <w:ind w:left="-233" w:firstLine="233"/>
        <w:spacing w:after="0" w:line="264" w:lineRule="auto"/>
        <w:tabs>
          <w:tab w:leader="none" w:pos="172"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Conditions of Placement Agents’ Obligations</w:t>
      </w:r>
      <w:r>
        <w:rPr>
          <w:rFonts w:ascii="Arial" w:cs="Arial" w:eastAsia="Arial" w:hAnsi="Arial"/>
          <w:sz w:val="18"/>
          <w:szCs w:val="18"/>
          <w:color w:val="auto"/>
        </w:rPr>
        <w:t>. The obligations of the Placement Agents hereunder are subject to the accuracy of the representations and warranties on the part of the Company on the date hereof and at the time of purchase and the performance by the Company of its obligations hereunder and to the following additional conditions precedent:</w:t>
      </w:r>
    </w:p>
    <w:p>
      <w:pPr>
        <w:spacing w:after="0" w:line="73" w:lineRule="exact"/>
        <w:rPr>
          <w:rFonts w:ascii="Arial" w:cs="Arial" w:eastAsia="Arial" w:hAnsi="Arial"/>
          <w:sz w:val="18"/>
          <w:szCs w:val="18"/>
          <w:color w:val="auto"/>
        </w:rPr>
      </w:pPr>
    </w:p>
    <w:p>
      <w:pPr>
        <w:ind w:left="7" w:right="60" w:firstLine="221"/>
        <w:spacing w:after="0" w:line="264" w:lineRule="auto"/>
        <w:tabs>
          <w:tab w:leader="none" w:pos="477"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The Company shall furnish to you at the time of purchase opinions of Ropes &amp; Gray LLP, counsel for the Company, addressed to the Placement Agents, and dated the time of purchase, and in form and substance satisfactory to the Placement Agents, substantially in the form set forth in </w:t>
      </w:r>
      <w:r>
        <w:rPr>
          <w:rFonts w:ascii="Arial" w:cs="Arial" w:eastAsia="Arial" w:hAnsi="Arial"/>
          <w:sz w:val="18"/>
          <w:szCs w:val="18"/>
          <w:u w:val="single" w:color="auto"/>
          <w:color w:val="auto"/>
        </w:rPr>
        <w:t>Exhibits C-1</w:t>
      </w:r>
      <w:r>
        <w:rPr>
          <w:rFonts w:ascii="Arial" w:cs="Arial" w:eastAsia="Arial" w:hAnsi="Arial"/>
          <w:sz w:val="18"/>
          <w:szCs w:val="18"/>
          <w:color w:val="auto"/>
        </w:rPr>
        <w:t xml:space="preserve"> </w:t>
      </w:r>
      <w:r>
        <w:rPr>
          <w:rFonts w:ascii="Arial" w:cs="Arial" w:eastAsia="Arial" w:hAnsi="Arial"/>
          <w:sz w:val="18"/>
          <w:szCs w:val="18"/>
          <w:u w:val="single" w:color="auto"/>
          <w:color w:val="auto"/>
        </w:rPr>
        <w:t>and C-2</w:t>
      </w:r>
      <w:r>
        <w:rPr>
          <w:rFonts w:ascii="Arial" w:cs="Arial" w:eastAsia="Arial" w:hAnsi="Arial"/>
          <w:sz w:val="18"/>
          <w:szCs w:val="18"/>
          <w:color w:val="auto"/>
        </w:rPr>
        <w:t xml:space="preserve"> hereto.</w:t>
      </w:r>
    </w:p>
    <w:p>
      <w:pPr>
        <w:spacing w:after="0" w:line="73" w:lineRule="exact"/>
        <w:rPr>
          <w:rFonts w:ascii="Arial" w:cs="Arial" w:eastAsia="Arial" w:hAnsi="Arial"/>
          <w:sz w:val="18"/>
          <w:szCs w:val="18"/>
          <w:color w:val="auto"/>
        </w:rPr>
      </w:pPr>
    </w:p>
    <w:p>
      <w:pPr>
        <w:ind w:left="7" w:right="140" w:firstLine="221"/>
        <w:spacing w:after="0" w:line="264" w:lineRule="auto"/>
        <w:tabs>
          <w:tab w:leader="none" w:pos="487"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The Company shall furnish to you at the time of purchase, an opinion of Mintz Levin Cohn Ferris Glovsky and Popeo P.C., special counsel for the Company with respect to patents and proprietary rights, addressed to the Placement Agents, and dated the time of purchase, and in form and substance satisfactory to the Placement Agents, substantially in the form set forth in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w:t>
      </w:r>
    </w:p>
    <w:p>
      <w:pPr>
        <w:spacing w:after="0" w:line="73" w:lineRule="exact"/>
        <w:rPr>
          <w:rFonts w:ascii="Arial" w:cs="Arial" w:eastAsia="Arial" w:hAnsi="Arial"/>
          <w:sz w:val="18"/>
          <w:szCs w:val="18"/>
          <w:color w:val="auto"/>
        </w:rPr>
      </w:pPr>
    </w:p>
    <w:p>
      <w:pPr>
        <w:ind w:left="7" w:right="240" w:firstLine="221"/>
        <w:spacing w:after="0" w:line="264" w:lineRule="auto"/>
        <w:tabs>
          <w:tab w:leader="none" w:pos="477"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The Company shall furnish to you at the time of purchase, an opinion of Ropes &amp; Gray LLP, special counsel for the Company with respect to regulatory matters, addressed to the Placement Agents, and dated the time of purchase, and in form and substance satisfactory to the Placement Agents, substantially in the form set forth in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hereto.</w:t>
      </w:r>
    </w:p>
    <w:p>
      <w:pPr>
        <w:spacing w:after="0" w:line="73" w:lineRule="exact"/>
        <w:rPr>
          <w:rFonts w:ascii="Arial" w:cs="Arial" w:eastAsia="Arial" w:hAnsi="Arial"/>
          <w:sz w:val="18"/>
          <w:szCs w:val="18"/>
          <w:color w:val="auto"/>
        </w:rPr>
      </w:pPr>
    </w:p>
    <w:p>
      <w:pPr>
        <w:ind w:left="7" w:firstLine="221"/>
        <w:spacing w:after="0" w:line="259" w:lineRule="auto"/>
        <w:tabs>
          <w:tab w:leader="none" w:pos="487" w:val="left"/>
        </w:tabs>
        <w:numPr>
          <w:ilvl w:val="1"/>
          <w:numId w:val="30"/>
        </w:numPr>
        <w:rPr>
          <w:rFonts w:ascii="Arial" w:cs="Arial" w:eastAsia="Arial" w:hAnsi="Arial"/>
          <w:sz w:val="18"/>
          <w:szCs w:val="18"/>
          <w:color w:val="auto"/>
        </w:rPr>
      </w:pPr>
      <w:r>
        <w:rPr>
          <w:rFonts w:ascii="Arial" w:cs="Arial" w:eastAsia="Arial" w:hAnsi="Arial"/>
          <w:sz w:val="18"/>
          <w:szCs w:val="18"/>
          <w:color w:val="auto"/>
        </w:rPr>
        <w:t>You shall have received from Grant Thornton LLP letters dated, respectively, the date of this Agreement, the date of the Prospectus Supplement and the time of purchase, and addressed to the Placement Agents in the forms satisfactory to the Placement Agents, which letters shall cover, without limitation, the various financial disclosures contained in the Registration Statement, the Basic Prospectus, the Prospectus and the Permitted Free Writing Prospectuses, if any.</w:t>
      </w:r>
    </w:p>
    <w:p>
      <w:pPr>
        <w:spacing w:after="0" w:line="78" w:lineRule="exact"/>
        <w:rPr>
          <w:rFonts w:ascii="Arial" w:cs="Arial" w:eastAsia="Arial" w:hAnsi="Arial"/>
          <w:sz w:val="18"/>
          <w:szCs w:val="18"/>
          <w:color w:val="auto"/>
        </w:rPr>
      </w:pPr>
    </w:p>
    <w:p>
      <w:pPr>
        <w:ind w:left="7" w:right="80" w:firstLine="221"/>
        <w:spacing w:after="0" w:line="277" w:lineRule="auto"/>
        <w:tabs>
          <w:tab w:leader="none" w:pos="477" w:val="left"/>
        </w:tabs>
        <w:numPr>
          <w:ilvl w:val="1"/>
          <w:numId w:val="30"/>
        </w:numPr>
        <w:rPr>
          <w:rFonts w:ascii="Arial" w:cs="Arial" w:eastAsia="Arial" w:hAnsi="Arial"/>
          <w:sz w:val="18"/>
          <w:szCs w:val="18"/>
          <w:color w:val="auto"/>
        </w:rPr>
      </w:pPr>
      <w:r>
        <w:rPr>
          <w:rFonts w:ascii="Arial" w:cs="Arial" w:eastAsia="Arial" w:hAnsi="Arial"/>
          <w:sz w:val="18"/>
          <w:szCs w:val="18"/>
          <w:color w:val="auto"/>
        </w:rPr>
        <w:t>You shall have received at the time of purchase, the favorable opinion of Pillsbury Winthrop Shaw Pittman LLP, counsel for the Placement Agents, dated the time of purchase, in form and substance reasonably satisfactory to the Placement Agents.</w:t>
      </w:r>
    </w:p>
    <w:p>
      <w:pPr>
        <w:spacing w:after="0" w:line="62" w:lineRule="exact"/>
        <w:rPr>
          <w:rFonts w:ascii="Arial" w:cs="Arial" w:eastAsia="Arial" w:hAnsi="Arial"/>
          <w:sz w:val="18"/>
          <w:szCs w:val="18"/>
          <w:color w:val="auto"/>
        </w:rPr>
      </w:pPr>
    </w:p>
    <w:p>
      <w:pPr>
        <w:ind w:left="7" w:right="140" w:firstLine="221"/>
        <w:spacing w:after="0" w:line="277" w:lineRule="auto"/>
        <w:tabs>
          <w:tab w:leader="none" w:pos="457" w:val="left"/>
        </w:tabs>
        <w:numPr>
          <w:ilvl w:val="1"/>
          <w:numId w:val="30"/>
        </w:numPr>
        <w:rPr>
          <w:rFonts w:ascii="Arial" w:cs="Arial" w:eastAsia="Arial" w:hAnsi="Arial"/>
          <w:sz w:val="18"/>
          <w:szCs w:val="18"/>
          <w:color w:val="auto"/>
        </w:rPr>
      </w:pPr>
      <w:r>
        <w:rPr>
          <w:rFonts w:ascii="Arial" w:cs="Arial" w:eastAsia="Arial" w:hAnsi="Arial"/>
          <w:sz w:val="18"/>
          <w:szCs w:val="18"/>
          <w:color w:val="auto"/>
        </w:rPr>
        <w:t>No Prospectus or amendment or supplement to the Registration Statement or the Prospectus shall have been filed to which you shall have objected in writing.</w:t>
      </w:r>
    </w:p>
    <w:p>
      <w:pPr>
        <w:spacing w:after="0" w:line="62" w:lineRule="exact"/>
        <w:rPr>
          <w:rFonts w:ascii="Arial" w:cs="Arial" w:eastAsia="Arial" w:hAnsi="Arial"/>
          <w:sz w:val="18"/>
          <w:szCs w:val="18"/>
          <w:color w:val="auto"/>
        </w:rPr>
      </w:pPr>
    </w:p>
    <w:p>
      <w:pPr>
        <w:ind w:left="7" w:right="20" w:firstLine="221"/>
        <w:spacing w:after="0" w:line="259" w:lineRule="auto"/>
        <w:tabs>
          <w:tab w:leader="none" w:pos="487"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Registration Statement and any registration statement required to be filed, prior to the sale of the Securities, under the Act pursuant to Rule 462(b) shall have been filed and shall have become effective under the Act. The Prospectus Supplement shall have been filed with the Commission pursuant to Rule 424(b) under the Act at or before 5:30 PM, New York City time, on the second full business day after the date of this Agreement (or such earlier time as may be required under the Act).</w:t>
      </w:r>
    </w:p>
    <w:p>
      <w:pPr>
        <w:spacing w:after="0" w:line="78" w:lineRule="exact"/>
        <w:rPr>
          <w:rFonts w:ascii="Arial" w:cs="Arial" w:eastAsia="Arial" w:hAnsi="Arial"/>
          <w:sz w:val="18"/>
          <w:szCs w:val="18"/>
          <w:color w:val="auto"/>
        </w:rPr>
      </w:pPr>
    </w:p>
    <w:p>
      <w:pPr>
        <w:ind w:left="7" w:firstLine="221"/>
        <w:spacing w:after="0" w:line="277" w:lineRule="auto"/>
        <w:tabs>
          <w:tab w:leader="none" w:pos="487" w:val="left"/>
        </w:tabs>
        <w:numPr>
          <w:ilvl w:val="1"/>
          <w:numId w:val="30"/>
        </w:numPr>
        <w:rPr>
          <w:rFonts w:ascii="Arial" w:cs="Arial" w:eastAsia="Arial" w:hAnsi="Arial"/>
          <w:sz w:val="18"/>
          <w:szCs w:val="18"/>
          <w:color w:val="auto"/>
        </w:rPr>
      </w:pPr>
      <w:r>
        <w:rPr>
          <w:rFonts w:ascii="Arial" w:cs="Arial" w:eastAsia="Arial" w:hAnsi="Arial"/>
          <w:sz w:val="18"/>
          <w:szCs w:val="18"/>
          <w:color w:val="auto"/>
        </w:rPr>
        <w:t>Prior to and at the time of purchase, (i) no stop order with respect to the effectiveness of the Registration Statement shall have been issued under the Act or proceedings initiated under Section 8(d) or 8(e) of the Act; (ii) the Registration Statement</w:t>
      </w:r>
    </w:p>
    <w:p>
      <w:pPr>
        <w:spacing w:after="0" w:line="143" w:lineRule="exact"/>
        <w:rPr>
          <w:rFonts w:ascii="Arial" w:cs="Arial" w:eastAsia="Arial" w:hAnsi="Arial"/>
          <w:sz w:val="18"/>
          <w:szCs w:val="18"/>
          <w:color w:val="auto"/>
        </w:rPr>
      </w:pPr>
    </w:p>
    <w:p>
      <w:pPr>
        <w:ind w:left="5387" w:hanging="101"/>
        <w:spacing w:after="0"/>
        <w:tabs>
          <w:tab w:leader="none" w:pos="5387" w:val="left"/>
        </w:tabs>
        <w:numPr>
          <w:ilvl w:val="2"/>
          <w:numId w:val="30"/>
        </w:numPr>
        <w:rPr>
          <w:rFonts w:ascii="Arial" w:cs="Arial" w:eastAsia="Arial" w:hAnsi="Arial"/>
          <w:sz w:val="18"/>
          <w:szCs w:val="18"/>
          <w:color w:val="auto"/>
        </w:rPr>
      </w:pPr>
      <w:r>
        <w:rPr>
          <w:rFonts w:ascii="Arial" w:cs="Arial" w:eastAsia="Arial" w:hAnsi="Arial"/>
          <w:sz w:val="18"/>
          <w:szCs w:val="18"/>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7"/>
          </w:cols>
          <w:pgMar w:left="473" w:top="935" w:right="279" w:bottom="1440" w:gutter="0" w:footer="0" w:header="0"/>
        </w:sectPr>
      </w:pPr>
    </w:p>
    <w:bookmarkStart w:id="31" w:name="page32"/>
    <w:bookmarkEnd w:id="31"/>
    <w:p>
      <w:pPr>
        <w:ind w:left="7"/>
        <w:spacing w:after="0" w:line="255" w:lineRule="auto"/>
        <w:rPr>
          <w:sz w:val="20"/>
          <w:szCs w:val="20"/>
          <w:color w:val="auto"/>
        </w:rPr>
      </w:pPr>
      <w:r>
        <w:rPr>
          <w:rFonts w:ascii="Arial" w:cs="Arial" w:eastAsia="Arial" w:hAnsi="Arial"/>
          <w:sz w:val="18"/>
          <w:szCs w:val="18"/>
          <w:color w:val="auto"/>
        </w:rPr>
        <w:t>and all amendments thereto shall not contain an untrue statement of a material fact or omit to state a material fact required to be stated therein or necessary to make the statements therein not misleading; (iii) none of the Basic Prospectus or the Prospectus, and no amendment or supplement thereto, shall include an untrue statement of a material fact or omit to state a material fact necessary in order to make the statements therein, in the light of the circumstances under which they are made, not misleading; and (iv) none of the Permitted Free Writing Prospectuses, if any, shall include an untrue statement of a material fact or omit to state a material fact necessary in order to make the statements therein, in the light of the circumstances under which they are made, not misleading.</w:t>
      </w:r>
    </w:p>
    <w:p>
      <w:pPr>
        <w:spacing w:after="0" w:line="85" w:lineRule="exact"/>
        <w:rPr>
          <w:sz w:val="20"/>
          <w:szCs w:val="20"/>
          <w:color w:val="auto"/>
        </w:rPr>
      </w:pPr>
    </w:p>
    <w:p>
      <w:pPr>
        <w:ind w:left="7" w:right="120" w:firstLine="221"/>
        <w:spacing w:after="0" w:line="308" w:lineRule="auto"/>
        <w:tabs>
          <w:tab w:leader="none" w:pos="447" w:val="left"/>
        </w:tabs>
        <w:numPr>
          <w:ilvl w:val="1"/>
          <w:numId w:val="31"/>
        </w:numPr>
        <w:rPr>
          <w:rFonts w:ascii="Arial" w:cs="Arial" w:eastAsia="Arial" w:hAnsi="Arial"/>
          <w:sz w:val="17"/>
          <w:szCs w:val="17"/>
          <w:color w:val="auto"/>
        </w:rPr>
      </w:pPr>
      <w:r>
        <w:rPr>
          <w:rFonts w:ascii="Arial" w:cs="Arial" w:eastAsia="Arial" w:hAnsi="Arial"/>
          <w:sz w:val="17"/>
          <w:szCs w:val="17"/>
          <w:color w:val="auto"/>
        </w:rPr>
        <w:t xml:space="preserve">The Company will, at the time of purchase, deliver to you a certificate of its Chief Executive Officer and its Chief Financial Officer, dated the time of purchase, in the form attached as </w:t>
      </w:r>
      <w:r>
        <w:rPr>
          <w:rFonts w:ascii="Arial" w:cs="Arial" w:eastAsia="Arial" w:hAnsi="Arial"/>
          <w:sz w:val="17"/>
          <w:szCs w:val="17"/>
          <w:u w:val="single" w:color="auto"/>
          <w:color w:val="auto"/>
        </w:rPr>
        <w:t>Exhibit F-1</w:t>
      </w:r>
      <w:r>
        <w:rPr>
          <w:rFonts w:ascii="Arial" w:cs="Arial" w:eastAsia="Arial" w:hAnsi="Arial"/>
          <w:sz w:val="17"/>
          <w:szCs w:val="17"/>
          <w:color w:val="auto"/>
        </w:rPr>
        <w:t xml:space="preserve"> hereto and a certificate of its Secretary in the form attached as </w:t>
      </w:r>
      <w:r>
        <w:rPr>
          <w:rFonts w:ascii="Arial" w:cs="Arial" w:eastAsia="Arial" w:hAnsi="Arial"/>
          <w:sz w:val="17"/>
          <w:szCs w:val="17"/>
          <w:u w:val="single" w:color="auto"/>
          <w:color w:val="auto"/>
        </w:rPr>
        <w:t>Exhibit F-2</w:t>
      </w:r>
      <w:r>
        <w:rPr>
          <w:rFonts w:ascii="Arial" w:cs="Arial" w:eastAsia="Arial" w:hAnsi="Arial"/>
          <w:sz w:val="17"/>
          <w:szCs w:val="17"/>
          <w:color w:val="auto"/>
        </w:rPr>
        <w:t xml:space="preserve"> hereto;</w:t>
      </w:r>
    </w:p>
    <w:p>
      <w:pPr>
        <w:spacing w:after="0" w:line="38" w:lineRule="exact"/>
        <w:rPr>
          <w:rFonts w:ascii="Arial" w:cs="Arial" w:eastAsia="Arial" w:hAnsi="Arial"/>
          <w:sz w:val="17"/>
          <w:szCs w:val="17"/>
          <w:color w:val="auto"/>
        </w:rPr>
      </w:pPr>
    </w:p>
    <w:p>
      <w:pPr>
        <w:ind w:left="7" w:right="100" w:firstLine="221"/>
        <w:spacing w:after="0" w:line="264" w:lineRule="auto"/>
        <w:tabs>
          <w:tab w:leader="none" w:pos="447"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Company shall, on the Closing, deliver to the Placement Agents a certificate of its Chief Financial Officer regarding certain statistical data and other information contained in the Registration Statement, the Basic Prospectus, the Prospectus and any Permitted Free Writing Prospectus, in a form reasonably satisfactory to the Placement Agents;</w:t>
      </w:r>
    </w:p>
    <w:p>
      <w:pPr>
        <w:spacing w:after="0" w:line="73" w:lineRule="exact"/>
        <w:rPr>
          <w:rFonts w:ascii="Arial" w:cs="Arial" w:eastAsia="Arial" w:hAnsi="Arial"/>
          <w:sz w:val="18"/>
          <w:szCs w:val="18"/>
          <w:color w:val="auto"/>
        </w:rPr>
      </w:pPr>
    </w:p>
    <w:p>
      <w:pPr>
        <w:jc w:val="both"/>
        <w:ind w:left="7" w:firstLine="221"/>
        <w:spacing w:after="0" w:line="264" w:lineRule="auto"/>
        <w:tabs>
          <w:tab w:leader="none" w:pos="487" w:val="left"/>
        </w:tabs>
        <w:numPr>
          <w:ilvl w:val="1"/>
          <w:numId w:val="31"/>
        </w:numPr>
        <w:rPr>
          <w:rFonts w:ascii="Arial" w:cs="Arial" w:eastAsia="Arial" w:hAnsi="Arial"/>
          <w:sz w:val="18"/>
          <w:szCs w:val="18"/>
          <w:color w:val="auto"/>
        </w:rPr>
      </w:pPr>
      <w:r>
        <w:rPr>
          <w:rFonts w:ascii="Arial" w:cs="Arial" w:eastAsia="Arial" w:hAnsi="Arial"/>
          <w:sz w:val="18"/>
          <w:szCs w:val="18"/>
          <w:color w:val="auto"/>
        </w:rPr>
        <w:t>You shall have received the agreement (a “</w:t>
      </w:r>
      <w:r>
        <w:rPr>
          <w:rFonts w:ascii="Arial" w:cs="Arial" w:eastAsia="Arial" w:hAnsi="Arial"/>
          <w:sz w:val="18"/>
          <w:szCs w:val="18"/>
          <w:u w:val="single" w:color="auto"/>
          <w:color w:val="auto"/>
        </w:rPr>
        <w:t>Lock-Up Agreement</w:t>
      </w:r>
      <w:r>
        <w:rPr>
          <w:rFonts w:ascii="Arial" w:cs="Arial" w:eastAsia="Arial" w:hAnsi="Arial"/>
          <w:sz w:val="18"/>
          <w:szCs w:val="18"/>
          <w:color w:val="auto"/>
        </w:rPr>
        <w:t xml:space="preserve">”), in the form set forth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of each of the Company’s directors and “officers” (within the meaning of Rule 16a-1(f) under the Exchange Act), and each such Lock-Up Agreement shall be in full force and effect at the time of purchase.</w:t>
      </w:r>
    </w:p>
    <w:p>
      <w:pPr>
        <w:spacing w:after="0" w:line="73" w:lineRule="exact"/>
        <w:rPr>
          <w:rFonts w:ascii="Arial" w:cs="Arial" w:eastAsia="Arial" w:hAnsi="Arial"/>
          <w:sz w:val="18"/>
          <w:szCs w:val="18"/>
          <w:color w:val="auto"/>
        </w:rPr>
      </w:pPr>
    </w:p>
    <w:p>
      <w:pPr>
        <w:ind w:left="447" w:hanging="219"/>
        <w:spacing w:after="0"/>
        <w:tabs>
          <w:tab w:leader="none" w:pos="447" w:val="left"/>
        </w:tabs>
        <w:numPr>
          <w:ilvl w:val="1"/>
          <w:numId w:val="31"/>
        </w:numPr>
        <w:rPr>
          <w:rFonts w:ascii="Arial" w:cs="Arial" w:eastAsia="Arial" w:hAnsi="Arial"/>
          <w:sz w:val="17"/>
          <w:szCs w:val="17"/>
          <w:color w:val="auto"/>
        </w:rPr>
      </w:pPr>
      <w:r>
        <w:rPr>
          <w:rFonts w:ascii="Arial" w:cs="Arial" w:eastAsia="Arial" w:hAnsi="Arial"/>
          <w:sz w:val="17"/>
          <w:szCs w:val="17"/>
          <w:color w:val="auto"/>
        </w:rPr>
        <w:t>The Company shall have furnished to you such other documents and certificates as to the accuracy and completeness of any statement in the</w:t>
      </w:r>
    </w:p>
    <w:p>
      <w:pPr>
        <w:spacing w:after="0" w:line="34" w:lineRule="exact"/>
        <w:rPr>
          <w:rFonts w:ascii="Arial" w:cs="Arial" w:eastAsia="Arial" w:hAnsi="Arial"/>
          <w:sz w:val="17"/>
          <w:szCs w:val="17"/>
          <w:color w:val="auto"/>
        </w:rPr>
      </w:pPr>
    </w:p>
    <w:p>
      <w:pPr>
        <w:ind w:left="7" w:right="160"/>
        <w:spacing w:after="0" w:line="302" w:lineRule="auto"/>
        <w:rPr>
          <w:rFonts w:ascii="Arial" w:cs="Arial" w:eastAsia="Arial" w:hAnsi="Arial"/>
          <w:sz w:val="17"/>
          <w:szCs w:val="17"/>
          <w:color w:val="auto"/>
        </w:rPr>
      </w:pPr>
      <w:r>
        <w:rPr>
          <w:rFonts w:ascii="Arial" w:cs="Arial" w:eastAsia="Arial" w:hAnsi="Arial"/>
          <w:sz w:val="16"/>
          <w:szCs w:val="16"/>
          <w:color w:val="auto"/>
        </w:rPr>
        <w:t>Registration Statement, the Basic Prospectus, the Prospectus or any Permitted Free Writing Prospectus as of the time of purchase as you may reasonably request on the basis of any change in circumstances or potential change in circumstances from the time of execution of this Agreement until the time of purchase which affects or could reasonably be expected to affect, or otherwise calls into question, the accuracy and completeness of any such statement.</w:t>
      </w:r>
    </w:p>
    <w:p>
      <w:pPr>
        <w:spacing w:after="0" w:line="47" w:lineRule="exact"/>
        <w:rPr>
          <w:rFonts w:ascii="Arial" w:cs="Arial" w:eastAsia="Arial" w:hAnsi="Arial"/>
          <w:sz w:val="17"/>
          <w:szCs w:val="17"/>
          <w:color w:val="auto"/>
        </w:rPr>
      </w:pPr>
    </w:p>
    <w:p>
      <w:pPr>
        <w:ind w:left="527" w:hanging="299"/>
        <w:spacing w:after="0"/>
        <w:tabs>
          <w:tab w:leader="none" w:pos="527" w:val="left"/>
        </w:tabs>
        <w:numPr>
          <w:ilvl w:val="1"/>
          <w:numId w:val="31"/>
        </w:numPr>
        <w:rPr>
          <w:rFonts w:ascii="Arial" w:cs="Arial" w:eastAsia="Arial" w:hAnsi="Arial"/>
          <w:sz w:val="17"/>
          <w:szCs w:val="17"/>
          <w:color w:val="auto"/>
        </w:rPr>
      </w:pPr>
      <w:r>
        <w:rPr>
          <w:rFonts w:ascii="Arial" w:cs="Arial" w:eastAsia="Arial" w:hAnsi="Arial"/>
          <w:sz w:val="17"/>
          <w:szCs w:val="17"/>
          <w:color w:val="auto"/>
        </w:rPr>
        <w:t>The Shares shall have been approved for quotation on the NASDAQ, subject only to notice of issuance at or prior to the time of purchase.</w:t>
      </w:r>
    </w:p>
    <w:p>
      <w:pPr>
        <w:spacing w:after="0" w:line="128" w:lineRule="exact"/>
        <w:rPr>
          <w:rFonts w:ascii="Arial" w:cs="Arial" w:eastAsia="Arial" w:hAnsi="Arial"/>
          <w:sz w:val="17"/>
          <w:szCs w:val="17"/>
          <w:color w:val="auto"/>
        </w:rPr>
      </w:pPr>
    </w:p>
    <w:p>
      <w:pPr>
        <w:ind w:left="7" w:right="380" w:firstLine="221"/>
        <w:spacing w:after="0" w:line="277" w:lineRule="auto"/>
        <w:tabs>
          <w:tab w:leader="none" w:pos="487" w:val="left"/>
        </w:tabs>
        <w:numPr>
          <w:ilvl w:val="1"/>
          <w:numId w:val="31"/>
        </w:numPr>
        <w:rPr>
          <w:rFonts w:ascii="Arial" w:cs="Arial" w:eastAsia="Arial" w:hAnsi="Arial"/>
          <w:sz w:val="18"/>
          <w:szCs w:val="18"/>
          <w:color w:val="auto"/>
        </w:rPr>
      </w:pPr>
      <w:r>
        <w:rPr>
          <w:rFonts w:ascii="Arial" w:cs="Arial" w:eastAsia="Arial" w:hAnsi="Arial"/>
          <w:sz w:val="18"/>
          <w:szCs w:val="18"/>
          <w:color w:val="auto"/>
        </w:rPr>
        <w:t>FINRA shall not have raised any objection with respect to the fairness or reasonableness of the placement agency, or other arrangements of the transactions, contemplated hereby.</w:t>
      </w:r>
    </w:p>
    <w:p>
      <w:pPr>
        <w:spacing w:after="0" w:line="62" w:lineRule="exact"/>
        <w:rPr>
          <w:rFonts w:ascii="Arial" w:cs="Arial" w:eastAsia="Arial" w:hAnsi="Arial"/>
          <w:sz w:val="18"/>
          <w:szCs w:val="18"/>
          <w:color w:val="auto"/>
        </w:rPr>
      </w:pPr>
    </w:p>
    <w:p>
      <w:pPr>
        <w:ind w:left="227" w:hanging="227"/>
        <w:spacing w:after="0" w:line="402" w:lineRule="auto"/>
        <w:tabs>
          <w:tab w:leader="none" w:pos="185"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Effective Date of Agreement; Termination</w:t>
      </w:r>
      <w:r>
        <w:rPr>
          <w:rFonts w:ascii="Arial" w:cs="Arial" w:eastAsia="Arial" w:hAnsi="Arial"/>
          <w:sz w:val="18"/>
          <w:szCs w:val="18"/>
          <w:color w:val="auto"/>
        </w:rPr>
        <w:t>. This Agreement shall become effective when the parties hereto have executed and delivered this Agreement. The obligations of the Placement Agents hereunder shall be subject to termination</w:t>
      </w:r>
    </w:p>
    <w:p>
      <w:pPr>
        <w:spacing w:after="0" w:line="35" w:lineRule="exact"/>
        <w:rPr>
          <w:rFonts w:ascii="Arial" w:cs="Arial" w:eastAsia="Arial" w:hAnsi="Arial"/>
          <w:sz w:val="18"/>
          <w:szCs w:val="18"/>
          <w:color w:val="auto"/>
        </w:rPr>
      </w:pPr>
    </w:p>
    <w:p>
      <w:pPr>
        <w:ind w:left="5387" w:hanging="101"/>
        <w:spacing w:after="0"/>
        <w:tabs>
          <w:tab w:leader="none" w:pos="5387" w:val="left"/>
        </w:tabs>
        <w:numPr>
          <w:ilvl w:val="2"/>
          <w:numId w:val="32"/>
        </w:numPr>
        <w:rPr>
          <w:rFonts w:ascii="Arial" w:cs="Arial" w:eastAsia="Arial" w:hAnsi="Arial"/>
          <w:sz w:val="18"/>
          <w:szCs w:val="18"/>
          <w:color w:val="auto"/>
        </w:rPr>
      </w:pPr>
      <w:r>
        <w:rPr>
          <w:rFonts w:ascii="Arial" w:cs="Arial" w:eastAsia="Arial" w:hAnsi="Arial"/>
          <w:sz w:val="18"/>
          <w:szCs w:val="18"/>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7"/>
          </w:cols>
          <w:pgMar w:left="473" w:top="935" w:right="279" w:bottom="1440" w:gutter="0" w:footer="0" w:header="0"/>
        </w:sectPr>
      </w:pPr>
    </w:p>
    <w:bookmarkStart w:id="32" w:name="page33"/>
    <w:bookmarkEnd w:id="32"/>
    <w:p>
      <w:pPr>
        <w:ind w:right="40"/>
        <w:spacing w:after="0" w:line="283" w:lineRule="auto"/>
        <w:rPr>
          <w:sz w:val="20"/>
          <w:szCs w:val="20"/>
          <w:color w:val="auto"/>
        </w:rPr>
      </w:pPr>
      <w:r>
        <w:rPr>
          <w:rFonts w:ascii="Arial" w:cs="Arial" w:eastAsia="Arial" w:hAnsi="Arial"/>
          <w:sz w:val="16"/>
          <w:szCs w:val="16"/>
          <w:color w:val="auto"/>
        </w:rPr>
        <w:t>in the absolute discretion of the Placement Agents, if (1) since the time of execution of this Agreement or the earlier respective dates as of which information is given in the Registration Statement, the Basic Prospectus, the Prospectus and the Permitted Free Writing Prospectuses, if any, there has been any change or any development involving a prospective change in the business, properties, management, financial condition or results of operations of the Company and the Subsidiary taken as a whole, the effect of which change or development is, in the sole judgment of the Placement Agents, so material and adverse as to make it impractical or inadvisable to proceed with the offering or the delivery of the Securities on the terms and in the manner contemplated in the Registration Statement, the Basic Prospectus, the Prospectus and the Permitted Free Writing Prospectuses, if any, or (2) since the time of execution of this Agreement, there shall have occurred: (A) a suspension or material limitation in trading in securities generally on the NYSE or the NASDAQ; (B) a suspension or material limitation in trading in the Company’s securities on the NASDAQ; (C) a general moratorium on commercial banking activities declared by either federal or New York State authorities or a material disruption in commercial banking or securities settlement or clearance services in the United States; (D) an outbreak or escalation of hostilities or acts of terrorism involving the United States or a declaration by the United States of a national emergency or war; or</w:t>
      </w:r>
    </w:p>
    <w:p>
      <w:pPr>
        <w:spacing w:after="0" w:line="6" w:lineRule="exact"/>
        <w:rPr>
          <w:sz w:val="20"/>
          <w:szCs w:val="20"/>
          <w:color w:val="auto"/>
        </w:rPr>
      </w:pPr>
    </w:p>
    <w:p>
      <w:pPr>
        <w:ind w:firstLine="8"/>
        <w:spacing w:after="0" w:line="269" w:lineRule="auto"/>
        <w:tabs>
          <w:tab w:leader="none" w:pos="275"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other calamity or crisis or any change in financial, political or economic conditions in the United States or elsewhere, if the effect of any such event specified in clause (D) or (E), in the sole judgment of the Placement Agents, makes it impractical or inadvisable to proceed with the offering or the delivery of the Securities on the terms and in the manner contemplated in the Registration Statement, the Basic Prospectus, the Prospectus and the Permitted Free Writing Prospectuses, if any, or (3) since the time of execution of this Agreement, there shall have occurred any downgrading, or any notice or announcement shall have been given or made of: (A) any intended or potential downgrading or (B) any watch, review or possible change that does not indicate an affirmation or improvement in the rating accorded any securities of or guaranteed by the Company or the Subsidiary by any “nationally recognized statistical rating organization,” as that term is defined in Rule 436(g)(2) under the Act.</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Placement Agents elect to terminate this Agreement as provided in this Section 7, the Company shall be notified promptly in writing.</w:t>
      </w:r>
    </w:p>
    <w:p>
      <w:pPr>
        <w:spacing w:after="0" w:line="117" w:lineRule="exact"/>
        <w:rPr>
          <w:sz w:val="20"/>
          <w:szCs w:val="20"/>
          <w:color w:val="auto"/>
        </w:rPr>
      </w:pPr>
    </w:p>
    <w:p>
      <w:pPr>
        <w:ind w:right="40" w:firstLine="450"/>
        <w:spacing w:after="0" w:line="257" w:lineRule="auto"/>
        <w:rPr>
          <w:sz w:val="20"/>
          <w:szCs w:val="20"/>
          <w:color w:val="auto"/>
        </w:rPr>
      </w:pPr>
      <w:r>
        <w:rPr>
          <w:rFonts w:ascii="Arial" w:cs="Arial" w:eastAsia="Arial" w:hAnsi="Arial"/>
          <w:sz w:val="18"/>
          <w:szCs w:val="18"/>
          <w:color w:val="auto"/>
        </w:rPr>
        <w:t>If the sale of the Securities, as contemplated by this Agreement and the Subscription Agreements, is not carried out for any reason permitted under this Agreement or the Subscription Agreements, or if such sale is not carried out because the Company shall be unable to comply with any of the terms of this Agreement or the Subscription Agreements, the Company shall not be under any obligation or liability under this Agreement (except to the extent provided in Sections 4(m), 5 and 8 hereof), and the Placement Agents shall be under no obligation or liability to the Company under this Agreement (except to the extent provided in Section 8 hereof).</w:t>
      </w:r>
    </w:p>
    <w:p>
      <w:pPr>
        <w:spacing w:after="0" w:line="80" w:lineRule="exact"/>
        <w:rPr>
          <w:sz w:val="20"/>
          <w:szCs w:val="20"/>
          <w:color w:val="auto"/>
        </w:rPr>
      </w:pPr>
    </w:p>
    <w:p>
      <w:pPr>
        <w:ind w:left="420" w:hanging="187"/>
        <w:spacing w:after="0"/>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Indemnity and Contribution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40" w:right="160" w:firstLine="221"/>
        <w:spacing w:after="0" w:line="277" w:lineRule="auto"/>
        <w:tabs>
          <w:tab w:leader="none" w:pos="71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Company agrees (i) to indemnify, defend and hold harmless each Placement Agent, their respective, directors, officers, employees and agents, and each person, if any, who controls such Placement Agent within the meaning of Section 15 of</w:t>
      </w:r>
    </w:p>
    <w:p>
      <w:pPr>
        <w:spacing w:after="0" w:line="143" w:lineRule="exact"/>
        <w:rPr>
          <w:rFonts w:ascii="Arial" w:cs="Arial" w:eastAsia="Arial" w:hAnsi="Arial"/>
          <w:sz w:val="18"/>
          <w:szCs w:val="18"/>
          <w:color w:val="auto"/>
        </w:rPr>
      </w:pPr>
    </w:p>
    <w:p>
      <w:pPr>
        <w:ind w:left="5620" w:hanging="101"/>
        <w:spacing w:after="0"/>
        <w:tabs>
          <w:tab w:leader="none" w:pos="5620" w:val="left"/>
        </w:tabs>
        <w:numPr>
          <w:ilvl w:val="2"/>
          <w:numId w:val="34"/>
        </w:numPr>
        <w:rPr>
          <w:rFonts w:ascii="Arial" w:cs="Arial" w:eastAsia="Arial" w:hAnsi="Arial"/>
          <w:sz w:val="18"/>
          <w:szCs w:val="18"/>
          <w:color w:val="auto"/>
        </w:rPr>
      </w:pPr>
      <w:r>
        <w:rPr>
          <w:rFonts w:ascii="Arial" w:cs="Arial" w:eastAsia="Arial" w:hAnsi="Arial"/>
          <w:sz w:val="18"/>
          <w:szCs w:val="18"/>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3" w:name="page34"/>
    <w:bookmarkEnd w:id="33"/>
    <w:p>
      <w:pPr>
        <w:spacing w:after="0" w:line="284" w:lineRule="auto"/>
        <w:rPr>
          <w:sz w:val="20"/>
          <w:szCs w:val="20"/>
          <w:color w:val="auto"/>
        </w:rPr>
      </w:pPr>
      <w:r>
        <w:rPr>
          <w:rFonts w:ascii="Arial" w:cs="Arial" w:eastAsia="Arial" w:hAnsi="Arial"/>
          <w:sz w:val="16"/>
          <w:szCs w:val="16"/>
          <w:color w:val="auto"/>
        </w:rPr>
        <w:t>the Act or Section 20 of the Exchange Act, and the successors and assigns of all of the foregoing persons, from and against any loss, damage, expense, liability or claim (or actions in respect thereof as contemplated below) which such Placement Agent or any such person may incur under the Act, the Exchange Act, the common law or otherwise, insofar as such loss, damage, expense, liability or claim (or actions in respect thereof as contemplated below) arises out of or is based (A) in whole or in part upon any inaccuracy in the representations and warranties of the Company contained herein, (B) in whole or in part upon any failure of the Company to perform its obligations hereunder or under law, (C) upon any untrue statement or alleged untrue statement of a material fact contained in the Registration Statement, or any amendment thereto, including any information deemed to be a part thereof pursuant to Rule 430B or Rule 430C under the Act, or the omission or alleged omission therefrom of a material fact required to be stated therein or necessary to make the statements therein not misleading, (D) upon any untrue statement or alleged untrue statement of a material fact contained in the Basic Prospectus (as amended or supplemented), any Permitted Free Writing Prospectus, the Prospectus (or any amendment or supplement thereto) or the omission or alleged omission therefrom of a material fact necessary in order to make the statements therein, in the light of the circumstances under which they were made, not misleading, or (E) in whole or in part upon any act or failure to act or alleged act or failure to act by the Placement Agents in reliance upon (A), (B), (C) or (D), and in connection with or relating in any manner to the Securities or the offering contemplated hereby, and which is included as part of or referred to in any loss, claim, damage, liability or action arising out of or based upon any matter covered by clause (A), (B), (C) or (D) above, provided that the Company shall not be liable under this clause (E) to the extent that a court of competent jurisdiction shall have determined by a final judgment that such loss, claim, damage, liability or action resulted primarily from any such acts or failures to act undertaken or omitted to be taken by such Placement Agent through its bad faith or willful misconduct; and (ii) to reimburse each Placement Agent, its respective officers, directors, employees, agents and each such controlling person for any and all expenses (including the fees and disbursements of counsel chosen by the Placement Agents) as such expenses are reasonably incurred by such Placement Agent, or its respective officers, directors, employees and agents or such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Placement Agents expressly for use in the Registration Statement, any Permitted Free Writing Prospectus, or the Prospectus (or any amendment or supplement thereto). The indemnity agreement set forth in this Section 8(a) shall be in addition to any liabilities that the Company may otherwise have.</w:t>
      </w:r>
    </w:p>
    <w:p>
      <w:pPr>
        <w:spacing w:after="0" w:line="287" w:lineRule="exact"/>
        <w:rPr>
          <w:sz w:val="20"/>
          <w:szCs w:val="20"/>
          <w:color w:val="auto"/>
        </w:rPr>
      </w:pPr>
    </w:p>
    <w:p>
      <w:pPr>
        <w:jc w:val="both"/>
        <w:ind w:right="40" w:firstLine="221"/>
        <w:spacing w:after="0" w:line="264" w:lineRule="auto"/>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Placement Agent, severally and not jointly, agrees to indemnify and hold harmless the Company, each of its directors, each of its officers who signed the Registration Statement and each person, if any, who controls the Company within the meaning of the Act or the Exchange Act, against any loss, claim, damage, liability or</w:t>
      </w:r>
    </w:p>
    <w:p>
      <w:pPr>
        <w:spacing w:after="0" w:line="154" w:lineRule="exact"/>
        <w:rPr>
          <w:rFonts w:ascii="Arial" w:cs="Arial" w:eastAsia="Arial" w:hAnsi="Arial"/>
          <w:sz w:val="18"/>
          <w:szCs w:val="18"/>
          <w:color w:val="auto"/>
        </w:rPr>
      </w:pPr>
    </w:p>
    <w:p>
      <w:pPr>
        <w:ind w:left="5380" w:hanging="101"/>
        <w:spacing w:after="0"/>
        <w:tabs>
          <w:tab w:leader="none" w:pos="53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34" w:name="page35"/>
    <w:bookmarkEnd w:id="34"/>
    <w:p>
      <w:pPr>
        <w:ind w:right="40"/>
        <w:spacing w:after="0" w:line="269" w:lineRule="auto"/>
        <w:rPr>
          <w:sz w:val="20"/>
          <w:szCs w:val="20"/>
          <w:color w:val="auto"/>
        </w:rPr>
      </w:pPr>
      <w:r>
        <w:rPr>
          <w:rFonts w:ascii="Arial" w:cs="Arial" w:eastAsia="Arial" w:hAnsi="Arial"/>
          <w:sz w:val="17"/>
          <w:szCs w:val="17"/>
          <w:color w:val="auto"/>
        </w:rPr>
        <w:t>expense, as incurred, to which the Company or any such director, officer or controlling person may become subject, insofar as such loss, claim, damage, liability or expense (or actions in respect thereof as contemplated below) arises out of or is based upon any untrue or alleged untrue statement of a material fact contained in the Registration Statement, any Permitted Free Writing Prospectus or the Prospectus (or any amendment or supplement thereto), or arises out of or is based upon the omission or alleged omission to state therein a material fact required to be stated therein or necessary to make the statements therein not misleading, in each case to the extent, and only to the extent, that such untrue statement or alleged untrue statement or omission or alleged omission was made in the Registration Statement, any Permitted Free Writing Prospectus or the Prospectus (or any amendment or supplement thereto), in reliance upon and in conformity with written information furnished to the Company by such Placement Agent expressly for use therein; and to reimburse the Company or any such director, officer or controlling person for any legal and other expense reasonably incurred by the Company or any such director, officer or controlling person in connection with investigating, defending, settling, compromising or paying any such loss, claim, damage, liability, expense or action. The Company hereby acknowledges that the only information that the Placement Agents have furnished to the Company expressly for use in the Registration Statement, any Permitted Free Writing Prospectus or the Prospectus (or any amendment or supplement thereto) are the statements set forth in Section 9.</w:t>
      </w:r>
    </w:p>
    <w:p>
      <w:pPr>
        <w:spacing w:after="0" w:line="72" w:lineRule="exact"/>
        <w:rPr>
          <w:sz w:val="20"/>
          <w:szCs w:val="20"/>
          <w:color w:val="auto"/>
        </w:rPr>
      </w:pPr>
    </w:p>
    <w:p>
      <w:pPr>
        <w:ind w:firstLine="221"/>
        <w:spacing w:after="0" w:line="268" w:lineRule="auto"/>
        <w:tabs>
          <w:tab w:leader="none" w:pos="47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Promptly after receipt by an indemnified party under this Section 8 of notice of the commencement of any action, such indemnified party will, if a claim in respect thereof is to be made against an indemnifying party under this Section 8, notify the indemnifying party in writing of the commencement thereof; but the failure to so notify the indemnifying party a) will not relieve it from liability under paragraph (a) or (b) above unless and to the extent it did not otherwise learn of such action and such failure results in the forfeiture by the indemnifying party of substantial rights and defenses and b) will not, in any event, relieve the indemnifying party from any liability other than the indemnification obligation provided in paragraph (a) or (b) above.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that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w:t>
      </w:r>
    </w:p>
    <w:p>
      <w:pPr>
        <w:spacing w:after="0" w:line="156" w:lineRule="exact"/>
        <w:rPr>
          <w:rFonts w:ascii="Arial" w:cs="Arial" w:eastAsia="Arial" w:hAnsi="Arial"/>
          <w:sz w:val="17"/>
          <w:szCs w:val="17"/>
          <w:color w:val="auto"/>
        </w:rPr>
      </w:pPr>
    </w:p>
    <w:p>
      <w:pPr>
        <w:ind w:left="5380" w:hanging="101"/>
        <w:spacing w:after="0"/>
        <w:tabs>
          <w:tab w:leader="none" w:pos="53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35" w:name="page36"/>
    <w:bookmarkEnd w:id="35"/>
    <w:p>
      <w:pPr>
        <w:ind w:right="40"/>
        <w:spacing w:after="0" w:line="255" w:lineRule="auto"/>
        <w:rPr>
          <w:sz w:val="20"/>
          <w:szCs w:val="20"/>
          <w:color w:val="auto"/>
        </w:rPr>
      </w:pPr>
      <w:r>
        <w:rPr>
          <w:rFonts w:ascii="Arial" w:cs="Arial" w:eastAsia="Arial" w:hAnsi="Arial"/>
          <w:sz w:val="18"/>
          <w:szCs w:val="18"/>
          <w:color w:val="auto"/>
        </w:rPr>
        <w:t>by the indemnified party of counsel, the indemnifying party will not be liable to such indemnified party under this Section 8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expenses of more than one separate counsel (other than local counsel), reasonably approved by the indemnifying party, representing the indemnified parties who are parties to such action) or (ii) the indemnifying party shall not have employed counsel reasonably satisfactory to the indemnified party to represent the indemnified party within a reasonable time after notice of commencement of the action, in each of which cases the fees and expenses of counsel shall be at the expense of the indemnifying party.</w:t>
      </w:r>
    </w:p>
    <w:p>
      <w:pPr>
        <w:spacing w:after="0" w:line="81" w:lineRule="exact"/>
        <w:rPr>
          <w:sz w:val="20"/>
          <w:szCs w:val="20"/>
          <w:color w:val="auto"/>
        </w:rPr>
      </w:pPr>
    </w:p>
    <w:p>
      <w:pPr>
        <w:ind w:firstLine="221"/>
        <w:spacing w:after="0" w:line="254" w:lineRule="auto"/>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indemnifying party under this Section 8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 includes an unconditional release of such indemnified party from all liability on claims that are the subject matter of such action, suit or proceeding and (ii) does not include a statement as to or an admission of fault, culpability or a failure to act, by or on behalf of any indemnified party.</w:t>
      </w:r>
    </w:p>
    <w:p>
      <w:pPr>
        <w:spacing w:after="0" w:line="84" w:lineRule="exact"/>
        <w:rPr>
          <w:rFonts w:ascii="Arial" w:cs="Arial" w:eastAsia="Arial" w:hAnsi="Arial"/>
          <w:sz w:val="18"/>
          <w:szCs w:val="18"/>
          <w:color w:val="auto"/>
        </w:rPr>
      </w:pPr>
    </w:p>
    <w:p>
      <w:pPr>
        <w:ind w:right="40" w:firstLine="221"/>
        <w:spacing w:after="0" w:line="287" w:lineRule="auto"/>
        <w:tabs>
          <w:tab w:leader="none" w:pos="47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If the indemnification provided for in Section 8(a) or (b), as applicable, is for any reason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Placement Agents, on the other hand, from the placement of the Securities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Placement Agents, on the other hand, in connection with the statements or omissions contained in the Registration Statement, the Basic Prospectus (as amended or supplemented), any Permitted Free Writing Prospectus or the Prospectus (or any amendment or supplement thereto) or inaccuracies in the representations and warranties herein which resulted in such losses, claims, damages, liabilities or expenses, as well as any other relevant equitable considerations. The relative benefits received by the Company, on the one hand, and the Placement Agents, on the other hand, in connection with the placement of the Securities pursuant to this Agreement shall be deemed to be in the same respective</w:t>
      </w:r>
    </w:p>
    <w:p>
      <w:pPr>
        <w:spacing w:after="0" w:line="145" w:lineRule="exact"/>
        <w:rPr>
          <w:rFonts w:ascii="Arial" w:cs="Arial" w:eastAsia="Arial" w:hAnsi="Arial"/>
          <w:sz w:val="16"/>
          <w:szCs w:val="16"/>
          <w:color w:val="auto"/>
        </w:rPr>
      </w:pPr>
    </w:p>
    <w:p>
      <w:pPr>
        <w:ind w:left="5380" w:hanging="101"/>
        <w:spacing w:after="0"/>
        <w:tabs>
          <w:tab w:leader="none" w:pos="53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36" w:name="page37"/>
    <w:bookmarkEnd w:id="36"/>
    <w:p>
      <w:pPr>
        <w:ind w:left="7" w:right="20"/>
        <w:spacing w:after="0" w:line="293" w:lineRule="auto"/>
        <w:rPr>
          <w:sz w:val="20"/>
          <w:szCs w:val="20"/>
          <w:color w:val="auto"/>
        </w:rPr>
      </w:pPr>
      <w:r>
        <w:rPr>
          <w:rFonts w:ascii="Arial" w:cs="Arial" w:eastAsia="Arial" w:hAnsi="Arial"/>
          <w:sz w:val="16"/>
          <w:szCs w:val="16"/>
          <w:color w:val="auto"/>
        </w:rPr>
        <w:t>proportions as the total net proceeds from the placement of the Securities pursuant to this Agreement (before deducting expenses) received by the Company, and the total compensation received by the Placement Agents bear to the aggregate proceeds from the placement of the Securities. The relative fault of the Company, on the one hand, and the Placement Agents, on the other hand, shall be determined by reference to, among other things, whether any such untrue or alleged untrue statement of a material fact or omission or alleged omission to state a material fact or any such inaccurate or alleged inaccurate representation or warranty relates to information supplied by the Company, on the one hand, or the Placement Agents, on the other hand, and the parties’ relative intent, knowledge, access to information and opportunity to correct or prevent such statement or omission.</w:t>
      </w:r>
    </w:p>
    <w:p>
      <w:pPr>
        <w:spacing w:after="0" w:line="57" w:lineRule="exact"/>
        <w:rPr>
          <w:sz w:val="20"/>
          <w:szCs w:val="20"/>
          <w:color w:val="auto"/>
        </w:rPr>
      </w:pPr>
    </w:p>
    <w:p>
      <w:pPr>
        <w:ind w:left="7" w:right="20"/>
        <w:spacing w:after="0" w:line="264" w:lineRule="auto"/>
        <w:rPr>
          <w:sz w:val="20"/>
          <w:szCs w:val="20"/>
          <w:color w:val="auto"/>
        </w:rPr>
      </w:pPr>
      <w:r>
        <w:rPr>
          <w:rFonts w:ascii="Arial" w:cs="Arial" w:eastAsia="Arial" w:hAnsi="Arial"/>
          <w:sz w:val="18"/>
          <w:szCs w:val="18"/>
          <w:color w:val="auto"/>
        </w:rPr>
        <w:t>The amount paid or payable by a party as a result of the losses, claims, damages, liabilities and expenses referred to above shall be deemed to include, subject to the limitations set forth in Section 8(c), any legal or other fees or expenses reasonably incurred by such party in connection with investigating or defending any action or claim.</w:t>
      </w:r>
    </w:p>
    <w:p>
      <w:pPr>
        <w:spacing w:after="0" w:line="73" w:lineRule="exact"/>
        <w:rPr>
          <w:sz w:val="20"/>
          <w:szCs w:val="20"/>
          <w:color w:val="auto"/>
        </w:rPr>
      </w:pPr>
    </w:p>
    <w:p>
      <w:pPr>
        <w:jc w:val="both"/>
        <w:ind w:left="7" w:right="120"/>
        <w:spacing w:after="0" w:line="264" w:lineRule="auto"/>
        <w:rPr>
          <w:sz w:val="20"/>
          <w:szCs w:val="20"/>
          <w:color w:val="auto"/>
        </w:rPr>
      </w:pPr>
      <w:r>
        <w:rPr>
          <w:rFonts w:ascii="Arial" w:cs="Arial" w:eastAsia="Arial" w:hAnsi="Arial"/>
          <w:sz w:val="18"/>
          <w:szCs w:val="18"/>
          <w:color w:val="auto"/>
        </w:rPr>
        <w:t>The Company and the Placement Agents agree that it would not be just and equitable if contribution pursuant to this Section 8(e) were determined by pro rata allocation (even if the Placement Agents were treated as one entity for such purpose) or by any other method of allocation that does not take account of the equitable considerations referred to in this Section 8(e).</w:t>
      </w:r>
    </w:p>
    <w:p>
      <w:pPr>
        <w:spacing w:after="0" w:line="73" w:lineRule="exact"/>
        <w:rPr>
          <w:sz w:val="20"/>
          <w:szCs w:val="20"/>
          <w:color w:val="auto"/>
        </w:rPr>
      </w:pPr>
    </w:p>
    <w:p>
      <w:pPr>
        <w:ind w:left="7" w:firstLine="221"/>
        <w:spacing w:after="0" w:line="290" w:lineRule="auto"/>
        <w:tabs>
          <w:tab w:leader="none" w:pos="457" w:val="left"/>
        </w:tabs>
        <w:numPr>
          <w:ilvl w:val="1"/>
          <w:numId w:val="38"/>
        </w:numPr>
        <w:rPr>
          <w:rFonts w:ascii="Arial" w:cs="Arial" w:eastAsia="Arial" w:hAnsi="Arial"/>
          <w:sz w:val="16"/>
          <w:szCs w:val="16"/>
          <w:color w:val="auto"/>
        </w:rPr>
      </w:pPr>
      <w:r>
        <w:rPr>
          <w:rFonts w:ascii="Arial" w:cs="Arial" w:eastAsia="Arial" w:hAnsi="Arial"/>
          <w:sz w:val="16"/>
          <w:szCs w:val="16"/>
          <w:color w:val="auto"/>
        </w:rPr>
        <w:t>Notwithstanding the provisions of Section 8(e), no Placement Agent shall be required to contribute any amount in excess of the compensation received by such Placement Agent in connection with the placement contemplated by this Agreement. No person guilty of fraudulent misrepresentation (within the meaning of Section 11(f) of the Act) shall be entitled to contribution from any person who was not guilty of such fraudulent misrepresentation. The Placement Agents’ obligations to contribute pursuant to Section 8(e) are several, and not joint, in proportion to their respective percentage allocations of the compensation payable by the Company pursuant to Section 1 hereof. For purposes of Section 8(e), each director, officer, employee and agent of a Placement Agent and each person, if any, who controls a Placement Agent within the meaning of the Act or the Exchange Act shall have the same rights to contribution as such Placement Agent, and each director of the Company, each officer of the Company who signed the Registration Statement and each person, if any, who controls the Company within the meaning of the Act or the Exchange Act shall have the same rights to contribution as the Company.</w:t>
      </w:r>
    </w:p>
    <w:p>
      <w:pPr>
        <w:spacing w:after="0" w:line="58" w:lineRule="exact"/>
        <w:rPr>
          <w:rFonts w:ascii="Arial" w:cs="Arial" w:eastAsia="Arial" w:hAnsi="Arial"/>
          <w:sz w:val="16"/>
          <w:szCs w:val="16"/>
          <w:color w:val="auto"/>
        </w:rPr>
      </w:pPr>
    </w:p>
    <w:p>
      <w:pPr>
        <w:ind w:left="-233" w:right="60" w:firstLine="233"/>
        <w:spacing w:after="0" w:line="264" w:lineRule="auto"/>
        <w:tabs>
          <w:tab w:leader="none" w:pos="172"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Information Furnished by the Placement Agents</w:t>
      </w:r>
      <w:r>
        <w:rPr>
          <w:rFonts w:ascii="Arial" w:cs="Arial" w:eastAsia="Arial" w:hAnsi="Arial"/>
          <w:sz w:val="18"/>
          <w:szCs w:val="18"/>
          <w:color w:val="auto"/>
        </w:rPr>
        <w:t>. The statements set forth under the caption “Plan of distribution—Price stabilization” in the Prospectus Supplement, only insofar as such statements relate to the stabilization activities that may be undertaken by the Placement Agents, constitute the only information furnished by the Placement Agents, as such information is referred to in Sections 3 and 8 hereof.</w:t>
      </w:r>
    </w:p>
    <w:p>
      <w:pPr>
        <w:spacing w:after="0" w:line="73" w:lineRule="exact"/>
        <w:rPr>
          <w:rFonts w:ascii="Arial" w:cs="Arial" w:eastAsia="Arial" w:hAnsi="Arial"/>
          <w:sz w:val="18"/>
          <w:szCs w:val="18"/>
          <w:color w:val="auto"/>
        </w:rPr>
      </w:pPr>
    </w:p>
    <w:p>
      <w:pPr>
        <w:ind w:left="267" w:hanging="267"/>
        <w:spacing w:after="0"/>
        <w:tabs>
          <w:tab w:leader="none" w:pos="267"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Except as otherwise herein provided, all statements, requests, notices</w:t>
      </w:r>
    </w:p>
    <w:p>
      <w:pPr>
        <w:spacing w:after="0" w:line="198" w:lineRule="exact"/>
        <w:rPr>
          <w:rFonts w:ascii="Arial" w:cs="Arial" w:eastAsia="Arial" w:hAnsi="Arial"/>
          <w:sz w:val="18"/>
          <w:szCs w:val="18"/>
          <w:color w:val="auto"/>
        </w:rPr>
      </w:pPr>
    </w:p>
    <w:p>
      <w:pPr>
        <w:ind w:left="5387" w:hanging="101"/>
        <w:spacing w:after="0"/>
        <w:tabs>
          <w:tab w:leader="none" w:pos="5387" w:val="left"/>
        </w:tabs>
        <w:numPr>
          <w:ilvl w:val="2"/>
          <w:numId w:val="39"/>
        </w:numPr>
        <w:rPr>
          <w:rFonts w:ascii="Arial" w:cs="Arial" w:eastAsia="Arial" w:hAnsi="Arial"/>
          <w:sz w:val="18"/>
          <w:szCs w:val="18"/>
          <w:color w:val="auto"/>
        </w:rPr>
      </w:pPr>
      <w:r>
        <w:rPr>
          <w:rFonts w:ascii="Arial" w:cs="Arial" w:eastAsia="Arial" w:hAnsi="Arial"/>
          <w:sz w:val="18"/>
          <w:szCs w:val="18"/>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7"/>
          </w:cols>
          <w:pgMar w:left="473" w:top="935" w:right="259" w:bottom="1440" w:gutter="0" w:footer="0" w:header="0"/>
        </w:sectPr>
      </w:pPr>
    </w:p>
    <w:bookmarkStart w:id="37" w:name="page38"/>
    <w:bookmarkEnd w:id="37"/>
    <w:p>
      <w:pPr>
        <w:ind w:right="80"/>
        <w:spacing w:after="0" w:line="255" w:lineRule="auto"/>
        <w:rPr>
          <w:sz w:val="20"/>
          <w:szCs w:val="20"/>
          <w:color w:val="auto"/>
        </w:rPr>
      </w:pPr>
      <w:r>
        <w:rPr>
          <w:rFonts w:ascii="Arial" w:cs="Arial" w:eastAsia="Arial" w:hAnsi="Arial"/>
          <w:sz w:val="18"/>
          <w:szCs w:val="18"/>
          <w:color w:val="auto"/>
        </w:rPr>
        <w:t>and agreements shall be in writing or by telegram or facsimile and, if to the Placement Agents, shall be sufficient in all respects if delivered or sent to Susquehanna Financial Group, LLLP, 401 City Avenue, Suite 220, Bala Cynwyd, PA 19004, Attention: James Ramp, Head of Investment Banking, with a copy to General Counsel at the same address, if to Dawson James Securities, Inc., 925 S. Federal Hwy, 6</w:t>
      </w:r>
      <w:r>
        <w:rPr>
          <w:rFonts w:ascii="Arial" w:cs="Arial" w:eastAsia="Arial" w:hAnsi="Arial"/>
          <w:sz w:val="15"/>
          <w:szCs w:val="15"/>
          <w:color w:val="auto"/>
        </w:rPr>
        <w:t>th</w:t>
      </w:r>
      <w:r>
        <w:rPr>
          <w:rFonts w:ascii="Arial" w:cs="Arial" w:eastAsia="Arial" w:hAnsi="Arial"/>
          <w:sz w:val="18"/>
          <w:szCs w:val="18"/>
          <w:color w:val="auto"/>
        </w:rPr>
        <w:t xml:space="preserve"> Floor, Boca Raton, FL 33432, Attention: Albert Poliak, President and, if to the Company, shall be sufficient in all respects if delivered or sent to the Company at the offices of the Company at 3155 Porter Drive, Palo Alto, CA 94304, Attention: Martin McGlynn, President and Chief Executive Officer, with a copy to Ropes &amp; Gray LLP, One International Place, Boston, MA 02110-2624, Attention: Geoffrey Davis.</w:t>
      </w:r>
    </w:p>
    <w:p>
      <w:pPr>
        <w:spacing w:after="0" w:line="85" w:lineRule="exact"/>
        <w:rPr>
          <w:sz w:val="20"/>
          <w:szCs w:val="20"/>
          <w:color w:val="auto"/>
        </w:rPr>
      </w:pPr>
    </w:p>
    <w:p>
      <w:pPr>
        <w:jc w:val="both"/>
        <w:ind w:right="200" w:firstLine="233"/>
        <w:spacing w:after="0" w:line="286" w:lineRule="auto"/>
        <w:tabs>
          <w:tab w:leader="none" w:pos="488"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Governing Law; Construction</w:t>
      </w:r>
      <w:r>
        <w:rPr>
          <w:rFonts w:ascii="Arial" w:cs="Arial" w:eastAsia="Arial" w:hAnsi="Arial"/>
          <w:sz w:val="17"/>
          <w:szCs w:val="17"/>
          <w:color w:val="auto"/>
        </w:rPr>
        <w:t>. This Agreement and any claim, counterclaim or dispute of any kind or nature whatsoever arising out of or in any way relating to this Agreement (“</w:t>
      </w:r>
      <w:r>
        <w:rPr>
          <w:rFonts w:ascii="Arial" w:cs="Arial" w:eastAsia="Arial" w:hAnsi="Arial"/>
          <w:sz w:val="17"/>
          <w:szCs w:val="17"/>
          <w:u w:val="single" w:color="auto"/>
          <w:color w:val="auto"/>
        </w:rPr>
        <w:t>Claim</w:t>
      </w:r>
      <w:r>
        <w:rPr>
          <w:rFonts w:ascii="Arial" w:cs="Arial" w:eastAsia="Arial" w:hAnsi="Arial"/>
          <w:sz w:val="17"/>
          <w:szCs w:val="17"/>
          <w:color w:val="auto"/>
        </w:rPr>
        <w:t>”), directly or indirectly, shall be governed by, and construed in accordance with, the laws of the State of New York. The section headings in this Agreement have been inserted as a matter of convenience of reference and are not a part of this Agreement.</w:t>
      </w:r>
    </w:p>
    <w:p>
      <w:pPr>
        <w:spacing w:after="0" w:line="57" w:lineRule="exact"/>
        <w:rPr>
          <w:rFonts w:ascii="Arial" w:cs="Arial" w:eastAsia="Arial" w:hAnsi="Arial"/>
          <w:sz w:val="17"/>
          <w:szCs w:val="17"/>
          <w:color w:val="auto"/>
        </w:rPr>
      </w:pPr>
    </w:p>
    <w:p>
      <w:pPr>
        <w:ind w:firstLine="233"/>
        <w:spacing w:after="0" w:line="270" w:lineRule="auto"/>
        <w:tabs>
          <w:tab w:leader="none" w:pos="495"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Except as set forth below, no Claim may be commenced, prosecuted or continued in any court other than the courts of the State of New York located in the City and County of New York or in the United States District Court for the Southern District of New York, which courts shall have jurisdiction over the adjudication of such matters, and the Company consents to the jurisdiction of such courts and personal service with respect thereto. The Company hereby consents to personal jurisdiction, service and venue in any court in which any Claim arising out of or in any way relating to this Agreement is brought by any third party against the Placement Agents or any indemnified party. The Placement Agents and the Company (on its behalf and, to the extent permitted by applicable law, on behalf of its stockholders and affiliates) waive all right to trial by jury in any action, proceeding or counterclaim (whether based upon contract, tort or otherwise) in any way arising out of or relating to this Agreement. The Company agrees that a final judgment in any such action, proceeding or counterclaim brought in any such court shall be conclusive and binding upon the Company and may be enforced in any other courts to the jurisdiction of which the Company is or may be subject, by suit upon such judgment.</w:t>
      </w:r>
    </w:p>
    <w:p>
      <w:pPr>
        <w:spacing w:after="0" w:line="73" w:lineRule="exact"/>
        <w:rPr>
          <w:rFonts w:ascii="Arial" w:cs="Arial" w:eastAsia="Arial" w:hAnsi="Arial"/>
          <w:sz w:val="17"/>
          <w:szCs w:val="17"/>
          <w:color w:val="auto"/>
        </w:rPr>
      </w:pPr>
    </w:p>
    <w:p>
      <w:pPr>
        <w:ind w:right="200" w:firstLine="233"/>
        <w:spacing w:after="0" w:line="279" w:lineRule="auto"/>
        <w:tabs>
          <w:tab w:leader="none" w:pos="495"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Parties at Interest</w:t>
      </w:r>
      <w:r>
        <w:rPr>
          <w:rFonts w:ascii="Arial" w:cs="Arial" w:eastAsia="Arial" w:hAnsi="Arial"/>
          <w:sz w:val="17"/>
          <w:szCs w:val="17"/>
          <w:color w:val="auto"/>
        </w:rPr>
        <w:t>. The Agreement herein set forth has been and is made solely for the benefit of the Placement Agents and the Company and to the extent provided in Section 8 hereof the controlling persons, partners, directors and officers referred to in such Section 8, and their respective successors, assigns, heirs, personal representatives and executors and administrators. No other person, partnership, association or corporation (including a purchaser, as such purchaser, from the Company) shall acquire or have any right under or by virtue of this Agreement.</w:t>
      </w:r>
    </w:p>
    <w:p>
      <w:pPr>
        <w:spacing w:after="0" w:line="63" w:lineRule="exact"/>
        <w:rPr>
          <w:rFonts w:ascii="Arial" w:cs="Arial" w:eastAsia="Arial" w:hAnsi="Arial"/>
          <w:sz w:val="17"/>
          <w:szCs w:val="17"/>
          <w:color w:val="auto"/>
        </w:rPr>
      </w:pPr>
    </w:p>
    <w:p>
      <w:pPr>
        <w:ind w:right="200" w:firstLine="233"/>
        <w:spacing w:after="0" w:line="259" w:lineRule="auto"/>
        <w:tabs>
          <w:tab w:leader="none" w:pos="495"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No Fiduciary Relationship</w:t>
      </w:r>
      <w:r>
        <w:rPr>
          <w:rFonts w:ascii="Arial" w:cs="Arial" w:eastAsia="Arial" w:hAnsi="Arial"/>
          <w:sz w:val="18"/>
          <w:szCs w:val="18"/>
          <w:color w:val="auto"/>
        </w:rPr>
        <w:t>. The Company hereby acknowledges that each Placement Agent is acting solely as a Placement Agent in connection with the purchase and sale of the Company’s securities. The Company further acknowledges that each Placement Agent is acting pursuant to a contractual relationship created solely by this Agreement entered into on an arm’s length basis, and in no event do the parties intend that a Placement Agent act or be responsible as a fiduciary to the Company, its management, stockholders or creditors or any</w:t>
      </w:r>
    </w:p>
    <w:p>
      <w:pPr>
        <w:spacing w:after="0" w:line="159" w:lineRule="exact"/>
        <w:rPr>
          <w:rFonts w:ascii="Arial" w:cs="Arial" w:eastAsia="Arial" w:hAnsi="Arial"/>
          <w:sz w:val="18"/>
          <w:szCs w:val="18"/>
          <w:color w:val="auto"/>
        </w:rPr>
      </w:pPr>
    </w:p>
    <w:p>
      <w:pPr>
        <w:ind w:left="5620" w:hanging="101"/>
        <w:spacing w:after="0"/>
        <w:tabs>
          <w:tab w:leader="none" w:pos="56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8" w:name="page39"/>
    <w:bookmarkEnd w:id="38"/>
    <w:p>
      <w:pPr>
        <w:spacing w:after="0" w:line="289" w:lineRule="auto"/>
        <w:rPr>
          <w:sz w:val="20"/>
          <w:szCs w:val="20"/>
          <w:color w:val="auto"/>
        </w:rPr>
      </w:pPr>
      <w:r>
        <w:rPr>
          <w:rFonts w:ascii="Arial" w:cs="Arial" w:eastAsia="Arial" w:hAnsi="Arial"/>
          <w:sz w:val="16"/>
          <w:szCs w:val="16"/>
          <w:color w:val="auto"/>
        </w:rPr>
        <w:t>other person in connection with any activity that a Placement Agent may undertake or have undertaken in furtherance of the purchase and sale of the Company’s securities, either before or after the date hereof. Each Placement Agent hereby expressly disclaims any fiduciary or similar obligations to the Company, either in connection with the transactions contemplated by this Agreement or any matters leading up to such transactions, and the Company hereby confirms its understanding and agreement to that effect. The Company and each Placement Agent agree that they are each responsible for making their own independent judgments with respect to any such transactions and that any opinions or views expressed by a Placement Agent to the Company regarding such transactions, including, but not limited to, any opinions or views with respect to the price or market for the Company’s securities, do not constitute advice or recommendations to the Company. The Company hereby waives and releases, to the fullest extent permitted by law, any claims that the Company may have against any Placement Agent with respect to any breach or alleged breach of any fiduciary or similar duty to the Company in connection with the transactions contemplated by this Agreement or any matters leading up to such transactions.</w:t>
      </w:r>
    </w:p>
    <w:p>
      <w:pPr>
        <w:spacing w:after="0" w:line="59" w:lineRule="exact"/>
        <w:rPr>
          <w:sz w:val="20"/>
          <w:szCs w:val="20"/>
          <w:color w:val="auto"/>
        </w:rPr>
      </w:pPr>
    </w:p>
    <w:p>
      <w:pPr>
        <w:ind w:right="200" w:firstLine="233"/>
        <w:spacing w:after="0" w:line="277" w:lineRule="auto"/>
        <w:tabs>
          <w:tab w:leader="none" w:pos="495"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by the parties in one or more counterparts which together shall constitute one and the same agreement among the parties.</w:t>
      </w:r>
    </w:p>
    <w:p>
      <w:pPr>
        <w:spacing w:after="0" w:line="62" w:lineRule="exact"/>
        <w:rPr>
          <w:rFonts w:ascii="Arial" w:cs="Arial" w:eastAsia="Arial" w:hAnsi="Arial"/>
          <w:sz w:val="18"/>
          <w:szCs w:val="18"/>
          <w:color w:val="auto"/>
        </w:rPr>
      </w:pPr>
    </w:p>
    <w:p>
      <w:pPr>
        <w:ind w:right="400" w:firstLine="233"/>
        <w:spacing w:after="0" w:line="308" w:lineRule="auto"/>
        <w:tabs>
          <w:tab w:leader="none" w:pos="495"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This Agreement shall be binding upon the Placement Agents and the Company and their successors and assigns and any successor or assign of any substantial portion of the Company’s and the Placement Agents’ respective businesses and/or assets.</w:t>
      </w: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The Remainder of This Page Intentionally Left Blank; Signature Page Follows</w:t>
      </w:r>
      <w:r>
        <w:rPr>
          <w:rFonts w:ascii="Arial" w:cs="Arial" w:eastAsia="Arial" w:hAnsi="Arial"/>
          <w:sz w:val="18"/>
          <w:szCs w:val="18"/>
          <w:color w:val="auto"/>
        </w:rPr>
        <w:t>]</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39" w:name="page40"/>
    <w:bookmarkEnd w:id="39"/>
    <w:p>
      <w:pPr>
        <w:ind w:firstLine="450"/>
        <w:spacing w:after="0" w:line="342" w:lineRule="auto"/>
        <w:rPr>
          <w:sz w:val="20"/>
          <w:szCs w:val="20"/>
          <w:color w:val="auto"/>
        </w:rPr>
      </w:pPr>
      <w:r>
        <w:rPr>
          <w:rFonts w:ascii="Arial" w:cs="Arial" w:eastAsia="Arial" w:hAnsi="Arial"/>
          <w:sz w:val="16"/>
          <w:szCs w:val="16"/>
          <w:color w:val="auto"/>
        </w:rPr>
        <w:t>If the foregoing correctly sets forth the understanding between the Company and the Placement Agents, please so indicate in the space provided below for that purpose, whereupon this Agreement and your acceptance shall constitute a binding agreement between the Company and the Placement Agents.</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Very truly yours,</w:t>
      </w:r>
    </w:p>
    <w:p>
      <w:pPr>
        <w:sectPr>
          <w:pgSz w:w="11900" w:h="16838" w:orient="portrait"/>
          <w:cols w:equalWidth="0" w:num="1">
            <w:col w:w="11300"/>
          </w:cols>
          <w:pgMar w:left="240" w:top="93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color w:val="auto"/>
        </w:rPr>
        <w:t>Accepted and agreed to as of the date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first above written</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USQUEHANNA</w:t>
      </w:r>
      <w:r>
        <w:rPr>
          <w:rFonts w:ascii="Arial" w:cs="Arial" w:eastAsia="Arial" w:hAnsi="Arial"/>
          <w:sz w:val="17"/>
          <w:szCs w:val="17"/>
          <w:color w:val="auto"/>
        </w:rPr>
        <w:t xml:space="preserve"> F</w:t>
      </w:r>
      <w:r>
        <w:rPr>
          <w:rFonts w:ascii="Arial" w:cs="Arial" w:eastAsia="Arial" w:hAnsi="Arial"/>
          <w:sz w:val="11"/>
          <w:szCs w:val="11"/>
          <w:color w:val="auto"/>
        </w:rPr>
        <w:t>INANCIAL</w:t>
      </w:r>
      <w:r>
        <w:rPr>
          <w:rFonts w:ascii="Arial" w:cs="Arial" w:eastAsia="Arial" w:hAnsi="Arial"/>
          <w:sz w:val="17"/>
          <w:szCs w:val="17"/>
          <w:color w:val="auto"/>
        </w:rPr>
        <w:t xml:space="preserve"> G</w:t>
      </w:r>
      <w:r>
        <w:rPr>
          <w:rFonts w:ascii="Arial" w:cs="Arial" w:eastAsia="Arial" w:hAnsi="Arial"/>
          <w:sz w:val="11"/>
          <w:szCs w:val="11"/>
          <w:color w:val="auto"/>
        </w:rPr>
        <w:t>ROUP</w:t>
      </w:r>
      <w:r>
        <w:rPr>
          <w:rFonts w:ascii="Arial" w:cs="Arial" w:eastAsia="Arial" w:hAnsi="Arial"/>
          <w:sz w:val="17"/>
          <w:szCs w:val="17"/>
          <w:color w:val="auto"/>
        </w:rPr>
        <w:t>, LLLP</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By:  /s/ Evonne Sepsis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14605</wp:posOffset>
            </wp:positionV>
            <wp:extent cx="25387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Name: Evonne Sepsis</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AWSON</w:t>
      </w:r>
      <w:r>
        <w:rPr>
          <w:rFonts w:ascii="Arial" w:cs="Arial" w:eastAsia="Arial" w:hAnsi="Arial"/>
          <w:sz w:val="18"/>
          <w:szCs w:val="18"/>
          <w:color w:val="auto"/>
        </w:rPr>
        <w:t xml:space="preserve"> J</w:t>
      </w:r>
      <w:r>
        <w:rPr>
          <w:rFonts w:ascii="Arial" w:cs="Arial" w:eastAsia="Arial" w:hAnsi="Arial"/>
          <w:sz w:val="12"/>
          <w:szCs w:val="12"/>
          <w:color w:val="auto"/>
        </w:rPr>
        <w:t>AMES</w:t>
      </w:r>
      <w:r>
        <w:rPr>
          <w:rFonts w:ascii="Arial" w:cs="Arial" w:eastAsia="Arial" w:hAnsi="Arial"/>
          <w:sz w:val="18"/>
          <w:szCs w:val="18"/>
          <w:color w:val="auto"/>
        </w:rPr>
        <w:t xml:space="preserve"> S</w:t>
      </w:r>
      <w:r>
        <w:rPr>
          <w:rFonts w:ascii="Arial" w:cs="Arial" w:eastAsia="Arial" w:hAnsi="Arial"/>
          <w:sz w:val="12"/>
          <w:szCs w:val="12"/>
          <w:color w:val="auto"/>
        </w:rPr>
        <w:t>ECURITIES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Albert Poliak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14605</wp:posOffset>
            </wp:positionV>
            <wp:extent cx="25387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Name: Albert Poliak</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TEM</w:t>
      </w:r>
      <w:r>
        <w:rPr>
          <w:rFonts w:ascii="Arial" w:cs="Arial" w:eastAsia="Arial" w:hAnsi="Arial"/>
          <w:sz w:val="18"/>
          <w:szCs w:val="18"/>
          <w:color w:val="auto"/>
        </w:rPr>
        <w:t>C</w:t>
      </w:r>
      <w:r>
        <w:rPr>
          <w:rFonts w:ascii="Arial" w:cs="Arial" w:eastAsia="Arial" w:hAnsi="Arial"/>
          <w:sz w:val="12"/>
          <w:szCs w:val="12"/>
          <w:color w:val="auto"/>
        </w:rPr>
        <w:t>ELLS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Martin M. McGlynn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Name: Martin M.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-123190</wp:posOffset>
            </wp:positionV>
            <wp:extent cx="27616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4"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7"/>
          <w:szCs w:val="17"/>
          <w:color w:val="auto"/>
        </w:rPr>
        <w:t>Title:</w:t>
        <w:tab/>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2498090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400" w:space="720"/>
            <w:col w:w="6180"/>
          </w:cols>
          <w:pgMar w:left="240" w:top="935" w:right="359" w:bottom="1440" w:gutter="0" w:footer="0" w:header="0"/>
          <w:type w:val="continuous"/>
        </w:sectPr>
      </w:pPr>
    </w:p>
    <w:bookmarkStart w:id="40" w:name="page41"/>
    <w:bookmarkEnd w:id="40"/>
    <w:p>
      <w:pPr>
        <w:jc w:val="center"/>
        <w:ind w:right="-1200"/>
        <w:spacing w:after="0"/>
        <w:rPr>
          <w:sz w:val="20"/>
          <w:szCs w:val="20"/>
          <w:color w:val="auto"/>
        </w:rPr>
      </w:pPr>
      <w:r>
        <w:rPr>
          <w:rFonts w:ascii="Arial" w:cs="Arial" w:eastAsia="Arial" w:hAnsi="Arial"/>
          <w:sz w:val="18"/>
          <w:szCs w:val="18"/>
          <w:b w:val="1"/>
          <w:bCs w:val="1"/>
          <w:u w:val="single" w:color="auto"/>
          <w:color w:val="auto"/>
        </w:rPr>
        <w:t>SCHEDULE A</w:t>
      </w:r>
    </w:p>
    <w:p>
      <w:pPr>
        <w:spacing w:after="0" w:line="12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PERMITTED FREE WRITING PROSPECTUSES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219"/>
          </w:cols>
          <w:pgMar w:left="240" w:top="959" w:right="1440" w:bottom="1440" w:gutter="0" w:footer="0" w:header="0"/>
        </w:sectPr>
      </w:pPr>
    </w:p>
    <w:bookmarkStart w:id="41" w:name="page42"/>
    <w:bookmarkEnd w:id="41"/>
    <w:tbl>
      <w:tblPr>
        <w:tblLayout w:type="fixed"/>
        <w:tblInd w:w="22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580" w:type="dxa"/>
            <w:vAlign w:val="bottom"/>
          </w:tcPr>
          <w:p>
            <w:pPr>
              <w:jc w:val="right"/>
              <w:spacing w:after="0"/>
              <w:rPr>
                <w:sz w:val="20"/>
                <w:szCs w:val="20"/>
                <w:color w:val="auto"/>
              </w:rPr>
            </w:pPr>
            <w:r>
              <w:rPr>
                <w:rFonts w:ascii="Arial" w:cs="Arial" w:eastAsia="Arial" w:hAnsi="Arial"/>
                <w:sz w:val="18"/>
                <w:szCs w:val="18"/>
                <w:color w:val="auto"/>
              </w:rPr>
              <w:t>Exhibit 4.1</w:t>
            </w:r>
          </w:p>
        </w:tc>
      </w:tr>
      <w:tr>
        <w:trPr>
          <w:trHeight w:val="540"/>
        </w:trPr>
        <w:tc>
          <w:tcPr>
            <w:tcW w:w="3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40" w:type="dxa"/>
            <w:vAlign w:val="bottom"/>
            <w:gridSpan w:val="2"/>
          </w:tcPr>
          <w:p>
            <w:pPr>
              <w:jc w:val="center"/>
              <w:ind w:right="4470"/>
              <w:spacing w:after="0"/>
              <w:rPr>
                <w:sz w:val="20"/>
                <w:szCs w:val="20"/>
                <w:color w:val="auto"/>
              </w:rPr>
            </w:pPr>
            <w:r>
              <w:rPr>
                <w:rFonts w:ascii="Arial" w:cs="Arial" w:eastAsia="Arial" w:hAnsi="Arial"/>
                <w:sz w:val="18"/>
                <w:szCs w:val="18"/>
                <w:b w:val="1"/>
                <w:bCs w:val="1"/>
                <w:color w:val="auto"/>
              </w:rPr>
              <w:t>STEMCELLS, INC.</w:t>
            </w:r>
          </w:p>
        </w:tc>
      </w:tr>
      <w:tr>
        <w:trPr>
          <w:trHeight w:val="324"/>
        </w:trPr>
        <w:tc>
          <w:tcPr>
            <w:tcW w:w="3300" w:type="dxa"/>
            <w:vAlign w:val="bottom"/>
          </w:tcPr>
          <w:p>
            <w:pPr>
              <w:spacing w:after="0"/>
              <w:rPr>
                <w:sz w:val="24"/>
                <w:szCs w:val="24"/>
                <w:color w:val="auto"/>
              </w:rPr>
            </w:pPr>
          </w:p>
        </w:tc>
        <w:tc>
          <w:tcPr>
            <w:tcW w:w="7900" w:type="dxa"/>
            <w:vAlign w:val="bottom"/>
            <w:gridSpan w:val="4"/>
          </w:tcPr>
          <w:p>
            <w:pPr>
              <w:jc w:val="center"/>
              <w:ind w:right="3430"/>
              <w:spacing w:after="0"/>
              <w:rPr>
                <w:sz w:val="20"/>
                <w:szCs w:val="20"/>
                <w:color w:val="auto"/>
              </w:rPr>
            </w:pPr>
            <w:r>
              <w:rPr>
                <w:rFonts w:ascii="Arial" w:cs="Arial" w:eastAsia="Arial" w:hAnsi="Arial"/>
                <w:sz w:val="18"/>
                <w:szCs w:val="18"/>
                <w:b w:val="1"/>
                <w:bCs w:val="1"/>
                <w:color w:val="auto"/>
                <w:w w:val="99"/>
              </w:rPr>
              <w:t>WARRANT TO PURCHASE COMMON STOCK</w:t>
            </w:r>
          </w:p>
        </w:tc>
      </w:tr>
      <w:tr>
        <w:trPr>
          <w:trHeight w:val="324"/>
        </w:trPr>
        <w:tc>
          <w:tcPr>
            <w:tcW w:w="3300" w:type="dxa"/>
            <w:vAlign w:val="bottom"/>
          </w:tcPr>
          <w:p>
            <w:pPr>
              <w:spacing w:after="0"/>
              <w:rPr>
                <w:sz w:val="24"/>
                <w:szCs w:val="24"/>
                <w:color w:val="auto"/>
              </w:rPr>
            </w:pPr>
          </w:p>
        </w:tc>
        <w:tc>
          <w:tcPr>
            <w:tcW w:w="7900" w:type="dxa"/>
            <w:vAlign w:val="bottom"/>
            <w:gridSpan w:val="4"/>
          </w:tcPr>
          <w:p>
            <w:pPr>
              <w:jc w:val="center"/>
              <w:ind w:right="3430"/>
              <w:spacing w:after="0"/>
              <w:rPr>
                <w:sz w:val="20"/>
                <w:szCs w:val="20"/>
                <w:color w:val="auto"/>
              </w:rPr>
            </w:pPr>
            <w:r>
              <w:rPr>
                <w:rFonts w:ascii="Arial" w:cs="Arial" w:eastAsia="Arial" w:hAnsi="Arial"/>
                <w:sz w:val="18"/>
                <w:szCs w:val="18"/>
                <w:b w:val="1"/>
                <w:bCs w:val="1"/>
                <w:color w:val="auto"/>
                <w:w w:val="88"/>
              </w:rPr>
              <w:t>To Purchase 2,586,207 Shares of Common Stock</w:t>
            </w:r>
          </w:p>
        </w:tc>
      </w:tr>
      <w:tr>
        <w:trPr>
          <w:trHeight w:val="432"/>
        </w:trPr>
        <w:tc>
          <w:tcPr>
            <w:tcW w:w="3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580" w:type="dxa"/>
            <w:vAlign w:val="bottom"/>
          </w:tcPr>
          <w:p>
            <w:pPr>
              <w:jc w:val="right"/>
              <w:spacing w:after="0"/>
              <w:rPr>
                <w:sz w:val="20"/>
                <w:szCs w:val="20"/>
                <w:color w:val="auto"/>
              </w:rPr>
            </w:pPr>
            <w:r>
              <w:rPr>
                <w:rFonts w:ascii="Arial" w:cs="Arial" w:eastAsia="Arial" w:hAnsi="Arial"/>
                <w:sz w:val="18"/>
                <w:szCs w:val="18"/>
                <w:color w:val="auto"/>
              </w:rPr>
              <w:t>Date of Issuance: November 12, 2008</w:t>
            </w:r>
          </w:p>
        </w:tc>
      </w:tr>
      <w:tr>
        <w:trPr>
          <w:trHeight w:val="500"/>
        </w:trPr>
        <w:tc>
          <w:tcPr>
            <w:tcW w:w="3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40" w:type="dxa"/>
            <w:vAlign w:val="bottom"/>
            <w:gridSpan w:val="2"/>
          </w:tcPr>
          <w:p>
            <w:pPr>
              <w:jc w:val="center"/>
              <w:ind w:right="4490"/>
              <w:spacing w:after="0"/>
              <w:rPr>
                <w:sz w:val="20"/>
                <w:szCs w:val="20"/>
                <w:color w:val="auto"/>
              </w:rPr>
            </w:pPr>
            <w:r>
              <w:rPr>
                <w:rFonts w:ascii="Arial" w:cs="Arial" w:eastAsia="Arial" w:hAnsi="Arial"/>
                <w:sz w:val="18"/>
                <w:szCs w:val="18"/>
                <w:b w:val="1"/>
                <w:bCs w:val="1"/>
                <w:color w:val="auto"/>
                <w:w w:val="98"/>
              </w:rPr>
              <w:t>VOID AFTER MAY 12, 2014</w:t>
            </w:r>
          </w:p>
        </w:tc>
      </w:tr>
      <w:tr>
        <w:trPr>
          <w:trHeight w:val="20"/>
        </w:trPr>
        <w:tc>
          <w:tcPr>
            <w:tcW w:w="3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304"/>
        </w:trPr>
        <w:tc>
          <w:tcPr>
            <w:tcW w:w="3300" w:type="dxa"/>
            <w:vAlign w:val="bottom"/>
          </w:tcPr>
          <w:p>
            <w:pPr>
              <w:spacing w:after="0"/>
              <w:rPr>
                <w:sz w:val="20"/>
                <w:szCs w:val="20"/>
                <w:color w:val="auto"/>
              </w:rPr>
            </w:pPr>
            <w:r>
              <w:rPr>
                <w:rFonts w:ascii="Arial" w:cs="Arial" w:eastAsia="Arial" w:hAnsi="Arial"/>
                <w:sz w:val="18"/>
                <w:szCs w:val="18"/>
                <w:color w:val="auto"/>
                <w:w w:val="93"/>
              </w:rPr>
              <w:t>THIS CERTIFIES THAT, for value received,</w:t>
            </w:r>
          </w:p>
        </w:tc>
        <w:tc>
          <w:tcPr>
            <w:tcW w:w="900" w:type="dxa"/>
            <w:vAlign w:val="bottom"/>
            <w:tcBorders>
              <w:bottom w:val="single" w:sz="8" w:color="auto"/>
            </w:tcBorders>
          </w:tcPr>
          <w:p>
            <w:pPr>
              <w:spacing w:after="0"/>
              <w:rPr>
                <w:sz w:val="24"/>
                <w:szCs w:val="24"/>
                <w:color w:val="auto"/>
              </w:rPr>
            </w:pPr>
          </w:p>
        </w:tc>
        <w:tc>
          <w:tcPr>
            <w:tcW w:w="7000" w:type="dxa"/>
            <w:vAlign w:val="bottom"/>
            <w:gridSpan w:val="3"/>
          </w:tcPr>
          <w:p>
            <w:pPr>
              <w:jc w:val="right"/>
              <w:ind w:right="50"/>
              <w:spacing w:after="0"/>
              <w:rPr>
                <w:sz w:val="20"/>
                <w:szCs w:val="20"/>
                <w:color w:val="auto"/>
              </w:rPr>
            </w:pPr>
            <w:r>
              <w:rPr>
                <w:rFonts w:ascii="Arial" w:cs="Arial" w:eastAsia="Arial" w:hAnsi="Arial"/>
                <w:sz w:val="18"/>
                <w:szCs w:val="18"/>
                <w:color w:val="auto"/>
                <w:w w:val="91"/>
              </w:rPr>
              <w:t>, or permitted registered assigns (the “</w:t>
            </w:r>
            <w:r>
              <w:rPr>
                <w:rFonts w:ascii="Arial" w:cs="Arial" w:eastAsia="Arial" w:hAnsi="Arial"/>
                <w:sz w:val="18"/>
                <w:szCs w:val="18"/>
                <w:b w:val="1"/>
                <w:bCs w:val="1"/>
                <w:color w:val="auto"/>
                <w:w w:val="91"/>
              </w:rPr>
              <w:t>Holder</w:t>
            </w:r>
            <w:r>
              <w:rPr>
                <w:rFonts w:ascii="Arial" w:cs="Arial" w:eastAsia="Arial" w:hAnsi="Arial"/>
                <w:sz w:val="18"/>
                <w:szCs w:val="18"/>
                <w:color w:val="auto"/>
                <w:w w:val="91"/>
              </w:rPr>
              <w:t>”), is entitled to subscribe for and purchase at the</w:t>
            </w:r>
          </w:p>
        </w:tc>
      </w:tr>
    </w:tbl>
    <w:p>
      <w:pPr>
        <w:spacing w:after="0" w:line="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Exercise Price (defined below) from StemCells,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up to 2,586,207 shares of the common stock of the Company, par value $0.01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This warrant is one of a series of warrants issued by the Company as of the date hereof (individually a “</w:t>
      </w:r>
      <w:r>
        <w:rPr>
          <w:rFonts w:ascii="Arial" w:cs="Arial" w:eastAsia="Arial" w:hAnsi="Arial"/>
          <w:sz w:val="18"/>
          <w:szCs w:val="18"/>
          <w:b w:val="1"/>
          <w:bCs w:val="1"/>
          <w:color w:val="auto"/>
        </w:rPr>
        <w:t>Warrant</w:t>
      </w:r>
      <w:r>
        <w:rPr>
          <w:rFonts w:ascii="Arial" w:cs="Arial" w:eastAsia="Arial" w:hAnsi="Arial"/>
          <w:sz w:val="18"/>
          <w:szCs w:val="18"/>
          <w:color w:val="auto"/>
        </w:rPr>
        <w:t>”; collectively, “</w:t>
      </w:r>
      <w:r>
        <w:rPr>
          <w:rFonts w:ascii="Arial" w:cs="Arial" w:eastAsia="Arial" w:hAnsi="Arial"/>
          <w:sz w:val="18"/>
          <w:szCs w:val="18"/>
          <w:b w:val="1"/>
          <w:bCs w:val="1"/>
          <w:color w:val="auto"/>
        </w:rPr>
        <w:t>Company Warrants</w:t>
      </w:r>
      <w:r>
        <w:rPr>
          <w:rFonts w:ascii="Arial" w:cs="Arial" w:eastAsia="Arial" w:hAnsi="Arial"/>
          <w:sz w:val="18"/>
          <w:szCs w:val="18"/>
          <w:color w:val="auto"/>
        </w:rPr>
        <w:t>”) pursuant to that certain subscription agreement between the Company and the Holder, dated as of November 12, 2008 (the “</w:t>
      </w:r>
      <w:r>
        <w:rPr>
          <w:rFonts w:ascii="Arial" w:cs="Arial" w:eastAsia="Arial" w:hAnsi="Arial"/>
          <w:sz w:val="18"/>
          <w:szCs w:val="18"/>
          <w:b w:val="1"/>
          <w:bCs w:val="1"/>
          <w:color w:val="auto"/>
        </w:rPr>
        <w:t>Subscription Agreement</w:t>
      </w:r>
      <w:r>
        <w:rPr>
          <w:rFonts w:ascii="Arial" w:cs="Arial" w:eastAsia="Arial" w:hAnsi="Arial"/>
          <w:sz w:val="18"/>
          <w:szCs w:val="18"/>
          <w:color w:val="auto"/>
        </w:rPr>
        <w:t>”).</w:t>
      </w:r>
    </w:p>
    <w:p>
      <w:pPr>
        <w:spacing w:after="0" w:line="76" w:lineRule="exact"/>
        <w:rPr>
          <w:sz w:val="20"/>
          <w:szCs w:val="20"/>
          <w:color w:val="auto"/>
        </w:rPr>
      </w:pPr>
    </w:p>
    <w:p>
      <w:pPr>
        <w:ind w:right="400" w:firstLine="233"/>
        <w:spacing w:after="0" w:line="277" w:lineRule="auto"/>
        <w:tabs>
          <w:tab w:leader="none" w:pos="405"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herein but not otherwise defined herein shall have their respective meanings as set forth in the Subscription Agreement. As used herein, the following terms shall have the following respective meanings:</w:t>
      </w:r>
    </w:p>
    <w:p>
      <w:pPr>
        <w:spacing w:after="0" w:line="58" w:lineRule="exact"/>
        <w:rPr>
          <w:sz w:val="20"/>
          <w:szCs w:val="20"/>
          <w:color w:val="auto"/>
        </w:rPr>
      </w:pPr>
    </w:p>
    <w:p>
      <w:pPr>
        <w:ind w:right="260" w:firstLine="233"/>
        <w:spacing w:after="0" w:line="282" w:lineRule="auto"/>
        <w:tabs>
          <w:tab w:leader="none" w:pos="47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Exercise Period</w:t>
      </w:r>
      <w:r>
        <w:rPr>
          <w:rFonts w:ascii="Arial" w:cs="Arial" w:eastAsia="Arial" w:hAnsi="Arial"/>
          <w:sz w:val="18"/>
          <w:szCs w:val="18"/>
          <w:color w:val="auto"/>
        </w:rPr>
        <w:t>” shall mean the period commencing with the date occurring six months after the date hereof and ending five years and six months from the date hereof, unless sooner terminated as provided below.</w:t>
      </w:r>
    </w:p>
    <w:p>
      <w:pPr>
        <w:spacing w:after="0" w:line="53" w:lineRule="exact"/>
        <w:rPr>
          <w:rFonts w:ascii="Arial" w:cs="Arial" w:eastAsia="Arial" w:hAnsi="Arial"/>
          <w:sz w:val="18"/>
          <w:szCs w:val="18"/>
          <w:color w:val="auto"/>
        </w:rPr>
      </w:pPr>
    </w:p>
    <w:p>
      <w:pPr>
        <w:ind w:left="480" w:hanging="247"/>
        <w:spacing w:after="0"/>
        <w:tabs>
          <w:tab w:leader="none" w:pos="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Exercise Price</w:t>
      </w:r>
      <w:r>
        <w:rPr>
          <w:rFonts w:ascii="Arial" w:cs="Arial" w:eastAsia="Arial" w:hAnsi="Arial"/>
          <w:sz w:val="18"/>
          <w:szCs w:val="18"/>
          <w:color w:val="auto"/>
        </w:rPr>
        <w:t xml:space="preserve">” shall mean $2.30 per share, subject to adjustment pursuant to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below.</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Exercise Shares</w:t>
      </w:r>
      <w:r>
        <w:rPr>
          <w:rFonts w:ascii="Arial" w:cs="Arial" w:eastAsia="Arial" w:hAnsi="Arial"/>
          <w:sz w:val="18"/>
          <w:szCs w:val="18"/>
          <w:color w:val="auto"/>
        </w:rPr>
        <w:t>” shall mean the shares of Common Stock issuable upon exercise of this Warrant.</w:t>
      </w:r>
    </w:p>
    <w:p>
      <w:pPr>
        <w:spacing w:after="0" w:line="117" w:lineRule="exact"/>
        <w:rPr>
          <w:rFonts w:ascii="Arial" w:cs="Arial" w:eastAsia="Arial" w:hAnsi="Arial"/>
          <w:sz w:val="18"/>
          <w:szCs w:val="18"/>
          <w:color w:val="auto"/>
        </w:rPr>
      </w:pPr>
    </w:p>
    <w:p>
      <w:pPr>
        <w:ind w:right="80" w:firstLine="233"/>
        <w:spacing w:after="0" w:line="314" w:lineRule="auto"/>
        <w:tabs>
          <w:tab w:leader="none" w:pos="4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shall mean (i) any day on which the Common Stock is listed or quoted and traded on its primary Trading Market, (ii) if the Common Stock is not then listed or quoted and traded on any eligible market (meaning any of the NYSE, AMEX or NASDAQ), then a day on which trading occurs on the OTC Bulletin Board (or any successor thereto), or (iii) if trading does not occur on the OTC Bulletin Board (or any successor thereto), any business day.</w:t>
      </w:r>
    </w:p>
    <w:p>
      <w:pPr>
        <w:spacing w:after="0" w:line="38" w:lineRule="exact"/>
        <w:rPr>
          <w:sz w:val="20"/>
          <w:szCs w:val="20"/>
          <w:color w:val="auto"/>
        </w:rPr>
      </w:pPr>
    </w:p>
    <w:p>
      <w:pPr>
        <w:ind w:left="420" w:hanging="187"/>
        <w:spacing w:after="0"/>
        <w:tabs>
          <w:tab w:leader="none" w:pos="42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r>
        <w:rPr>
          <w:rFonts w:ascii="Arial" w:cs="Arial" w:eastAsia="Arial" w:hAnsi="Arial"/>
          <w:sz w:val="18"/>
          <w:szCs w:val="18"/>
          <w:color w:val="auto"/>
        </w:rPr>
        <w:t>.</w:t>
      </w:r>
    </w:p>
    <w:p>
      <w:pPr>
        <w:spacing w:after="0" w:line="117"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STANDARD EXERCISE OF WARRANT</w:t>
      </w:r>
      <w:r>
        <w:rPr>
          <w:rFonts w:ascii="Arial" w:cs="Arial" w:eastAsia="Arial" w:hAnsi="Arial"/>
          <w:sz w:val="18"/>
          <w:szCs w:val="18"/>
          <w:color w:val="auto"/>
        </w:rPr>
        <w:t>. The rights represented by this Warrant may be exercised in whole or in part at any time during the Exercise Period, by delivery of the following to the Company at its address set forth on the signature page hereto (or at such other address as it may designate by notice in writing to the Holder):</w:t>
      </w:r>
    </w:p>
    <w:p>
      <w:pPr>
        <w:spacing w:after="0" w:line="73" w:lineRule="exact"/>
        <w:rPr>
          <w:sz w:val="20"/>
          <w:szCs w:val="20"/>
          <w:color w:val="auto"/>
        </w:rPr>
      </w:pPr>
    </w:p>
    <w:p>
      <w:pPr>
        <w:ind w:left="460" w:hanging="227"/>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executed Notice of Exercise in the form attached hereto; and</w:t>
      </w:r>
    </w:p>
    <w:p>
      <w:pPr>
        <w:spacing w:after="0" w:line="117" w:lineRule="exact"/>
        <w:rPr>
          <w:rFonts w:ascii="Arial" w:cs="Arial" w:eastAsia="Arial" w:hAnsi="Arial"/>
          <w:sz w:val="18"/>
          <w:szCs w:val="18"/>
          <w:color w:val="auto"/>
        </w:rPr>
      </w:pPr>
    </w:p>
    <w:p>
      <w:pPr>
        <w:ind w:right="500" w:firstLine="233"/>
        <w:spacing w:after="0" w:line="277" w:lineRule="auto"/>
        <w:tabs>
          <w:tab w:leader="none" w:pos="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Payment of the Exercise Price either (i) in cash or by check (subject to the limitations in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below), or (ii) pursuant to net exercise terms outlined under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below.</w:t>
      </w:r>
    </w:p>
    <w:p>
      <w:pPr>
        <w:spacing w:after="0" w:line="62" w:lineRule="exact"/>
        <w:rPr>
          <w:sz w:val="20"/>
          <w:szCs w:val="20"/>
          <w:color w:val="auto"/>
        </w:rPr>
      </w:pPr>
    </w:p>
    <w:p>
      <w:pPr>
        <w:ind w:right="380" w:firstLine="225"/>
        <w:spacing w:after="0" w:line="264" w:lineRule="auto"/>
        <w:rPr>
          <w:sz w:val="20"/>
          <w:szCs w:val="20"/>
          <w:color w:val="auto"/>
        </w:rPr>
      </w:pPr>
      <w:r>
        <w:rPr>
          <w:rFonts w:ascii="Arial" w:cs="Arial" w:eastAsia="Arial" w:hAnsi="Arial"/>
          <w:sz w:val="18"/>
          <w:szCs w:val="18"/>
          <w:color w:val="auto"/>
        </w:rPr>
        <w:t xml:space="preserve">Execution and delivery of the Notice of Exercise shall have the same effect as cancellation of the original Warrant and issuance of a new Warrant evidencing the right to purchase the remaining number of Exercise Shares, if any. Holder agrees to provide this Warrant, or an affidavit of lost security in accordance with </w:t>
      </w:r>
      <w:r>
        <w:rPr>
          <w:rFonts w:ascii="Arial" w:cs="Arial" w:eastAsia="Arial" w:hAnsi="Arial"/>
          <w:sz w:val="18"/>
          <w:szCs w:val="18"/>
          <w:u w:val="single" w:color="auto"/>
          <w:color w:val="auto"/>
        </w:rPr>
        <w:t>Section 9</w:t>
      </w:r>
      <w:r>
        <w:rPr>
          <w:rFonts w:ascii="Arial" w:cs="Arial" w:eastAsia="Arial" w:hAnsi="Arial"/>
          <w:sz w:val="18"/>
          <w:szCs w:val="18"/>
          <w:color w:val="auto"/>
        </w:rPr>
        <w:t>, to the Company within five days after the delivery of the Notice of Exercise.</w:t>
      </w:r>
    </w:p>
    <w:p>
      <w:pPr>
        <w:spacing w:after="0" w:line="73" w:lineRule="exact"/>
        <w:rPr>
          <w:sz w:val="20"/>
          <w:szCs w:val="20"/>
          <w:color w:val="auto"/>
        </w:rPr>
      </w:pPr>
    </w:p>
    <w:p>
      <w:pPr>
        <w:ind w:right="660" w:firstLine="225"/>
        <w:spacing w:after="0" w:line="277" w:lineRule="auto"/>
        <w:rPr>
          <w:sz w:val="20"/>
          <w:szCs w:val="20"/>
          <w:color w:val="auto"/>
        </w:rPr>
      </w:pPr>
      <w:r>
        <w:rPr>
          <w:rFonts w:ascii="Arial" w:cs="Arial" w:eastAsia="Arial" w:hAnsi="Arial"/>
          <w:sz w:val="18"/>
          <w:szCs w:val="18"/>
          <w:color w:val="auto"/>
        </w:rPr>
        <w:t>Certificates for shares purchased hereunder shall be transmitted by the transfer agent of the Company to the Holder by crediting the account of the Holder’s prime broker with the Depository Trust Company through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ind w:left="10620"/>
        <w:spacing w:after="0"/>
        <w:rPr>
          <w:sz w:val="20"/>
          <w:szCs w:val="20"/>
          <w:color w:val="auto"/>
        </w:rPr>
      </w:pPr>
      <w:r>
        <w:rPr>
          <w:rFonts w:ascii="Arial" w:cs="Arial" w:eastAsia="Arial" w:hAnsi="Arial"/>
          <w:sz w:val="17"/>
          <w:szCs w:val="17"/>
          <w:color w:val="auto"/>
        </w:rPr>
        <w:t>Exhibit 4.1</w:t>
      </w:r>
    </w:p>
    <w:p>
      <w:pPr>
        <w:spacing w:after="0" w:line="1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Deposits and Withdrawal at Custodian (DWAC) system if the Company is a participant in such system, and otherwise by physical delivery to the address specified by the Holder in the Notice of Exercise within three Trading Days from the delivery to the Company of the Notice of Exercise, surrender of this Warrant and payment of the aggregate Exercise Price as set forth above. This Warrant shall be deemed to have been exercised on the date the Exercise Price is received by the Company. The Exercise Shares shall be deemed to have been issued, and Holder or any other person so designated to be named therein shall be deemed to have become a holder of record of such shares for all purposes, as of the date this Warrant has been exercised by payment to the Company of the Exercise Price.</w:t>
      </w:r>
    </w:p>
    <w:p>
      <w:pPr>
        <w:spacing w:after="0" w:line="85"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color w:val="auto"/>
        </w:rPr>
        <w:t xml:space="preserve">If by the close of the fifth Trading Day after delivery of an Notice of Exercise, the Company fails to deliver to the Holder a certificate representing the required number of Exercise Shares in the manner required pursuant to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and such failure to deliver the Exercise Shares is caused by the Company’s failure to use commercially reasonable efforts to comply with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and/or the covenants in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herein, and if after such fifth Trading Day and prior to the receipt of such Exercise Shares, the Holder purchases (in an open market transaction or otherwise) shares of Common Stock to deliver in satisfaction of a sale by the Holder of the Exercise Shares which the Holder anticipated receiving upon such exercise (a “</w:t>
      </w:r>
      <w:r>
        <w:rPr>
          <w:rFonts w:ascii="Arial" w:cs="Arial" w:eastAsia="Arial" w:hAnsi="Arial"/>
          <w:sz w:val="17"/>
          <w:szCs w:val="17"/>
          <w:b w:val="1"/>
          <w:bCs w:val="1"/>
          <w:color w:val="auto"/>
        </w:rPr>
        <w:t>Buy-In</w:t>
      </w:r>
      <w:r>
        <w:rPr>
          <w:rFonts w:ascii="Arial" w:cs="Arial" w:eastAsia="Arial" w:hAnsi="Arial"/>
          <w:sz w:val="17"/>
          <w:szCs w:val="17"/>
          <w:color w:val="auto"/>
        </w:rPr>
        <w:t>”), then the Company shall, within three Trading Days after the Holder’s request and in the Holder’s sole discretion, either (1) pay in cash to the Holder an amount equal to the Holder’s total purchase price (including brokerage commissions, if any) for the shares of Common Stock so purchased (the “Buy-In Price”), at which point the Company’s obligation to deliver such certificate (and to issue such Exercise Shares) shall terminate or (ii) promptly honor its obligation to deliver to the Holder a certificate or certificates representing such Exercise Shares and pay cash to the Holder in an amount equal to the excess (if any) of the Buy-In Price over the product of (A) such number of Exercise Shares, times (B) the closing bid price on the date of exercise.</w:t>
      </w:r>
    </w:p>
    <w:p>
      <w:pPr>
        <w:spacing w:after="0" w:line="70"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The person in whose name any certificate or certificates for Exercise Shares are to be issued upon exercise of this Warrant shall be deemed to have become the holder of record of such shares on the date on which this Warrant was surrendered and payment of the Exercise Price was made, irrespective of the date of delivery of such certificate or certificates, except that, if the date of such surrender and payment is a date when the stock transfer books of the Company are closed, such person shall be deemed to have become the holder of such shares at the close of business on the next succeeding date on which the stock transfer books are open.</w:t>
      </w:r>
    </w:p>
    <w:p>
      <w:pPr>
        <w:spacing w:after="0" w:line="80" w:lineRule="exact"/>
        <w:rPr>
          <w:sz w:val="20"/>
          <w:szCs w:val="20"/>
          <w:color w:val="auto"/>
        </w:rPr>
      </w:pPr>
    </w:p>
    <w:p>
      <w:pPr>
        <w:ind w:right="20" w:firstLine="222"/>
        <w:spacing w:after="0" w:line="290" w:lineRule="auto"/>
        <w:rPr>
          <w:sz w:val="20"/>
          <w:szCs w:val="20"/>
          <w:color w:val="auto"/>
        </w:rPr>
      </w:pPr>
      <w:r>
        <w:rPr>
          <w:rFonts w:ascii="Arial" w:cs="Arial" w:eastAsia="Arial" w:hAnsi="Arial"/>
          <w:sz w:val="16"/>
          <w:szCs w:val="16"/>
          <w:color w:val="auto"/>
        </w:rPr>
        <w:t>To the extent permitted by law, the Company’s obligations to issue and deliver Exercise Shares in accordance with the terms hereof are absolute and unconditional, irrespective of any action or inaction by the Holder to enforce the same, any waiver or consent with respect to any provision hereof, the recovery of any judgment against any person or entity or any action to enforce the same, or any setoff, counterclaim, recoupment, limitation or termination, or any breach or alleged breach by the Holder or any other person or entity of any obligation to the Company or any violation or alleged violation of law by the Holder or any other person or entity, and irrespective of any other circumstance which might otherwise limit such obligation of the Company to the Holder in connection with the issuance of Exercise Shares. Nothing herein shall limit a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upon exercise of this Warrant as required pursuant to the terms hereof.</w:t>
      </w:r>
    </w:p>
    <w:p>
      <w:pPr>
        <w:spacing w:after="0" w:line="58"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NET EXERCISE</w:t>
      </w:r>
      <w:r>
        <w:rPr>
          <w:rFonts w:ascii="Arial" w:cs="Arial" w:eastAsia="Arial" w:hAnsi="Arial"/>
          <w:sz w:val="17"/>
          <w:szCs w:val="17"/>
          <w:color w:val="auto"/>
        </w:rPr>
        <w:t>. If during the Exercise Period, the issuance of the Exercise Shares to the Holder is not covered by the Registration Statement, as defined in the Subscription Agreement, or any other effective registration statement under the Securities Act of 1933, as amended, and the fair market value of one share of the Common Stock is greater than the Exercise Price (at the date of calculation as set forth below), the Holder shall be permitted to exercise this Warrant by electing to receive (and the Company shall be permitted satisfy its obligation to issue the shares to be issued on exercise of this Warrant by issuing to the Holder) shares equal to the value (as determined below) of this Warrant (or the portion thereof being canceled), in lieu of paying the Exercise Price in immediately available funds. Upon delivery of a properly endorsed Notice of Exercise, the Company shall issue to the Holder a number of shares of Common Stock computed using the following formula:</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t>Exhibit 4.1</w:t>
      </w:r>
    </w:p>
    <w:p>
      <w:pPr>
        <w:spacing w:after="0" w:line="225" w:lineRule="exact"/>
        <w:rPr>
          <w:sz w:val="20"/>
          <w:szCs w:val="20"/>
          <w:color w:val="auto"/>
        </w:rPr>
      </w:pPr>
    </w:p>
    <w:tbl>
      <w:tblPr>
        <w:tblLayout w:type="fixed"/>
        <w:tblInd w:w="136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3700" w:type="dxa"/>
            <w:vAlign w:val="bottom"/>
            <w:gridSpan w:val="2"/>
          </w:tcPr>
          <w:p>
            <w:pPr>
              <w:ind w:left="3080"/>
              <w:spacing w:after="0"/>
              <w:rPr>
                <w:sz w:val="20"/>
                <w:szCs w:val="20"/>
                <w:color w:val="auto"/>
              </w:rPr>
            </w:pPr>
            <w:r>
              <w:rPr>
                <w:rFonts w:ascii="Arial" w:cs="Arial" w:eastAsia="Arial" w:hAnsi="Arial"/>
                <w:sz w:val="18"/>
                <w:szCs w:val="18"/>
                <w:color w:val="auto"/>
              </w:rPr>
              <w:t>X =</w:t>
            </w:r>
          </w:p>
        </w:tc>
        <w:tc>
          <w:tcPr>
            <w:tcW w:w="3840" w:type="dxa"/>
            <w:vAlign w:val="bottom"/>
            <w:gridSpan w:val="2"/>
          </w:tcPr>
          <w:p>
            <w:pPr>
              <w:jc w:val="center"/>
              <w:ind w:right="3040"/>
              <w:spacing w:after="0"/>
              <w:rPr>
                <w:sz w:val="20"/>
                <w:szCs w:val="20"/>
                <w:color w:val="auto"/>
              </w:rPr>
            </w:pPr>
            <w:r>
              <w:rPr>
                <w:rFonts w:ascii="Arial" w:cs="Arial" w:eastAsia="Arial" w:hAnsi="Arial"/>
                <w:sz w:val="18"/>
                <w:szCs w:val="18"/>
                <w:color w:val="auto"/>
              </w:rPr>
              <w:t>Y (A-B)</w:t>
            </w:r>
          </w:p>
        </w:tc>
      </w:tr>
      <w:tr>
        <w:trPr>
          <w:trHeight w:val="224"/>
        </w:trPr>
        <w:tc>
          <w:tcPr>
            <w:tcW w:w="11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rPr>
              <w:t>A</w:t>
            </w:r>
          </w:p>
        </w:tc>
        <w:tc>
          <w:tcPr>
            <w:tcW w:w="2800" w:type="dxa"/>
            <w:vAlign w:val="bottom"/>
          </w:tcPr>
          <w:p>
            <w:pPr>
              <w:spacing w:after="0"/>
              <w:rPr>
                <w:sz w:val="19"/>
                <w:szCs w:val="19"/>
                <w:color w:val="auto"/>
              </w:rPr>
            </w:pPr>
          </w:p>
        </w:tc>
      </w:tr>
      <w:tr>
        <w:trPr>
          <w:trHeight w:val="431"/>
        </w:trPr>
        <w:tc>
          <w:tcPr>
            <w:tcW w:w="1120" w:type="dxa"/>
            <w:vAlign w:val="bottom"/>
          </w:tcPr>
          <w:p>
            <w:pPr>
              <w:jc w:val="right"/>
              <w:ind w:right="230"/>
              <w:spacing w:after="0"/>
              <w:rPr>
                <w:sz w:val="20"/>
                <w:szCs w:val="20"/>
                <w:color w:val="auto"/>
              </w:rPr>
            </w:pPr>
            <w:r>
              <w:rPr>
                <w:rFonts w:ascii="Arial" w:cs="Arial" w:eastAsia="Arial" w:hAnsi="Arial"/>
                <w:sz w:val="18"/>
                <w:szCs w:val="18"/>
                <w:color w:val="auto"/>
                <w:w w:val="91"/>
              </w:rPr>
              <w:t>Where X =</w:t>
            </w:r>
          </w:p>
        </w:tc>
        <w:tc>
          <w:tcPr>
            <w:tcW w:w="7540" w:type="dxa"/>
            <w:vAlign w:val="bottom"/>
            <w:gridSpan w:val="4"/>
          </w:tcPr>
          <w:p>
            <w:pPr>
              <w:ind w:left="320"/>
              <w:spacing w:after="0"/>
              <w:rPr>
                <w:sz w:val="20"/>
                <w:szCs w:val="20"/>
                <w:color w:val="auto"/>
              </w:rPr>
            </w:pPr>
            <w:r>
              <w:rPr>
                <w:rFonts w:ascii="Arial" w:cs="Arial" w:eastAsia="Arial" w:hAnsi="Arial"/>
                <w:sz w:val="18"/>
                <w:szCs w:val="18"/>
                <w:color w:val="auto"/>
              </w:rPr>
              <w:t>the number of shares of Common Stock to be issued to the Holder</w:t>
            </w:r>
          </w:p>
        </w:tc>
      </w:tr>
      <w:tr>
        <w:trPr>
          <w:trHeight w:val="432"/>
        </w:trPr>
        <w:tc>
          <w:tcPr>
            <w:tcW w:w="1120" w:type="dxa"/>
            <w:vAlign w:val="bottom"/>
          </w:tcPr>
          <w:p>
            <w:pPr>
              <w:jc w:val="right"/>
              <w:ind w:right="230"/>
              <w:spacing w:after="0"/>
              <w:rPr>
                <w:sz w:val="20"/>
                <w:szCs w:val="20"/>
                <w:color w:val="auto"/>
              </w:rPr>
            </w:pPr>
            <w:r>
              <w:rPr>
                <w:rFonts w:ascii="Arial" w:cs="Arial" w:eastAsia="Arial" w:hAnsi="Arial"/>
                <w:sz w:val="18"/>
                <w:szCs w:val="18"/>
                <w:color w:val="auto"/>
              </w:rPr>
              <w:t>Y =</w:t>
            </w:r>
          </w:p>
        </w:tc>
        <w:tc>
          <w:tcPr>
            <w:tcW w:w="7540" w:type="dxa"/>
            <w:vAlign w:val="bottom"/>
            <w:gridSpan w:val="4"/>
          </w:tcPr>
          <w:p>
            <w:pPr>
              <w:ind w:left="320"/>
              <w:spacing w:after="0"/>
              <w:rPr>
                <w:sz w:val="20"/>
                <w:szCs w:val="20"/>
                <w:color w:val="auto"/>
              </w:rPr>
            </w:pPr>
            <w:r>
              <w:rPr>
                <w:rFonts w:ascii="Arial" w:cs="Arial" w:eastAsia="Arial" w:hAnsi="Arial"/>
                <w:sz w:val="18"/>
                <w:szCs w:val="18"/>
                <w:color w:val="auto"/>
              </w:rPr>
              <w:t>the number of shares of Common Stock for which the Warrant is then being exercised</w:t>
            </w:r>
          </w:p>
        </w:tc>
      </w:tr>
      <w:tr>
        <w:trPr>
          <w:trHeight w:val="432"/>
        </w:trPr>
        <w:tc>
          <w:tcPr>
            <w:tcW w:w="1120" w:type="dxa"/>
            <w:vAlign w:val="bottom"/>
          </w:tcPr>
          <w:p>
            <w:pPr>
              <w:jc w:val="right"/>
              <w:ind w:right="230"/>
              <w:spacing w:after="0"/>
              <w:rPr>
                <w:sz w:val="20"/>
                <w:szCs w:val="20"/>
                <w:color w:val="auto"/>
              </w:rPr>
            </w:pPr>
            <w:r>
              <w:rPr>
                <w:rFonts w:ascii="Arial" w:cs="Arial" w:eastAsia="Arial" w:hAnsi="Arial"/>
                <w:sz w:val="18"/>
                <w:szCs w:val="18"/>
                <w:color w:val="auto"/>
              </w:rPr>
              <w:t>A =</w:t>
            </w:r>
          </w:p>
        </w:tc>
        <w:tc>
          <w:tcPr>
            <w:tcW w:w="7540" w:type="dxa"/>
            <w:vAlign w:val="bottom"/>
            <w:gridSpan w:val="4"/>
          </w:tcPr>
          <w:p>
            <w:pPr>
              <w:ind w:left="320"/>
              <w:spacing w:after="0"/>
              <w:rPr>
                <w:sz w:val="20"/>
                <w:szCs w:val="20"/>
                <w:color w:val="auto"/>
              </w:rPr>
            </w:pPr>
            <w:r>
              <w:rPr>
                <w:rFonts w:ascii="Arial" w:cs="Arial" w:eastAsia="Arial" w:hAnsi="Arial"/>
                <w:sz w:val="18"/>
                <w:szCs w:val="18"/>
                <w:color w:val="auto"/>
                <w:w w:val="90"/>
              </w:rPr>
              <w:t>the fair market value of one share of the Company’s Common Stock (at the date of such calculation)</w:t>
            </w:r>
          </w:p>
        </w:tc>
      </w:tr>
      <w:tr>
        <w:trPr>
          <w:trHeight w:val="432"/>
        </w:trPr>
        <w:tc>
          <w:tcPr>
            <w:tcW w:w="1120" w:type="dxa"/>
            <w:vAlign w:val="bottom"/>
          </w:tcPr>
          <w:p>
            <w:pPr>
              <w:jc w:val="right"/>
              <w:ind w:right="230"/>
              <w:spacing w:after="0"/>
              <w:rPr>
                <w:sz w:val="20"/>
                <w:szCs w:val="20"/>
                <w:color w:val="auto"/>
              </w:rPr>
            </w:pPr>
            <w:r>
              <w:rPr>
                <w:rFonts w:ascii="Arial" w:cs="Arial" w:eastAsia="Arial" w:hAnsi="Arial"/>
                <w:sz w:val="18"/>
                <w:szCs w:val="18"/>
                <w:color w:val="auto"/>
              </w:rPr>
              <w:t>B =</w:t>
            </w:r>
          </w:p>
        </w:tc>
        <w:tc>
          <w:tcPr>
            <w:tcW w:w="3700" w:type="dxa"/>
            <w:vAlign w:val="bottom"/>
            <w:gridSpan w:val="2"/>
          </w:tcPr>
          <w:p>
            <w:pPr>
              <w:ind w:left="320"/>
              <w:spacing w:after="0"/>
              <w:rPr>
                <w:sz w:val="20"/>
                <w:szCs w:val="20"/>
                <w:color w:val="auto"/>
              </w:rPr>
            </w:pPr>
            <w:r>
              <w:rPr>
                <w:rFonts w:ascii="Arial" w:cs="Arial" w:eastAsia="Arial" w:hAnsi="Arial"/>
                <w:sz w:val="18"/>
                <w:szCs w:val="18"/>
                <w:color w:val="auto"/>
                <w:w w:val="92"/>
              </w:rPr>
              <w:t>Exercise Price in effect at the time of exercise</w:t>
            </w:r>
          </w:p>
        </w:tc>
        <w:tc>
          <w:tcPr>
            <w:tcW w:w="1040" w:type="dxa"/>
            <w:vAlign w:val="bottom"/>
          </w:tcPr>
          <w:p>
            <w:pPr>
              <w:spacing w:after="0"/>
              <w:rPr>
                <w:sz w:val="24"/>
                <w:szCs w:val="24"/>
                <w:color w:val="auto"/>
              </w:rPr>
            </w:pPr>
          </w:p>
        </w:tc>
        <w:tc>
          <w:tcPr>
            <w:tcW w:w="2800" w:type="dxa"/>
            <w:vAlign w:val="bottom"/>
          </w:tcPr>
          <w:p>
            <w:pPr>
              <w:spacing w:after="0"/>
              <w:rPr>
                <w:sz w:val="24"/>
                <w:szCs w:val="24"/>
                <w:color w:val="auto"/>
              </w:rPr>
            </w:pPr>
          </w:p>
        </w:tc>
      </w:tr>
    </w:tbl>
    <w:p>
      <w:pPr>
        <w:spacing w:after="0" w:line="94" w:lineRule="exact"/>
        <w:rPr>
          <w:sz w:val="20"/>
          <w:szCs w:val="20"/>
          <w:color w:val="auto"/>
        </w:rPr>
      </w:pPr>
    </w:p>
    <w:p>
      <w:pPr>
        <w:ind w:right="20" w:firstLine="225"/>
        <w:spacing w:after="0" w:line="288" w:lineRule="auto"/>
        <w:rPr>
          <w:sz w:val="20"/>
          <w:szCs w:val="20"/>
          <w:color w:val="auto"/>
        </w:rPr>
      </w:pPr>
      <w:r>
        <w:rPr>
          <w:rFonts w:ascii="Arial" w:cs="Arial" w:eastAsia="Arial" w:hAnsi="Arial"/>
          <w:sz w:val="16"/>
          <w:szCs w:val="16"/>
          <w:color w:val="auto"/>
        </w:rPr>
        <w:t>For purposes of the above calculation, the “fair market value” of one share of Common Stock shall mean (i) the average of the closing sales prices for the shares of Common Stock on the NASDAQ Global Market or other trading market where such security is listed or traded as reported by Bloomberg Financial Markets (or a comparable reporting service of national reputation selected by the Company and reasonably acceptable to the Holder if Bloomberg Financial Markets is not then reporting sales prices of such security) (collectively, “</w:t>
      </w:r>
      <w:r>
        <w:rPr>
          <w:rFonts w:ascii="Arial" w:cs="Arial" w:eastAsia="Arial" w:hAnsi="Arial"/>
          <w:sz w:val="16"/>
          <w:szCs w:val="16"/>
          <w:b w:val="1"/>
          <w:bCs w:val="1"/>
          <w:color w:val="auto"/>
        </w:rPr>
        <w:t>Bloomberg</w:t>
      </w:r>
      <w:r>
        <w:rPr>
          <w:rFonts w:ascii="Arial" w:cs="Arial" w:eastAsia="Arial" w:hAnsi="Arial"/>
          <w:sz w:val="16"/>
          <w:szCs w:val="16"/>
          <w:color w:val="auto"/>
        </w:rPr>
        <w:t>”) for the ten (10) consecutive trading days immediately preceding such date, or (ii) if the NASDAQ Global Market is not the principal trading market for the shares of Common Stock, the average of the reported sales prices reported by Bloomberg on the principal trading market for the Common Stock during the same period, or, if there is no sales price for such period, the last sales price reported by Bloomberg for such period, or (iii) if neither of the foregoing applies, the last sales price of such security in the over-the-counter market on the pink sheets or bulletin board for such security as reported by Bloomberg, or if no sales price is so reported for such security, the last bid price of such security as reported by Bloomberg or (iv) if fair market value cannot be calculated as of such date on any of the foregoing bases, the fair market value shall be as determined by the Board of Directors of the Company in the exercise of its good faith judgment.</w:t>
      </w:r>
    </w:p>
    <w:p>
      <w:pPr>
        <w:spacing w:after="0" w:line="61"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ISSUANCE OF NEW WARRANTS</w:t>
      </w:r>
      <w:r>
        <w:rPr>
          <w:rFonts w:ascii="Arial" w:cs="Arial" w:eastAsia="Arial" w:hAnsi="Arial"/>
          <w:sz w:val="18"/>
          <w:szCs w:val="18"/>
          <w:color w:val="auto"/>
        </w:rPr>
        <w:t>. Upon any partial exercise of this Warrant, the Company, at its expense, will forthwith and, in any event within five Trading Days, issue and deliver to the Holder a new warrant or warrants of like tenor, registered in the name of the Holder, exercisable, in the aggregate, for the balance of the number of shares of Common Stock remaining available for purchase under this Warrant.</w:t>
      </w:r>
    </w:p>
    <w:p>
      <w:pPr>
        <w:spacing w:after="0" w:line="73" w:lineRule="exact"/>
        <w:rPr>
          <w:sz w:val="20"/>
          <w:szCs w:val="20"/>
          <w:color w:val="auto"/>
        </w:rPr>
      </w:pPr>
    </w:p>
    <w:p>
      <w:pPr>
        <w:ind w:right="20" w:firstLine="225"/>
        <w:spacing w:after="0" w:line="286"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EXERCISE LIMITATIONS; HOLDER’S RESTRICTIONS</w:t>
      </w:r>
      <w:r>
        <w:rPr>
          <w:rFonts w:ascii="Arial" w:cs="Arial" w:eastAsia="Arial" w:hAnsi="Arial"/>
          <w:sz w:val="16"/>
          <w:szCs w:val="16"/>
          <w:color w:val="auto"/>
        </w:rPr>
        <w:t xml:space="preserve">. A Holder shall not have the right to exercise any portion of this Warrant, pursuant to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or otherwise, to the extent that after giving effect to such issuance after exercise, such Holder (together with such Holder’s affiliates) would beneficially own in excess of 4.99% of the number of shares of the Common Stock outstanding immediately after giving effect to such issuance. For purposes of the foregoing sentence, the number of shares of Common Stock beneficially owned by such Holder and its affiliates shall include the number of shares of Common Stock issuable upon exercise of this Warrant with respect to which the determination of such sentence is being made, but shall exclude the number of shares of Common Stock which would be issuable upon (A) exercise of the remaining, nonexercised portion of this Warrant beneficially owned by such Holder or any of its affiliates and (B) exercise or conversion of the unexercised or nonconverted portion of any other securities of the Company (including, without limitation, any other shares of Common Stock or Warrants) subject to a limitation on conversion or exercise analogous to the limitation contained herein beneficially owned by such Holder or any of its affiliates. Except as set forth in the preceding sentence, for purposes of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beneficial ownership shall be calculated in accordance with Section 13(d) of the Exchange Act, it being acknowledged by a Holder that the Company is not representing to such Holder that such calculation is in compliance with Section 13(d) of the Exchange Act and such Holder is solely responsible for any schedules or other filings required to be filed under the Exchange Act. To the extent that the limitation contained in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applies, the determination of whether this Warrant is exercisable (in relation to other securities owned by such Holder) and of which a portion of this Warrant is exercisable shall be in the sole discretion of a Holder, and the submission of a Notice of Exercise shall be deemed to be each Holder’s determination of whether</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4" w:name="page45"/>
    <w:bookmarkEnd w:id="44"/>
    <w:p>
      <w:pPr>
        <w:ind w:left="10620"/>
        <w:spacing w:after="0"/>
        <w:rPr>
          <w:sz w:val="20"/>
          <w:szCs w:val="20"/>
          <w:color w:val="auto"/>
        </w:rPr>
      </w:pPr>
      <w:r>
        <w:rPr>
          <w:rFonts w:ascii="Arial" w:cs="Arial" w:eastAsia="Arial" w:hAnsi="Arial"/>
          <w:sz w:val="17"/>
          <w:szCs w:val="17"/>
          <w:color w:val="auto"/>
        </w:rPr>
        <w:t>Exhibit 4.1</w:t>
      </w:r>
    </w:p>
    <w:p>
      <w:pPr>
        <w:spacing w:after="0" w:line="12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 xml:space="preserve">this Warrant is exercisable (in relation to other securities owned by such Holder) and of which portion of this Warrant is exercisable, in each case subject to such aggregate percentage limitation, and the Company shall be entitled to rely on the Holder’s determination and shall have no obligation to verify or confirm the accuracy of such determination. For purposes of this </w:t>
      </w:r>
      <w:r>
        <w:rPr>
          <w:rFonts w:ascii="Arial" w:cs="Arial" w:eastAsia="Arial" w:hAnsi="Arial"/>
          <w:sz w:val="16"/>
          <w:szCs w:val="16"/>
          <w:u w:val="single" w:color="auto"/>
          <w:color w:val="auto"/>
        </w:rPr>
        <w:t>Section 2.4</w:t>
      </w:r>
      <w:r>
        <w:rPr>
          <w:rFonts w:ascii="Arial" w:cs="Arial" w:eastAsia="Arial" w:hAnsi="Arial"/>
          <w:sz w:val="16"/>
          <w:szCs w:val="16"/>
          <w:color w:val="auto"/>
        </w:rPr>
        <w:t>, in determining the number of outstanding shares of Common Stock, a Holder may rely on the number of outstanding shares of Common Stock as reflected in (x) the Company’s most recent Form 10-Q or Form 10-K, as the case may be,</w:t>
      </w:r>
    </w:p>
    <w:p>
      <w:pPr>
        <w:spacing w:after="0" w:line="2" w:lineRule="exact"/>
        <w:rPr>
          <w:sz w:val="20"/>
          <w:szCs w:val="20"/>
          <w:color w:val="auto"/>
        </w:rPr>
      </w:pPr>
    </w:p>
    <w:p>
      <w:pPr>
        <w:ind w:right="40" w:firstLine="8"/>
        <w:spacing w:after="0" w:line="269" w:lineRule="auto"/>
        <w:tabs>
          <w:tab w:leader="none" w:pos="255"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a more recent public announcement by the Company or (z) any other notice by the Company or the Company’s Transfer Agent setting forth the number of shares of Common Stock outstanding. Upon the written or oral request of a Holder, the Company shall within two Trading Days confirm orally and in writing to such Holder the number of shares of Common Stock then outstanding. In any case, the number of outstanding shares of Common Stock shall be determined after giving effect to the conversion or exercise of securities of the Company, including this Warrant, by such Holder or its affiliates since the date as of which such number of outstanding shares of Common Stock was reported. The provisions of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may be waived by such Holder, at the election of such Holder, upon not less than 61 days’ prior notice to the Company, and the provisions of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shall continue to apply until such 61st day (or such later date, as determined by such Holder, as may be specified in such notice of waiver).</w:t>
      </w:r>
    </w:p>
    <w:p>
      <w:pPr>
        <w:spacing w:after="0" w:line="72" w:lineRule="exact"/>
        <w:rPr>
          <w:rFonts w:ascii="Arial" w:cs="Arial" w:eastAsia="Arial" w:hAnsi="Arial"/>
          <w:sz w:val="17"/>
          <w:szCs w:val="17"/>
          <w:color w:val="auto"/>
        </w:rPr>
      </w:pPr>
    </w:p>
    <w:p>
      <w:pPr>
        <w:ind w:left="420" w:hanging="187"/>
        <w:spacing w:after="0"/>
        <w:tabs>
          <w:tab w:leader="none" w:pos="420"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COVENANTS OF THE COMPANY</w:t>
      </w:r>
      <w:r>
        <w:rPr>
          <w:rFonts w:ascii="Arial" w:cs="Arial" w:eastAsia="Arial" w:hAnsi="Arial"/>
          <w:sz w:val="18"/>
          <w:szCs w:val="18"/>
          <w:color w:val="auto"/>
        </w:rPr>
        <w:t>.</w:t>
      </w:r>
    </w:p>
    <w:p>
      <w:pPr>
        <w:spacing w:after="0" w:line="117"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COVENANTS AS TO EXERCISE SHARES</w:t>
      </w:r>
      <w:r>
        <w:rPr>
          <w:rFonts w:ascii="Arial" w:cs="Arial" w:eastAsia="Arial" w:hAnsi="Arial"/>
          <w:sz w:val="18"/>
          <w:szCs w:val="18"/>
          <w:color w:val="auto"/>
        </w:rPr>
        <w:t>. The Company covenants and agrees that all Exercise Shares that may be issued upon the exercise of the rights represented by this Warrant will, upon issuance, be validly issued and outstanding, fully paid and nonassessable, and free from all taxes, liens and charges with respect to the issuance thereof.</w:t>
      </w:r>
    </w:p>
    <w:p>
      <w:pPr>
        <w:spacing w:after="0" w:line="73" w:lineRule="exact"/>
        <w:rPr>
          <w:sz w:val="20"/>
          <w:szCs w:val="20"/>
          <w:color w:val="auto"/>
        </w:rPr>
      </w:pPr>
    </w:p>
    <w:p>
      <w:pPr>
        <w:ind w:right="160" w:firstLine="222"/>
        <w:spacing w:after="0" w:line="257" w:lineRule="auto"/>
        <w:rPr>
          <w:sz w:val="20"/>
          <w:szCs w:val="20"/>
          <w:color w:val="auto"/>
        </w:rPr>
      </w:pPr>
      <w:r>
        <w:rPr>
          <w:rFonts w:ascii="Arial" w:cs="Arial" w:eastAsia="Arial" w:hAnsi="Arial"/>
          <w:sz w:val="18"/>
          <w:szCs w:val="18"/>
          <w:color w:val="auto"/>
        </w:rPr>
        <w:t>The Company further covenants and agrees that the Company will at all times during the Exercise Period, have authorized and reserved, free from preemptive rights, a sufficient number of shares of Common Stock to provide for the exercise of the rights represented by this Warrant. If at any time during the Exercise Period the number of authorized but unissued shares of Common Stock shall not be sufficient to permit exercise of this Warrant, the Company will take such corporate action as may, in the opinion of its counsel, be necessary to increase its authorized but unissued shares of Common Stock to such number of shares as shall be sufficient for such purposes.</w:t>
      </w:r>
    </w:p>
    <w:p>
      <w:pPr>
        <w:spacing w:after="0" w:line="80" w:lineRule="exact"/>
        <w:rPr>
          <w:sz w:val="20"/>
          <w:szCs w:val="20"/>
          <w:color w:val="auto"/>
        </w:rPr>
      </w:pPr>
    </w:p>
    <w:p>
      <w:pPr>
        <w:ind w:right="40" w:firstLine="225"/>
        <w:spacing w:after="0" w:line="302"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NO IMPAIRMENT</w:t>
      </w:r>
      <w:r>
        <w:rPr>
          <w:rFonts w:ascii="Arial" w:cs="Arial" w:eastAsia="Arial" w:hAnsi="Arial"/>
          <w:sz w:val="16"/>
          <w:szCs w:val="16"/>
          <w:color w:val="auto"/>
        </w:rPr>
        <w:t>. The Company will not, by amendment of its Certificate of Incorporation or through any reorganization, transfer of assets, consolidation, merger, dissolution, issue or sale of securities or any other voluntary action, avoid or seek to avoid the observance or performance of any of the terms to be observed or performed hereunder by the Company, and will at all times in good faith assist in the carrying out of all the provisions of this Warrant and in the taking of all such action as may be necessary or appropriate in order to protect the exercise rights of the Holder against impairment.</w:t>
      </w:r>
    </w:p>
    <w:p>
      <w:pPr>
        <w:spacing w:after="0" w:line="46"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NOTICES OF RECORD DATE AND CERTAIN OTHER EVENTS</w:t>
      </w:r>
      <w:r>
        <w:rPr>
          <w:rFonts w:ascii="Arial" w:cs="Arial" w:eastAsia="Arial" w:hAnsi="Arial"/>
          <w:sz w:val="16"/>
          <w:szCs w:val="16"/>
          <w:color w:val="auto"/>
        </w:rPr>
        <w:t>. In the event of any taking by the Company of a record of the holders of any class of securities for the purpose of determining the holders thereof who are entitled to receive any dividend or other distribution, the Company shall provide to the Holder, at least ten (10) days prior to the date on which any such record is to be taken for the purpose of such dividend or distribution, a notice specifying such date. In the event of any voluntary dissolution, liquidation or winding up of the Company, the Company shall provide to the Holder, at least ten (10) days prior to the date of the occurrence of any such event, a notice specifying such date. In the event the Company authorizes or approves, enters into any agreement contemplating, or solicits stockholder approval for any Fundamental Transaction, as defined in Section 6 herein, the Company shall provide to the Holder, at least ten (10) days prior to the date of the occurrence of such Fundamental Transaction, a notice specifying such date. Notwithstanding the foregoing, the failure to deliver such notice or any defect therein shall not affect the validity of the corporate action required to be described in such notice.</w:t>
      </w:r>
    </w:p>
    <w:p>
      <w:pPr>
        <w:spacing w:after="0" w:line="58" w:lineRule="exact"/>
        <w:rPr>
          <w:sz w:val="20"/>
          <w:szCs w:val="20"/>
          <w:color w:val="auto"/>
        </w:rPr>
      </w:pPr>
    </w:p>
    <w:p>
      <w:pPr>
        <w:ind w:left="420" w:hanging="187"/>
        <w:spacing w:after="0"/>
        <w:tabs>
          <w:tab w:leader="none" w:pos="42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EXERCISE SHARES</w:t>
      </w:r>
      <w:r>
        <w:rPr>
          <w:rFonts w:ascii="Arial" w:cs="Arial" w:eastAsia="Arial" w:hAnsi="Arial"/>
          <w:sz w:val="18"/>
          <w:szCs w:val="18"/>
          <w:color w:val="auto"/>
        </w:rPr>
        <w:t>.</w:t>
      </w:r>
    </w:p>
    <w:p>
      <w:pPr>
        <w:spacing w:after="0" w:line="117" w:lineRule="exact"/>
        <w:rPr>
          <w:sz w:val="20"/>
          <w:szCs w:val="20"/>
          <w:color w:val="auto"/>
        </w:rPr>
      </w:pPr>
    </w:p>
    <w:p>
      <w:pPr>
        <w:ind w:right="80" w:firstLine="233"/>
        <w:spacing w:after="0" w:line="291" w:lineRule="auto"/>
        <w:tabs>
          <w:tab w:leader="none" w:pos="470" w:val="left"/>
        </w:tabs>
        <w:numPr>
          <w:ilvl w:val="1"/>
          <w:numId w:val="48"/>
        </w:numPr>
        <w:rPr>
          <w:rFonts w:ascii="Arial" w:cs="Arial" w:eastAsia="Arial" w:hAnsi="Arial"/>
          <w:sz w:val="16"/>
          <w:szCs w:val="16"/>
          <w:color w:val="auto"/>
        </w:rPr>
      </w:pPr>
      <w:r>
        <w:rPr>
          <w:rFonts w:ascii="Arial" w:cs="Arial" w:eastAsia="Arial" w:hAnsi="Arial"/>
          <w:sz w:val="16"/>
          <w:szCs w:val="16"/>
          <w:color w:val="auto"/>
        </w:rPr>
        <w:t>If the Company, at any time while this Warrant is outstanding, (i) pays a stock dividend on its Common Stock or otherwise makes a distribution on any class of capital stock that is payable in shares of Common Stock, (ii) subdivides outstanding shares of Common Stock into a larger number of shares, or</w:t>
      </w:r>
    </w:p>
    <w:p>
      <w:pPr>
        <w:ind w:left="320" w:hanging="312"/>
        <w:spacing w:after="0"/>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combines outstanding shares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5" w:name="page46"/>
    <w:bookmarkEnd w:id="45"/>
    <w:p>
      <w:pPr>
        <w:ind w:left="10620"/>
        <w:spacing w:after="0"/>
        <w:rPr>
          <w:sz w:val="20"/>
          <w:szCs w:val="20"/>
          <w:color w:val="auto"/>
        </w:rPr>
      </w:pPr>
      <w:r>
        <w:rPr>
          <w:rFonts w:ascii="Arial" w:cs="Arial" w:eastAsia="Arial" w:hAnsi="Arial"/>
          <w:sz w:val="17"/>
          <w:szCs w:val="17"/>
          <w:color w:val="auto"/>
        </w:rPr>
        <w:t>Exhibit 4.1</w:t>
      </w:r>
    </w:p>
    <w:p>
      <w:pPr>
        <w:spacing w:after="0" w:line="1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of Common Stock into a smaller number of shares, then in each such case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and any adjustment pursuant to clause (ii) or (iii) of this paragraph shall become effective immediately after the effective date of such subdivision or combination. The form of this Warrant need not be changed because of any adjustment in the number of Exercise Shares subject to this Warrant.</w:t>
      </w:r>
    </w:p>
    <w:p>
      <w:pPr>
        <w:spacing w:after="0" w:line="70" w:lineRule="exact"/>
        <w:rPr>
          <w:sz w:val="20"/>
          <w:szCs w:val="20"/>
          <w:color w:val="auto"/>
        </w:rPr>
      </w:pPr>
    </w:p>
    <w:p>
      <w:pPr>
        <w:ind w:right="40" w:firstLine="233"/>
        <w:spacing w:after="0" w:line="290" w:lineRule="auto"/>
        <w:tabs>
          <w:tab w:leader="none" w:pos="4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If the Company, at any time while this Warrant is outstanding, distributes to holders of Common Stock, (i) Common Stock or any shares of stock or other securities which are at any time directly or indirectly convertible into or exchangeable for Common Stock, or any rights or options to subscribe for, purchase or otherwise acquire any of the foregoing by way of dividend or other distribution (other than a dividend or distribution covered in </w:t>
      </w:r>
      <w:r>
        <w:rPr>
          <w:rFonts w:ascii="Arial" w:cs="Arial" w:eastAsia="Arial" w:hAnsi="Arial"/>
          <w:sz w:val="16"/>
          <w:szCs w:val="16"/>
          <w:u w:val="single" w:color="auto"/>
          <w:color w:val="auto"/>
        </w:rPr>
        <w:t>Section 4(a)</w:t>
      </w:r>
      <w:r>
        <w:rPr>
          <w:rFonts w:ascii="Arial" w:cs="Arial" w:eastAsia="Arial" w:hAnsi="Arial"/>
          <w:sz w:val="16"/>
          <w:szCs w:val="16"/>
          <w:color w:val="auto"/>
        </w:rPr>
        <w:t xml:space="preserve"> above); (ii) any cash paid or payable otherwise than as a cash dividend; or (iii) any other asset, then and in each such case, the Holder hereof will, upon the exercise of this Warrant, be entitled to receive, in addition to the number of shares of Common Stock receivable thereupon, and without payment of any additional consideration therefor, the amount of stock and other securities and property (including cash in the cases referred to in clauses (ii) and (iii) above) which such Holder would hold on the date of such exercise had such Holder been the holder of record of such Common Stock as of the date on which holders of Common Stock received or became entitled to receive such shares or all other additional stock and other securities and property.</w:t>
      </w:r>
    </w:p>
    <w:p>
      <w:pPr>
        <w:spacing w:after="0" w:line="58" w:lineRule="exact"/>
        <w:rPr>
          <w:rFonts w:ascii="Arial" w:cs="Arial" w:eastAsia="Arial" w:hAnsi="Arial"/>
          <w:sz w:val="16"/>
          <w:szCs w:val="16"/>
          <w:color w:val="auto"/>
        </w:rPr>
      </w:pPr>
    </w:p>
    <w:p>
      <w:pPr>
        <w:ind w:right="60" w:firstLine="233"/>
        <w:spacing w:after="0" w:line="276" w:lineRule="auto"/>
        <w:tabs>
          <w:tab w:leader="none" w:pos="470"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Upon the occurrence of each adjustment pursuant to this </w:t>
      </w:r>
      <w:r>
        <w:rPr>
          <w:rFonts w:ascii="Arial" w:cs="Arial" w:eastAsia="Arial" w:hAnsi="Arial"/>
          <w:sz w:val="17"/>
          <w:szCs w:val="17"/>
          <w:u w:val="single" w:color="auto"/>
          <w:color w:val="auto"/>
        </w:rPr>
        <w:t>Section 4</w:t>
      </w:r>
      <w:r>
        <w:rPr>
          <w:rFonts w:ascii="Arial" w:cs="Arial" w:eastAsia="Arial" w:hAnsi="Arial"/>
          <w:sz w:val="17"/>
          <w:szCs w:val="17"/>
          <w:color w:val="auto"/>
        </w:rPr>
        <w:t>, the Company at its expense will, at the written request of the Holder, promptly compute such adjustment in accordance with the terms of this Warrant and prepare a certificate setting forth such adjustment, including a statement of the adjusted Exercise Price and adjusted number or type of Exercise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w:t>
      </w:r>
    </w:p>
    <w:p>
      <w:pPr>
        <w:spacing w:after="0" w:line="64" w:lineRule="exact"/>
        <w:rPr>
          <w:sz w:val="20"/>
          <w:szCs w:val="20"/>
          <w:color w:val="auto"/>
        </w:rPr>
      </w:pPr>
    </w:p>
    <w:p>
      <w:pPr>
        <w:ind w:right="80" w:firstLine="233"/>
        <w:spacing w:after="0" w:line="257" w:lineRule="auto"/>
        <w:tabs>
          <w:tab w:leader="none" w:pos="405"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shall be issued upon the exercise of this Warrant as a consequence of any adjustment pursuant hereto. All Exercise Shares (including fractions) issuable upon exercise of this Warrant may be aggregated for purposes of determining whether the exercise would result in the issuance of any fractional share. If, after aggregation, the exercise would result in the issuance of a fractional share, the Company shall, in lieu of issuance of any fractional share, pay the Holder otherwise entitled to such fraction a sum in cash equal to the product resulting from multiplying the then current fair market value of an Exercise Share by such fraction.</w:t>
      </w:r>
    </w:p>
    <w:p>
      <w:pPr>
        <w:spacing w:after="0" w:line="80" w:lineRule="exact"/>
        <w:rPr>
          <w:rFonts w:ascii="Arial" w:cs="Arial" w:eastAsia="Arial" w:hAnsi="Arial"/>
          <w:sz w:val="18"/>
          <w:szCs w:val="18"/>
          <w:color w:val="auto"/>
        </w:rPr>
      </w:pPr>
    </w:p>
    <w:p>
      <w:pPr>
        <w:ind w:right="20" w:firstLine="233"/>
        <w:spacing w:after="0" w:line="268" w:lineRule="auto"/>
        <w:tabs>
          <w:tab w:leader="none" w:pos="405"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FUNDAMENTAL TRANSACTIONS</w:t>
      </w:r>
      <w:r>
        <w:rPr>
          <w:rFonts w:ascii="Arial" w:cs="Arial" w:eastAsia="Arial" w:hAnsi="Arial"/>
          <w:sz w:val="17"/>
          <w:szCs w:val="17"/>
          <w:color w:val="auto"/>
        </w:rPr>
        <w:t xml:space="preserve">. If, at any time while this Warrant is outstanding, (i) the Company effects any merger or consolidation of the Company with or into another entity, in which the shareholders of the Company as of immediately prior to the transaction own less than a majority of the outstanding stock of the surviving entity, (ii) any tender offer or exchange offer (whether by the Company or another person or entity) is completed pursuant to which the holders of more than the 50% of the outstanding shares of Common Stock (not including any shares of Common Stock held by the person or persons making or party to, or associated or affiliated with the Persons making or party to, such purchase, tender or exchange offer) are permitted to tender or exchange their shares for other securities, cash or property, or (iii) the Company effects any sale of all or substantially all of its assets in one or a series of related transactions, or (iv)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above), (v) the Company consummates a stock purchase agreement or other business combination (including, without limitation, a reorganization, recapitalization, spin-off or scheme of arrangement) with another person whereby such other person acquires more than the 50% of the outstanding shares of Common Stock (not including any shares of Common Stock held by the other person or other persons making or party to, or associated or affiliated with the other persons making or party to, such stock purchase agreement or other business combination), or (vi) any “person” or “group” (as these terms are used for purposes of Sections 13(d) and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6" w:name="page47"/>
    <w:bookmarkEnd w:id="46"/>
    <w:p>
      <w:pPr>
        <w:ind w:left="10620"/>
        <w:spacing w:after="0"/>
        <w:rPr>
          <w:sz w:val="20"/>
          <w:szCs w:val="20"/>
          <w:color w:val="auto"/>
        </w:rPr>
      </w:pPr>
      <w:r>
        <w:rPr>
          <w:rFonts w:ascii="Arial" w:cs="Arial" w:eastAsia="Arial" w:hAnsi="Arial"/>
          <w:sz w:val="17"/>
          <w:szCs w:val="17"/>
          <w:color w:val="auto"/>
        </w:rPr>
        <w:t>Exhibit 4.1</w:t>
      </w:r>
    </w:p>
    <w:p>
      <w:pPr>
        <w:spacing w:after="0" w:line="129"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14(d) of the Securities Exchange Act of 1934, as amended) becomes the “beneficial owner” (as defined in Rule 13d-3 under the Securities Exchange Act of 1934, as amended), directly or indirectly, of 50% of the aggregate ordinary voting power represented by issued and outstanding Common Stock (each, a “</w:t>
      </w:r>
      <w:r>
        <w:rPr>
          <w:rFonts w:ascii="Arial" w:cs="Arial" w:eastAsia="Arial" w:hAnsi="Arial"/>
          <w:sz w:val="16"/>
          <w:szCs w:val="16"/>
          <w:b w:val="1"/>
          <w:bCs w:val="1"/>
          <w:color w:val="auto"/>
        </w:rPr>
        <w:t>Fundamental Transaction</w:t>
      </w:r>
      <w:r>
        <w:rPr>
          <w:rFonts w:ascii="Arial" w:cs="Arial" w:eastAsia="Arial" w:hAnsi="Arial"/>
          <w:sz w:val="16"/>
          <w:szCs w:val="16"/>
          <w:color w:val="auto"/>
        </w:rPr>
        <w:t>”), the Holder shall have the right thereafter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Exercise Shares then issuable upon exercise in full of this Warrant (the “</w:t>
      </w:r>
      <w:r>
        <w:rPr>
          <w:rFonts w:ascii="Arial" w:cs="Arial" w:eastAsia="Arial" w:hAnsi="Arial"/>
          <w:sz w:val="16"/>
          <w:szCs w:val="16"/>
          <w:b w:val="1"/>
          <w:bCs w:val="1"/>
          <w:color w:val="auto"/>
        </w:rPr>
        <w:t>Alternate Consideration</w:t>
      </w:r>
      <w:r>
        <w:rPr>
          <w:rFonts w:ascii="Arial" w:cs="Arial" w:eastAsia="Arial" w:hAnsi="Arial"/>
          <w:sz w:val="16"/>
          <w:szCs w:val="16"/>
          <w:color w:val="auto"/>
        </w:rPr>
        <w:t>”). To the extent necessary to effectuate the foregoing provisions, any successor to the Company or surviving entity in such Fundamental Transaction shall issue to the Holder a new warrant consistent with the foregoing provisions and evidencing the Holder’s right to exercise such warrant into Alternate Consideration. In lieu of the Alternate Consideration, the Holder shall have the right to require the Company to redeem this Warrant, for a purchase price, payable in cash on the closing date of such Fundamental Transaction, equal to the Black Scholes Value of the remaining unexercised portion of this Warrant on the closing date of such Fundamental Transaction. “</w:t>
      </w:r>
      <w:r>
        <w:rPr>
          <w:rFonts w:ascii="Arial" w:cs="Arial" w:eastAsia="Arial" w:hAnsi="Arial"/>
          <w:sz w:val="16"/>
          <w:szCs w:val="16"/>
          <w:b w:val="1"/>
          <w:bCs w:val="1"/>
          <w:color w:val="auto"/>
        </w:rPr>
        <w:t>Black Scholes Value</w:t>
      </w:r>
      <w:r>
        <w:rPr>
          <w:rFonts w:ascii="Arial" w:cs="Arial" w:eastAsia="Arial" w:hAnsi="Arial"/>
          <w:sz w:val="16"/>
          <w:szCs w:val="16"/>
          <w:color w:val="auto"/>
        </w:rPr>
        <w:t>” means the value of this Warrant based on the Black and Scholes Option Pricing Model obtained from the “OV” function on Bloomberg determined as of the day immediately following the public announcement of the applicable Fundamental Transaction and reflecting (i) a risk-free interest rate corresponding to the U.S. Treasury rate for a period equal to the remaining term of this Warrant as of such date,</w:t>
      </w:r>
    </w:p>
    <w:p>
      <w:pPr>
        <w:spacing w:after="0" w:line="4" w:lineRule="exact"/>
        <w:rPr>
          <w:sz w:val="20"/>
          <w:szCs w:val="20"/>
          <w:color w:val="auto"/>
        </w:rPr>
      </w:pPr>
    </w:p>
    <w:p>
      <w:pPr>
        <w:ind w:right="120" w:firstLine="8"/>
        <w:spacing w:after="0" w:line="270" w:lineRule="auto"/>
        <w:tabs>
          <w:tab w:leader="none" w:pos="265"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an expected volatility equal to the lesser of (x) 60-day volatility or (y) 100-day volatility, in each case obtained from the HVT function on Bloomberg, provided however, the expected volatility used to calculate such value shall not exceed eighty (80%) percent and (iii) an underlying price per share used in such calculation equal to the sum of the price per share being offered in cash, if any, plus the value of any non-cash consideration, if any, being offered in the Fundamental Transaction. The terms of any agreement pursuant to which a Fundamental Transaction is effected shall include terms requiring any such successor or surviving entity to comply with the provisions of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and ensuring that this Warrant (or any such replacement security) will be similarly adjusted upon any subsequent transaction analogous to a Fundamental Transaction.</w:t>
      </w:r>
    </w:p>
    <w:p>
      <w:pPr>
        <w:spacing w:after="0" w:line="70" w:lineRule="exact"/>
        <w:rPr>
          <w:rFonts w:ascii="Arial" w:cs="Arial" w:eastAsia="Arial" w:hAnsi="Arial"/>
          <w:sz w:val="17"/>
          <w:szCs w:val="17"/>
          <w:color w:val="auto"/>
        </w:rPr>
      </w:pPr>
    </w:p>
    <w:p>
      <w:pPr>
        <w:ind w:right="40" w:firstLine="233"/>
        <w:spacing w:after="0" w:line="290" w:lineRule="auto"/>
        <w:tabs>
          <w:tab w:leader="none" w:pos="405" w:val="left"/>
        </w:tabs>
        <w:numPr>
          <w:ilvl w:val="1"/>
          <w:numId w:val="52"/>
        </w:numPr>
        <w:rPr>
          <w:rFonts w:ascii="Arial" w:cs="Arial" w:eastAsia="Arial" w:hAnsi="Arial"/>
          <w:sz w:val="16"/>
          <w:szCs w:val="16"/>
          <w:color w:val="auto"/>
        </w:rPr>
      </w:pPr>
      <w:r>
        <w:rPr>
          <w:rFonts w:ascii="Arial" w:cs="Arial" w:eastAsia="Arial" w:hAnsi="Arial"/>
          <w:sz w:val="16"/>
          <w:szCs w:val="16"/>
          <w:u w:val="single" w:color="auto"/>
          <w:color w:val="auto"/>
        </w:rPr>
        <w:t>NO STOCKHOLDER RIGHTS</w:t>
      </w:r>
      <w:r>
        <w:rPr>
          <w:rFonts w:ascii="Arial" w:cs="Arial" w:eastAsia="Arial" w:hAnsi="Arial"/>
          <w:sz w:val="16"/>
          <w:szCs w:val="16"/>
          <w:color w:val="auto"/>
        </w:rPr>
        <w:t xml:space="preserve">. Other than as provided in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or otherwise herein, the Holder, solely in such Holder’s capacity as a holder of this Warrant, shall not be entitled to vote or receive dividends or be deemed the holder of share capital of the Company for any purpose, nor shall anything contained in this Warrant be construed to confer upon the Holder, solely in such Holder’s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Exercise Shares which such Holder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pacing w:after="0" w:line="58" w:lineRule="exact"/>
        <w:rPr>
          <w:rFonts w:ascii="Arial" w:cs="Arial" w:eastAsia="Arial" w:hAnsi="Arial"/>
          <w:sz w:val="16"/>
          <w:szCs w:val="16"/>
          <w:color w:val="auto"/>
        </w:rPr>
      </w:pPr>
    </w:p>
    <w:p>
      <w:pPr>
        <w:ind w:right="20" w:firstLine="233"/>
        <w:spacing w:after="0" w:line="293" w:lineRule="auto"/>
        <w:tabs>
          <w:tab w:leader="none" w:pos="405" w:val="left"/>
        </w:tabs>
        <w:numPr>
          <w:ilvl w:val="1"/>
          <w:numId w:val="52"/>
        </w:numPr>
        <w:rPr>
          <w:rFonts w:ascii="Arial" w:cs="Arial" w:eastAsia="Arial" w:hAnsi="Arial"/>
          <w:sz w:val="16"/>
          <w:szCs w:val="16"/>
          <w:color w:val="auto"/>
        </w:rPr>
      </w:pPr>
      <w:r>
        <w:rPr>
          <w:rFonts w:ascii="Arial" w:cs="Arial" w:eastAsia="Arial" w:hAnsi="Arial"/>
          <w:sz w:val="16"/>
          <w:szCs w:val="16"/>
          <w:u w:val="single" w:color="auto"/>
          <w:color w:val="auto"/>
        </w:rPr>
        <w:t>TRANSFER OF WARRANT</w:t>
      </w:r>
      <w:r>
        <w:rPr>
          <w:rFonts w:ascii="Arial" w:cs="Arial" w:eastAsia="Arial" w:hAnsi="Arial"/>
          <w:sz w:val="16"/>
          <w:szCs w:val="16"/>
          <w:color w:val="auto"/>
        </w:rPr>
        <w:t>. Subject to compliance with any applicable laws, this Warrant and all rights hereunder are transferable, by the Holder in person or by duly authorized attorney, upon delivery of this Warrant and the form of assignment attached hereto to any transferee designated by Holder. If this Warrant is to be transferred, the Holder shall surrender this Warrant to the Company, whereupon the Company will forthwith issue and deliver upon the order of the Holder a new Warrant (in accordance with Section 2.3), registered as the Holder may request, representing the right to purchase the number of Exercise Shares being transferred by the Holder and, if less then the total number of Exercise Shares then underlying this Warrant is being transferred, a new Warrant (in accordance with Section 2.3) to the Holder representing the right to purchase the number of Exercise Shares not being transferred.</w:t>
      </w:r>
    </w:p>
    <w:p>
      <w:pPr>
        <w:spacing w:after="0" w:line="56" w:lineRule="exact"/>
        <w:rPr>
          <w:rFonts w:ascii="Arial" w:cs="Arial" w:eastAsia="Arial" w:hAnsi="Arial"/>
          <w:sz w:val="16"/>
          <w:szCs w:val="16"/>
          <w:color w:val="auto"/>
        </w:rPr>
      </w:pPr>
    </w:p>
    <w:p>
      <w:pPr>
        <w:jc w:val="both"/>
        <w:ind w:firstLine="233"/>
        <w:spacing w:after="0" w:line="264" w:lineRule="auto"/>
        <w:tabs>
          <w:tab w:leader="none" w:pos="405"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LOST, STOLEN, MUTILATED OR DESTROYED WARRANT</w:t>
      </w:r>
      <w:r>
        <w:rPr>
          <w:rFonts w:ascii="Arial" w:cs="Arial" w:eastAsia="Arial" w:hAnsi="Arial"/>
          <w:sz w:val="18"/>
          <w:szCs w:val="18"/>
          <w:color w:val="auto"/>
        </w:rPr>
        <w:t>. If this Warrant is lost, stolen, mutilated or destroyed, the Company may, on such terms as to reasonable bond and indemnity or otherwise as it may reasonably impose (which shall, in the case of a mutilated Warrant, include the surrender thereof), issue a new Warrant of like denomination and tenor as this Warrant so lost, stolen, mutilated or destroyed.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Exhibit 4.1</w:t>
      </w:r>
    </w:p>
    <w:p>
      <w:pPr>
        <w:spacing w:after="0" w:line="117" w:lineRule="exact"/>
        <w:rPr>
          <w:sz w:val="20"/>
          <w:szCs w:val="20"/>
          <w:color w:val="auto"/>
        </w:rPr>
      </w:pPr>
    </w:p>
    <w:p>
      <w:pPr>
        <w:ind w:right="20" w:firstLine="233"/>
        <w:spacing w:after="0" w:line="287" w:lineRule="auto"/>
        <w:tabs>
          <w:tab w:leader="none" w:pos="495"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DISPUTE</w:t>
      </w:r>
      <w:r>
        <w:rPr>
          <w:rFonts w:ascii="Arial" w:cs="Arial" w:eastAsia="Arial" w:hAnsi="Arial"/>
          <w:sz w:val="16"/>
          <w:szCs w:val="16"/>
          <w:color w:val="auto"/>
        </w:rPr>
        <w:t xml:space="preserve">. In the case of a dispute as to the determination of the Exercise Price or the arithmetic calculation of the Exercise Shares, the Company shall promptly issue to the Holder the number of Exercise Shares that are not disputed and resolve such dispute in accordance with this </w:t>
      </w:r>
      <w:r>
        <w:rPr>
          <w:rFonts w:ascii="Arial" w:cs="Arial" w:eastAsia="Arial" w:hAnsi="Arial"/>
          <w:sz w:val="16"/>
          <w:szCs w:val="16"/>
          <w:u w:val="single" w:color="auto"/>
          <w:color w:val="auto"/>
        </w:rPr>
        <w:t>Section 10</w:t>
      </w:r>
      <w:r>
        <w:rPr>
          <w:rFonts w:ascii="Arial" w:cs="Arial" w:eastAsia="Arial" w:hAnsi="Arial"/>
          <w:sz w:val="16"/>
          <w:szCs w:val="16"/>
          <w:color w:val="auto"/>
        </w:rPr>
        <w:t>. In the case of a dispute as to the determination of the Exercise Price or the arithmetic calculation of the Exercise Shares, the Company shall provide notice to the Holder of the disputed determinations or arithmetic calculations within two Trading Days of receipt of the Notice of Exercise giving rise to such dispute, as the case may be. If the Holder and the Company are unable to agree upon such determination or calculation of the Exercise Price or the Exercise Shares within three Trading Days of such disputed determination or arithmetic calculation being submitted to the Holder, then the Company shall, within two Trading Days provide submit (a) the disputed determination of the Exercise Price to an independent, reputable investment bank selected by the Company and approved by the Holder or (b) the disputed arithmetic calculation of the Exercise Shares to the Company’s independent, outside accountant. The Company shall cause at its expense the investment bank or the accountant, as the case may be, to perform the determinations or calculations and notify the Company and the Holder of the results no later than ten Trading Days from the time it receives the disputed determinations or calculations. Such investment bank’s or accountant’s determination or calculation, as the case may be, shall be binding upon all parties absent demonstrable error.</w:t>
      </w:r>
    </w:p>
    <w:p>
      <w:pPr>
        <w:spacing w:after="0" w:line="64" w:lineRule="exact"/>
        <w:rPr>
          <w:rFonts w:ascii="Arial" w:cs="Arial" w:eastAsia="Arial" w:hAnsi="Arial"/>
          <w:sz w:val="16"/>
          <w:szCs w:val="16"/>
          <w:color w:val="auto"/>
        </w:rPr>
      </w:pPr>
    </w:p>
    <w:p>
      <w:pPr>
        <w:ind w:firstLine="233"/>
        <w:spacing w:after="0" w:line="293" w:lineRule="auto"/>
        <w:tabs>
          <w:tab w:leader="none" w:pos="488"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NOTICES, ETC</w:t>
      </w:r>
      <w:r>
        <w:rPr>
          <w:rFonts w:ascii="Arial" w:cs="Arial" w:eastAsia="Arial" w:hAnsi="Arial"/>
          <w:sz w:val="16"/>
          <w:szCs w:val="16"/>
          <w:color w:val="auto"/>
        </w:rPr>
        <w:t>. All notices required or permitted hereunder shall be in writing and shall be deemed effectively given: (a) upon personal delivery to the party to be notified, (b) when sent by confirmed telex or facsimile if sent during normal business hours of the recipient, if not, then on the next Trading Day, (c) five days after having been sent by registered or certified mail, return receipt requested, postage prepaid, or (d) one day after deposit with a nationally recognized overnight courier, specifying next day delivery, with written verification of receipt. All communications shall be sent to the Company at the address listed on the signature page hereto and to Holder at the applicable address set forth on the applicable signature page to the Subscription Agreement or at such other address as the Company or Holder may designate by ten (10) days advance written notice to the other parties hereto.</w:t>
      </w:r>
    </w:p>
    <w:p>
      <w:pPr>
        <w:spacing w:after="0" w:line="56" w:lineRule="exact"/>
        <w:rPr>
          <w:rFonts w:ascii="Arial" w:cs="Arial" w:eastAsia="Arial" w:hAnsi="Arial"/>
          <w:sz w:val="16"/>
          <w:szCs w:val="16"/>
          <w:color w:val="auto"/>
        </w:rPr>
      </w:pPr>
    </w:p>
    <w:p>
      <w:pPr>
        <w:ind w:left="500" w:hanging="267"/>
        <w:spacing w:after="0"/>
        <w:tabs>
          <w:tab w:leader="none" w:pos="500"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ACCEPTANCE</w:t>
      </w:r>
      <w:r>
        <w:rPr>
          <w:rFonts w:ascii="Arial" w:cs="Arial" w:eastAsia="Arial" w:hAnsi="Arial"/>
          <w:sz w:val="17"/>
          <w:szCs w:val="17"/>
          <w:color w:val="auto"/>
        </w:rPr>
        <w:t>. Receipt of this Warrant by the Holder shall constitute acceptance of and agreement to all of the terms and conditions contained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herein.</w:t>
      </w:r>
    </w:p>
    <w:p>
      <w:pPr>
        <w:spacing w:after="0" w:line="102" w:lineRule="exact"/>
        <w:rPr>
          <w:rFonts w:ascii="Arial" w:cs="Arial" w:eastAsia="Arial" w:hAnsi="Arial"/>
          <w:sz w:val="17"/>
          <w:szCs w:val="17"/>
          <w:color w:val="auto"/>
        </w:rPr>
      </w:pPr>
    </w:p>
    <w:p>
      <w:pPr>
        <w:ind w:right="100" w:firstLine="233"/>
        <w:spacing w:after="0" w:line="272" w:lineRule="auto"/>
        <w:tabs>
          <w:tab w:leader="none" w:pos="495"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GOVERNING LAW; WAIVER OF JURY TRIAL</w:t>
      </w:r>
      <w:r>
        <w:rPr>
          <w:rFonts w:ascii="Arial" w:cs="Arial" w:eastAsia="Arial" w:hAnsi="Arial"/>
          <w:sz w:val="17"/>
          <w:szCs w:val="17"/>
          <w:color w:val="auto"/>
        </w:rPr>
        <w:t>. This Warrant shall be governed by, and construed in accordance with, the laws of the State of New York. The Holder and the Company hereby submit to the non-exclusive jurisdiction of the Federal and state courts in the Borough of Manhattan in The City of New York in any suit or proceeding arising out of or relating to this Agreement or the transactions contemplated thereby. The Holder and the Company irrevocably and unconditionally waive any objection to the laying of venue of any suit or proceeding arising out of or relating to this Warrant in Federal and state courts in the Borough of Manhattan in The City of New York and irrevocably and unconditionally waives and agrees not to plead or claim in any such court that any such suit or proceeding in any such court has been brought in an inconvenient forum. EACH OF THE COMPANY AND THE HOLDER HEREBY WAIVES ALL RIGHTS TO A TRIAL BY JURY.</w:t>
      </w:r>
    </w:p>
    <w:p>
      <w:pPr>
        <w:spacing w:after="0" w:line="69" w:lineRule="exact"/>
        <w:rPr>
          <w:rFonts w:ascii="Arial" w:cs="Arial" w:eastAsia="Arial" w:hAnsi="Arial"/>
          <w:sz w:val="17"/>
          <w:szCs w:val="17"/>
          <w:color w:val="auto"/>
        </w:rPr>
      </w:pPr>
    </w:p>
    <w:p>
      <w:pPr>
        <w:ind w:right="180" w:firstLine="233"/>
        <w:spacing w:after="0" w:line="302" w:lineRule="auto"/>
        <w:tabs>
          <w:tab w:leader="none" w:pos="495"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AMENDMENT OR WAIVER</w:t>
      </w:r>
      <w:r>
        <w:rPr>
          <w:rFonts w:ascii="Arial" w:cs="Arial" w:eastAsia="Arial" w:hAnsi="Arial"/>
          <w:sz w:val="16"/>
          <w:szCs w:val="16"/>
          <w:color w:val="auto"/>
        </w:rPr>
        <w:t>. Any term of this Warrant may be amended or waived (either generally or in a particular instance and either retroactively or prospectively) with the written consent of the Company and the Holder. The Company shall give prompt written notice to the Holder of any amendment hereof or waiver hereunder that was effected without the Holder’s written consent. No waivers of any term, condition or provision of this Warrant, in any one or more instances, shall be deemed to be, or construed as, a further or continuing waiver of any such term, condition or provision.</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t>Exhibit 4.1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Company has caused this Warrant to be executed by its duly authorized officer as of November 12, 2008.</w:t>
      </w:r>
    </w:p>
    <w:p>
      <w:pPr>
        <w:spacing w:after="0" w:line="22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STEMCELLS, INC.</w:t>
      </w:r>
    </w:p>
    <w:p>
      <w:pPr>
        <w:spacing w:after="0" w:line="229" w:lineRule="exact"/>
        <w:rPr>
          <w:sz w:val="20"/>
          <w:szCs w:val="20"/>
          <w:color w:val="auto"/>
        </w:rPr>
      </w:pPr>
    </w:p>
    <w:p>
      <w:pPr>
        <w:jc w:val="center"/>
        <w:ind w:right="280"/>
        <w:spacing w:after="0"/>
        <w:tabs>
          <w:tab w:leader="none" w:pos="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3446145</wp:posOffset>
            </wp:positionH>
            <wp:positionV relativeFrom="paragraph">
              <wp:posOffset>-121920</wp:posOffset>
            </wp:positionV>
            <wp:extent cx="24352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3155 Porter Drive</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Palo Alto, CA 94304</w:t>
      </w:r>
    </w:p>
    <w:p>
      <w:pPr>
        <w:spacing w:after="0" w:line="184"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t>Exhibit 4.1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EXERCISE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STEMCELLS, INC.</w:t>
      </w:r>
    </w:p>
    <w:p>
      <w:pPr>
        <w:spacing w:after="0" w:line="113" w:lineRule="exact"/>
        <w:rPr>
          <w:sz w:val="20"/>
          <w:szCs w:val="20"/>
          <w:color w:val="auto"/>
        </w:rPr>
      </w:pPr>
    </w:p>
    <w:p>
      <w:pPr>
        <w:ind w:right="40" w:firstLine="233"/>
        <w:spacing w:after="0" w:line="266" w:lineRule="auto"/>
        <w:tabs>
          <w:tab w:leader="none" w:pos="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 The undersigned registered holder hereby elects to purchase [ ] shares of the common stock, par value $0.01 (the “</w:t>
      </w:r>
      <w:r>
        <w:rPr>
          <w:rFonts w:ascii="Arial" w:cs="Arial" w:eastAsia="Arial" w:hAnsi="Arial"/>
          <w:sz w:val="18"/>
          <w:szCs w:val="18"/>
          <w:b w:val="1"/>
          <w:bCs w:val="1"/>
          <w:color w:val="auto"/>
        </w:rPr>
        <w:t>Common Stock</w:t>
      </w:r>
      <w:r>
        <w:rPr>
          <w:rFonts w:ascii="Arial" w:cs="Arial" w:eastAsia="Arial" w:hAnsi="Arial"/>
          <w:sz w:val="18"/>
          <w:szCs w:val="18"/>
          <w:color w:val="auto"/>
        </w:rPr>
        <w:t>”), of STEMCELLS, INC.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pursuant to the terms of the attached Warrant, and tenders herewith payment of the exercise price in full, together with all applicable transfer taxes, if any, subject to the limitations set forth in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of the Warrant.</w:t>
      </w:r>
    </w:p>
    <w:p>
      <w:pPr>
        <w:spacing w:after="0" w:line="72" w:lineRule="exact"/>
        <w:rPr>
          <w:sz w:val="20"/>
          <w:szCs w:val="20"/>
          <w:color w:val="auto"/>
        </w:rPr>
      </w:pPr>
    </w:p>
    <w:p>
      <w:pPr>
        <w:ind w:right="220" w:firstLine="233"/>
        <w:spacing w:after="0" w:line="277" w:lineRule="auto"/>
        <w:tabs>
          <w:tab w:leader="none" w:pos="375"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 The undersigned hereby elects to purchase [ ] shares of Common Stock of the Company pursuant to the terms of the net exercise provisions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of the attached Warrant, and shall tender payment of all applicable transfer taxes, if any.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 Please issue the certificate for shares of Common Stock in the name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203835</wp:posOffset>
            </wp:positionV>
            <wp:extent cx="18783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194945</wp:posOffset>
            </wp:positionV>
            <wp:extent cx="18783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Social Security 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194945</wp:posOffset>
            </wp:positionV>
            <wp:extent cx="18783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203835</wp:posOffset>
            </wp:positionV>
            <wp:extent cx="18783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City State Zip Code</w:t>
      </w:r>
    </w:p>
    <w:p>
      <w:pPr>
        <w:spacing w:after="0" w:line="117" w:lineRule="exact"/>
        <w:rPr>
          <w:sz w:val="20"/>
          <w:szCs w:val="20"/>
          <w:color w:val="auto"/>
        </w:rPr>
      </w:pPr>
    </w:p>
    <w:p>
      <w:pPr>
        <w:ind w:right="140" w:firstLine="233"/>
        <w:spacing w:after="0" w:line="277" w:lineRule="auto"/>
        <w:tabs>
          <w:tab w:leader="none" w:pos="4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such number of shares shall not be all the shares purchasable upon the exercise of the Warrants evidenced by this Warrant, a new warrant certificate for the balance of such Warrants remaining unexercised shall be registered in the name of and delivered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382905</wp:posOffset>
            </wp:positionV>
            <wp:extent cx="18783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194945</wp:posOffset>
            </wp:positionV>
            <wp:extent cx="18783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Social Security 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203835</wp:posOffset>
            </wp:positionV>
            <wp:extent cx="18783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Street Address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203835</wp:posOffset>
            </wp:positionV>
            <wp:extent cx="18783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City State Zip Code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-10160</wp:posOffset>
            </wp:positionV>
            <wp:extent cx="11430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9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w:t>
      </w:r>
    </w:p>
    <w:p>
      <w:pPr>
        <w:spacing w:after="0" w:line="25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-130175</wp:posOffset>
            </wp:positionV>
            <wp:extent cx="222123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-130175</wp:posOffset>
            </wp:positionV>
            <wp:extent cx="22212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Exhibit 4.1</w:t>
      </w:r>
    </w:p>
    <w:p>
      <w:pPr>
        <w:spacing w:after="0" w:line="32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ASSIGNMENT FORM</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 assign the foregoing Warrant, execute this form and supply required information. Do not use this form to purchase shares.)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VALUE RECEIVED, the foregoing Warrant and all rights evidenced thereby are hereby assigned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14605</wp:posOffset>
            </wp:positionV>
            <wp:extent cx="349885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(Please Print)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14605</wp:posOffset>
            </wp:positionV>
            <wp:extent cx="34988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(Please Print)</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Dated:</w:t>
        <w:tab/>
        <w:t>, 200[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14605</wp:posOffset>
            </wp:positionV>
            <wp:extent cx="442531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42531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14605</wp:posOffset>
            </wp:positionV>
            <wp:extent cx="442531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425315" cy="8890"/>
                    </a:xfrm>
                    <a:prstGeom prst="rect">
                      <a:avLst/>
                    </a:prstGeom>
                    <a:noFill/>
                  </pic:spPr>
                </pic:pic>
              </a:graphicData>
            </a:graphic>
          </wp:anchor>
        </w:drawing>
      </w:r>
    </w:p>
    <w:p>
      <w:pPr>
        <w:spacing w:after="0" w:line="31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NOTE: The signature to this Assignment Form must correspond with the name as it appears on the face of the Warrant, without alteration or enlargement or any change whatever. Officers of corporations and those acting in a fiduciary or other representative capacity should file proper evidence of authority to assign the foregoing Warrant.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93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November 12,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3155 Porter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Palo Alto, California 94394</w:t>
      </w:r>
    </w:p>
    <w:p>
      <w:pPr>
        <w:spacing w:after="0" w:line="211" w:lineRule="exact"/>
        <w:rPr>
          <w:sz w:val="20"/>
          <w:szCs w:val="20"/>
          <w:color w:val="auto"/>
        </w:rPr>
      </w:pPr>
    </w:p>
    <w:p>
      <w:pPr>
        <w:ind w:left="1040" w:right="780" w:hanging="479"/>
        <w:spacing w:after="0" w:line="277" w:lineRule="auto"/>
        <w:tabs>
          <w:tab w:leader="none" w:pos="1020" w:val="left"/>
        </w:tabs>
        <w:rPr>
          <w:sz w:val="20"/>
          <w:szCs w:val="20"/>
          <w:color w:val="auto"/>
        </w:rPr>
      </w:pPr>
      <w:r>
        <w:rPr>
          <w:rFonts w:ascii="Arial" w:cs="Arial" w:eastAsia="Arial" w:hAnsi="Arial"/>
          <w:sz w:val="18"/>
          <w:szCs w:val="18"/>
          <w:color w:val="auto"/>
        </w:rPr>
        <w:t>Re:</w:t>
        <w:tab/>
        <w:t>Registration Statement on Form S-3 (Registration No. 333-151891), initially filed on June 24, 2008 with the Securities and Exchange Commission (the “Commission”) and declared effective on July 18, 2008.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This opinion is furnished to you in connection with the above-referenced registration statement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base prospectus dated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July 18, 2008 (the “</w:t>
      </w:r>
      <w:r>
        <w:rPr>
          <w:rFonts w:ascii="Arial" w:cs="Arial" w:eastAsia="Arial" w:hAnsi="Arial"/>
          <w:sz w:val="16"/>
          <w:szCs w:val="16"/>
          <w:u w:val="single" w:color="auto"/>
          <w:color w:val="auto"/>
        </w:rPr>
        <w:t>Base Prospectus</w:t>
      </w:r>
      <w:r>
        <w:rPr>
          <w:rFonts w:ascii="Arial" w:cs="Arial" w:eastAsia="Arial" w:hAnsi="Arial"/>
          <w:sz w:val="16"/>
          <w:szCs w:val="16"/>
          <w:color w:val="auto"/>
        </w:rPr>
        <w:t>”) and the prospectus supplement dated November 12, 2008 (together with the Base Prospectus, the “</w:t>
      </w:r>
      <w:r>
        <w:rPr>
          <w:rFonts w:ascii="Arial" w:cs="Arial" w:eastAsia="Arial" w:hAnsi="Arial"/>
          <w:sz w:val="16"/>
          <w:szCs w:val="16"/>
          <w:u w:val="single" w:color="auto"/>
          <w:color w:val="auto"/>
        </w:rPr>
        <w:t>Prospectus</w:t>
      </w:r>
      <w:r>
        <w:rPr>
          <w:rFonts w:ascii="Arial" w:cs="Arial" w:eastAsia="Arial" w:hAnsi="Arial"/>
          <w:sz w:val="16"/>
          <w:szCs w:val="16"/>
          <w:color w:val="auto"/>
        </w:rPr>
        <w: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Prospectus relates to the offering by StemCells, Inc. (the “</w:t>
      </w:r>
      <w:r>
        <w:rPr>
          <w:rFonts w:ascii="Arial" w:cs="Arial" w:eastAsia="Arial" w:hAnsi="Arial"/>
          <w:sz w:val="16"/>
          <w:szCs w:val="16"/>
          <w:u w:val="single" w:color="auto"/>
          <w:color w:val="auto"/>
        </w:rPr>
        <w:t>Company</w:t>
      </w:r>
      <w:r>
        <w:rPr>
          <w:rFonts w:ascii="Arial" w:cs="Arial" w:eastAsia="Arial" w:hAnsi="Arial"/>
          <w:sz w:val="16"/>
          <w:szCs w:val="16"/>
          <w:color w:val="auto"/>
        </w:rPr>
        <w:t>”) of (i) 13,793,104 shares (the “</w:t>
      </w:r>
      <w:r>
        <w:rPr>
          <w:rFonts w:ascii="Arial" w:cs="Arial" w:eastAsia="Arial" w:hAnsi="Arial"/>
          <w:sz w:val="16"/>
          <w:szCs w:val="16"/>
          <w:u w:val="single" w:color="auto"/>
          <w:color w:val="auto"/>
        </w:rPr>
        <w:t>Shares</w:t>
      </w:r>
      <w:r>
        <w:rPr>
          <w:rFonts w:ascii="Arial" w:cs="Arial" w:eastAsia="Arial" w:hAnsi="Arial"/>
          <w:sz w:val="16"/>
          <w:szCs w:val="16"/>
          <w:color w:val="auto"/>
        </w:rPr>
        <w:t>”) of the Company’s common stock, par value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and (ii) warrants (the “</w:t>
      </w:r>
      <w:r>
        <w:rPr>
          <w:rFonts w:ascii="Arial" w:cs="Arial" w:eastAsia="Arial" w:hAnsi="Arial"/>
          <w:sz w:val="16"/>
          <w:szCs w:val="16"/>
          <w:u w:val="single" w:color="auto"/>
          <w:color w:val="auto"/>
        </w:rPr>
        <w:t>Warrants</w:t>
      </w:r>
      <w:r>
        <w:rPr>
          <w:rFonts w:ascii="Arial" w:cs="Arial" w:eastAsia="Arial" w:hAnsi="Arial"/>
          <w:sz w:val="16"/>
          <w:szCs w:val="16"/>
          <w:color w:val="auto"/>
        </w:rPr>
        <w:t>”) to purchase 10,344,828 shares of the Common Stock (the “</w:t>
      </w:r>
      <w:r>
        <w:rPr>
          <w:rFonts w:ascii="Arial" w:cs="Arial" w:eastAsia="Arial" w:hAnsi="Arial"/>
          <w:sz w:val="16"/>
          <w:szCs w:val="16"/>
          <w:u w:val="single" w:color="auto"/>
          <w:color w:val="auto"/>
        </w:rPr>
        <w:t>Warrant Shares</w:t>
      </w:r>
      <w:r>
        <w:rPr>
          <w:rFonts w:ascii="Arial" w:cs="Arial" w:eastAsia="Arial" w:hAnsi="Arial"/>
          <w:sz w:val="16"/>
          <w:szCs w:val="16"/>
          <w:color w:val="auto"/>
        </w:rPr>
        <w:t>”), which</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Shares, Warrants and Warrant Shares are covered by the Registration Statement. We understand that the Shares, Warrants and Warrant Shares are to be offered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and sold in the manner described in the Prospectus.</w:t>
      </w:r>
    </w:p>
    <w:p>
      <w:pPr>
        <w:spacing w:after="0" w:line="10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have acted as counsel for the Company in connection with the issuance of the Shares, Warrants and Warrant Shares. For purposes of this opinion, we have examined and relied upon such documents, records, certificates and other instruments as we have deemed necessary.</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opinions expressed below are limited to the Delaware General Corporation Law, including the applicable provisions of the Delaware Constitution and the reported cases interpreting those laws.</w:t>
      </w:r>
    </w:p>
    <w:p>
      <w:pPr>
        <w:spacing w:after="0" w:line="6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Based upon and subject to the foregoing, we are of the opinion that (i) the Shares, when sold as described in the Prospectus, will be duly authorized, validly issued, fully paid and non-assessable, (ii) provided that the Warrants have been duly executed and delivered by the Company and duly delivered to the purchasers thereof against payment therefor, then the Warrants, when issued and sold as described in the Prospectus, will be valid and legally binding obligations of the Company, enforceable against the Company in accordance with their terms, except as enforcement thereof may be limited by bankruptcy, insolvency, reorganization, moratorium or other similar laws relating to or affecting creditors’ rights generally and by general equitable principles (regardless of whether such enforceability is considered 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3" w:name="page54"/>
    <w:bookmarkEnd w:id="53"/>
    <w:p>
      <w:pPr>
        <w:spacing w:after="0"/>
        <w:tabs>
          <w:tab w:leader="none" w:pos="5560" w:val="left"/>
          <w:tab w:leader="none" w:pos="9960" w:val="left"/>
        </w:tabs>
        <w:rPr>
          <w:sz w:val="20"/>
          <w:szCs w:val="20"/>
          <w:color w:val="auto"/>
        </w:rPr>
      </w:pPr>
      <w:r>
        <w:rPr>
          <w:rFonts w:ascii="Arial" w:cs="Arial" w:eastAsia="Arial" w:hAnsi="Arial"/>
          <w:sz w:val="18"/>
          <w:szCs w:val="18"/>
          <w:color w:val="auto"/>
        </w:rPr>
        <w:t>StemCells, Inc.</w:t>
      </w:r>
      <w:r>
        <w:rPr>
          <w:sz w:val="20"/>
          <w:szCs w:val="20"/>
          <w:color w:val="auto"/>
        </w:rPr>
        <w:tab/>
      </w:r>
      <w:r>
        <w:rPr>
          <w:rFonts w:ascii="Arial" w:cs="Arial" w:eastAsia="Arial" w:hAnsi="Arial"/>
          <w:sz w:val="18"/>
          <w:szCs w:val="18"/>
          <w:color w:val="auto"/>
        </w:rPr>
        <w:t>- 2 -</w:t>
      </w:r>
      <w:r>
        <w:rPr>
          <w:sz w:val="20"/>
          <w:szCs w:val="20"/>
          <w:color w:val="auto"/>
        </w:rPr>
        <w:tab/>
      </w:r>
      <w:r>
        <w:rPr>
          <w:rFonts w:ascii="Arial" w:cs="Arial" w:eastAsia="Arial" w:hAnsi="Arial"/>
          <w:sz w:val="16"/>
          <w:szCs w:val="16"/>
          <w:color w:val="auto"/>
        </w:rPr>
        <w:t>November 12, 2008</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proceeding at law or in equity) and implied covenants of good faith and fair dealing, and (iii) the Warrant Shares, when issued and sold as described in the Prospectus, will be duly authorized, validly issued, fully paid and non-assessable.</w:t>
      </w:r>
    </w:p>
    <w:p>
      <w:pPr>
        <w:spacing w:after="0" w:line="62"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hereby consent to your filing this opinion as an exhibit to a Current Report on Form 8-K to be incorporated by reference in the Registration Statement and to the use of our name under the caption “Legal Matters” in the Prospectus contained therein. Our consent shall not be deemed an admission that we are experts whose consent is required under Section 7 of the Securities Act of 1933, as amended, or the rules and regulations of the Commission thereunder.</w:t>
      </w:r>
    </w:p>
    <w:p>
      <w:pPr>
        <w:spacing w:after="0" w:line="3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This opinion may be used only in connection with the offer and sale of the Shares, Warrants and Warrant Shares while the Registration Statement remains effective.</w:t>
      </w:r>
    </w:p>
    <w:p>
      <w:pPr>
        <w:spacing w:after="0" w:line="6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Ropes &amp; Gray LLP</w:t>
      </w:r>
    </w:p>
    <w:p>
      <w:pPr>
        <w:spacing w:after="0" w:line="1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Ropes &amp; Gray LLP</w:t>
      </w:r>
    </w:p>
    <w:p>
      <w:pPr>
        <w:sectPr>
          <w:pgSz w:w="11900" w:h="16838" w:orient="portrait"/>
          <w:cols w:equalWidth="0" w:num="1">
            <w:col w:w="11420"/>
          </w:cols>
          <w:pgMar w:left="240" w:top="1152"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t>Exhibit 99.1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Subscription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3155 Porter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Palo Alto, CA 94304</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spacing w:after="0"/>
        <w:tabs>
          <w:tab w:leader="none" w:pos="3120" w:val="left"/>
        </w:tabs>
        <w:rPr>
          <w:sz w:val="20"/>
          <w:szCs w:val="20"/>
          <w:color w:val="auto"/>
        </w:rPr>
      </w:pPr>
      <w:r>
        <w:rPr>
          <w:rFonts w:ascii="Arial" w:cs="Arial" w:eastAsia="Arial" w:hAnsi="Arial"/>
          <w:sz w:val="18"/>
          <w:szCs w:val="18"/>
          <w:color w:val="auto"/>
        </w:rPr>
        <w:t>The undersigned,</w:t>
      </w:r>
      <w:r>
        <w:rPr>
          <w:sz w:val="20"/>
          <w:szCs w:val="20"/>
          <w:color w:val="auto"/>
        </w:rPr>
        <w:tab/>
      </w:r>
      <w:r>
        <w:rPr>
          <w:rFonts w:ascii="Arial" w:cs="Arial" w:eastAsia="Arial" w:hAnsi="Arial"/>
          <w:sz w:val="16"/>
          <w:szCs w:val="16"/>
          <w:color w:val="auto"/>
        </w:rPr>
        <w:t>(the “</w:t>
      </w:r>
      <w:r>
        <w:rPr>
          <w:rFonts w:ascii="Arial" w:cs="Arial" w:eastAsia="Arial" w:hAnsi="Arial"/>
          <w:sz w:val="16"/>
          <w:szCs w:val="16"/>
          <w:u w:val="single" w:color="auto"/>
          <w:color w:val="auto"/>
        </w:rPr>
        <w:t>Investor</w:t>
      </w:r>
      <w:r>
        <w:rPr>
          <w:rFonts w:ascii="Arial" w:cs="Arial" w:eastAsia="Arial" w:hAnsi="Arial"/>
          <w:sz w:val="16"/>
          <w:szCs w:val="16"/>
          <w:color w:val="auto"/>
        </w:rPr>
        <w:t>”), hereby confirms its agreement with you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827405</wp:posOffset>
            </wp:positionH>
            <wp:positionV relativeFrom="paragraph">
              <wp:posOffset>-10160</wp:posOffset>
            </wp:positionV>
            <wp:extent cx="11430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97" w:lineRule="exact"/>
        <w:rPr>
          <w:sz w:val="20"/>
          <w:szCs w:val="20"/>
          <w:color w:val="auto"/>
        </w:rPr>
      </w:pPr>
    </w:p>
    <w:p>
      <w:pPr>
        <w:ind w:right="280" w:firstLine="458"/>
        <w:spacing w:after="0" w:line="277" w:lineRule="auto"/>
        <w:tabs>
          <w:tab w:leader="none" w:pos="63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This Subscription Agreement (the “</w:t>
      </w:r>
      <w:r>
        <w:rPr>
          <w:rFonts w:ascii="Arial" w:cs="Arial" w:eastAsia="Arial" w:hAnsi="Arial"/>
          <w:sz w:val="18"/>
          <w:szCs w:val="18"/>
          <w:u w:val="single" w:color="auto"/>
          <w:color w:val="auto"/>
        </w:rPr>
        <w:t>Subscription Agreement</w:t>
      </w:r>
      <w:r>
        <w:rPr>
          <w:rFonts w:ascii="Arial" w:cs="Arial" w:eastAsia="Arial" w:hAnsi="Arial"/>
          <w:sz w:val="18"/>
          <w:szCs w:val="18"/>
          <w:color w:val="auto"/>
        </w:rPr>
        <w:t>”) is made as of November 12, 2008 between StemCells,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Investor.</w:t>
      </w:r>
    </w:p>
    <w:p>
      <w:pPr>
        <w:spacing w:after="0" w:line="62" w:lineRule="exact"/>
        <w:rPr>
          <w:rFonts w:ascii="Arial" w:cs="Arial" w:eastAsia="Arial" w:hAnsi="Arial"/>
          <w:sz w:val="18"/>
          <w:szCs w:val="18"/>
          <w:color w:val="auto"/>
        </w:rPr>
      </w:pPr>
    </w:p>
    <w:p>
      <w:pPr>
        <w:ind w:right="220" w:firstLine="458"/>
        <w:spacing w:after="0" w:line="297" w:lineRule="auto"/>
        <w:tabs>
          <w:tab w:leader="none" w:pos="63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Company and the Investor have agreed that the Investor will purchase from the Company and the Company will issue and sell to the Investor 3,448,276 shares (the “</w:t>
      </w:r>
      <w:r>
        <w:rPr>
          <w:rFonts w:ascii="Arial" w:cs="Arial" w:eastAsia="Arial" w:hAnsi="Arial"/>
          <w:sz w:val="16"/>
          <w:szCs w:val="16"/>
          <w:u w:val="single" w:color="auto"/>
          <w:color w:val="auto"/>
        </w:rPr>
        <w:t>Shares</w:t>
      </w:r>
      <w:r>
        <w:rPr>
          <w:rFonts w:ascii="Arial" w:cs="Arial" w:eastAsia="Arial" w:hAnsi="Arial"/>
          <w:sz w:val="16"/>
          <w:szCs w:val="16"/>
          <w:color w:val="auto"/>
        </w:rPr>
        <w:t>”) of common stock of the Company (the “</w:t>
      </w:r>
      <w:r>
        <w:rPr>
          <w:rFonts w:ascii="Arial" w:cs="Arial" w:eastAsia="Arial" w:hAnsi="Arial"/>
          <w:sz w:val="16"/>
          <w:szCs w:val="16"/>
          <w:u w:val="single" w:color="auto"/>
          <w:color w:val="auto"/>
        </w:rPr>
        <w:t>Common Stock</w:t>
      </w:r>
      <w:r>
        <w:rPr>
          <w:rFonts w:ascii="Arial" w:cs="Arial" w:eastAsia="Arial" w:hAnsi="Arial"/>
          <w:sz w:val="16"/>
          <w:szCs w:val="16"/>
          <w:color w:val="auto"/>
        </w:rPr>
        <w:t>”), at a purchase price of $1.45 per Share, or an aggregate purchase price of $5,000,000.20 (the “</w:t>
      </w:r>
      <w:r>
        <w:rPr>
          <w:rFonts w:ascii="Arial" w:cs="Arial" w:eastAsia="Arial" w:hAnsi="Arial"/>
          <w:sz w:val="16"/>
          <w:szCs w:val="16"/>
          <w:u w:val="single" w:color="auto"/>
          <w:color w:val="auto"/>
        </w:rPr>
        <w:t>Purchase Price</w:t>
      </w:r>
      <w:r>
        <w:rPr>
          <w:rFonts w:ascii="Arial" w:cs="Arial" w:eastAsia="Arial" w:hAnsi="Arial"/>
          <w:sz w:val="16"/>
          <w:szCs w:val="16"/>
          <w:color w:val="auto"/>
        </w:rPr>
        <w:t xml:space="preserve">”). In addition, the Company will issue and sell to each Investor a warrant to purchase 2,586,207 shares of the Company’s Common Stock issued to such Investor, in substantially the form attached hereto as </w:t>
      </w:r>
      <w:r>
        <w:rPr>
          <w:rFonts w:ascii="Arial" w:cs="Arial" w:eastAsia="Arial" w:hAnsi="Arial"/>
          <w:sz w:val="16"/>
          <w:szCs w:val="16"/>
          <w:b w:val="1"/>
          <w:bCs w:val="1"/>
          <w:color w:val="auto"/>
        </w:rPr>
        <w:t>Annex I</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Warrants</w:t>
      </w:r>
      <w:r>
        <w:rPr>
          <w:rFonts w:ascii="Arial" w:cs="Arial" w:eastAsia="Arial" w:hAnsi="Arial"/>
          <w:sz w:val="16"/>
          <w:szCs w:val="16"/>
          <w:color w:val="auto"/>
        </w:rPr>
        <w:t>”). The Shares and the Warrants are collectively referred to herein as the “</w:t>
      </w:r>
      <w:r>
        <w:rPr>
          <w:rFonts w:ascii="Arial" w:cs="Arial" w:eastAsia="Arial" w:hAnsi="Arial"/>
          <w:sz w:val="16"/>
          <w:szCs w:val="16"/>
          <w:u w:val="single" w:color="auto"/>
          <w:color w:val="auto"/>
        </w:rPr>
        <w:t>Securities</w:t>
      </w:r>
      <w:r>
        <w:rPr>
          <w:rFonts w:ascii="Arial" w:cs="Arial" w:eastAsia="Arial" w:hAnsi="Arial"/>
          <w:sz w:val="16"/>
          <w:szCs w:val="16"/>
          <w:color w:val="auto"/>
        </w:rPr>
        <w:t>.” The Investor acknowledges that the offering of the Securities is not a firm commitment underwriting.</w:t>
      </w:r>
    </w:p>
    <w:p>
      <w:pPr>
        <w:spacing w:after="0" w:line="50" w:lineRule="exact"/>
        <w:rPr>
          <w:rFonts w:ascii="Arial" w:cs="Arial" w:eastAsia="Arial" w:hAnsi="Arial"/>
          <w:sz w:val="16"/>
          <w:szCs w:val="16"/>
          <w:color w:val="auto"/>
        </w:rPr>
      </w:pPr>
    </w:p>
    <w:p>
      <w:pPr>
        <w:ind w:right="40" w:firstLine="458"/>
        <w:spacing w:after="0" w:line="271" w:lineRule="auto"/>
        <w:tabs>
          <w:tab w:leader="none" w:pos="63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offering and sale of the Securities (the “</w:t>
      </w:r>
      <w:r>
        <w:rPr>
          <w:rFonts w:ascii="Arial" w:cs="Arial" w:eastAsia="Arial" w:hAnsi="Arial"/>
          <w:sz w:val="17"/>
          <w:szCs w:val="17"/>
          <w:u w:val="single" w:color="auto"/>
          <w:color w:val="auto"/>
        </w:rPr>
        <w:t>Offering</w:t>
      </w:r>
      <w:r>
        <w:rPr>
          <w:rFonts w:ascii="Arial" w:cs="Arial" w:eastAsia="Arial" w:hAnsi="Arial"/>
          <w:sz w:val="17"/>
          <w:szCs w:val="17"/>
          <w:color w:val="auto"/>
        </w:rPr>
        <w:t>”) are being made pursuant to (i) an effective Registration Statement on Form S-3 (including the Prospectus contained therein dated July 18, 2008 (the “</w:t>
      </w:r>
      <w:r>
        <w:rPr>
          <w:rFonts w:ascii="Arial" w:cs="Arial" w:eastAsia="Arial" w:hAnsi="Arial"/>
          <w:sz w:val="17"/>
          <w:szCs w:val="17"/>
          <w:u w:val="single" w:color="auto"/>
          <w:color w:val="auto"/>
        </w:rPr>
        <w:t>Basic Prospectus</w:t>
      </w:r>
      <w:r>
        <w:rPr>
          <w:rFonts w:ascii="Arial" w:cs="Arial" w:eastAsia="Arial" w:hAnsi="Arial"/>
          <w:sz w:val="17"/>
          <w:szCs w:val="17"/>
          <w:color w:val="auto"/>
        </w:rPr>
        <w:t>”),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filed by the Company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(ii) if applicable, certain “free writing prospectuses” (as that term is defined in Rule 405 under the Securities Act of 1933, as amended (the “</w:t>
      </w:r>
      <w:r>
        <w:rPr>
          <w:rFonts w:ascii="Arial" w:cs="Arial" w:eastAsia="Arial" w:hAnsi="Arial"/>
          <w:sz w:val="17"/>
          <w:szCs w:val="17"/>
          <w:u w:val="single" w:color="auto"/>
          <w:color w:val="auto"/>
        </w:rPr>
        <w:t>Act</w:t>
      </w:r>
      <w:r>
        <w:rPr>
          <w:rFonts w:ascii="Arial" w:cs="Arial" w:eastAsia="Arial" w:hAnsi="Arial"/>
          <w:sz w:val="17"/>
          <w:szCs w:val="17"/>
          <w:color w:val="auto"/>
        </w:rPr>
        <w:t>”)), that have been or will be filed with the Commission and delivered to the Investor on or prior to the date hereof, and (iii) a Prospectus Supplement (the “</w:t>
      </w:r>
      <w:r>
        <w:rPr>
          <w:rFonts w:ascii="Arial" w:cs="Arial" w:eastAsia="Arial" w:hAnsi="Arial"/>
          <w:sz w:val="17"/>
          <w:szCs w:val="17"/>
          <w:u w:val="single" w:color="auto"/>
          <w:color w:val="auto"/>
        </w:rPr>
        <w:t>Prospectus Supplement</w:t>
      </w:r>
      <w:r>
        <w:rPr>
          <w:rFonts w:ascii="Arial" w:cs="Arial" w:eastAsia="Arial" w:hAnsi="Arial"/>
          <w:sz w:val="17"/>
          <w:szCs w:val="17"/>
          <w:color w:val="auto"/>
        </w:rPr>
        <w:t>”), containing certain supplemental information regarding the Securities, the Company and the terms of the Offering that will be filed with the Commission and delivered to the Investor along with the Company’s counterpart to this Subscription Agreement (or made available to the Investor by the filing by the Company of an electronic version thereof with the Commission). The Registration Statement also covers the issuance of the Shares to be issued on exercise of the Warrants.</w:t>
      </w:r>
    </w:p>
    <w:p>
      <w:pPr>
        <w:spacing w:after="0" w:line="70" w:lineRule="exact"/>
        <w:rPr>
          <w:rFonts w:ascii="Arial" w:cs="Arial" w:eastAsia="Arial" w:hAnsi="Arial"/>
          <w:sz w:val="17"/>
          <w:szCs w:val="17"/>
          <w:color w:val="auto"/>
        </w:rPr>
      </w:pPr>
    </w:p>
    <w:p>
      <w:pPr>
        <w:jc w:val="both"/>
        <w:ind w:right="400" w:firstLine="458"/>
        <w:spacing w:after="0" w:line="312" w:lineRule="auto"/>
        <w:tabs>
          <w:tab w:leader="none" w:pos="63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completion of the purchase and sale of the Securities (the “</w:t>
      </w:r>
      <w:r>
        <w:rPr>
          <w:rFonts w:ascii="Arial" w:cs="Arial" w:eastAsia="Arial" w:hAnsi="Arial"/>
          <w:sz w:val="16"/>
          <w:szCs w:val="16"/>
          <w:u w:val="single" w:color="auto"/>
          <w:color w:val="auto"/>
        </w:rPr>
        <w:t>Closing</w:t>
      </w:r>
      <w:r>
        <w:rPr>
          <w:rFonts w:ascii="Arial" w:cs="Arial" w:eastAsia="Arial" w:hAnsi="Arial"/>
          <w:sz w:val="16"/>
          <w:szCs w:val="16"/>
          <w:color w:val="auto"/>
        </w:rPr>
        <w:t>”) shall occur on November 17, 2008. At the Closing, the Company shall deliver to the Investor, using customary book-entry procedures, the number of Securities as set forth above in Section 2, and the Investor shall deliver, or cause to be delivered, to the Company by Federal Funds wire transfer the full amount of the Purchase Price for the Securities being purchased.</w:t>
      </w:r>
    </w:p>
    <w:p>
      <w:pPr>
        <w:spacing w:after="0" w:line="38" w:lineRule="exact"/>
        <w:rPr>
          <w:rFonts w:ascii="Arial" w:cs="Arial" w:eastAsia="Arial" w:hAnsi="Arial"/>
          <w:sz w:val="16"/>
          <w:szCs w:val="16"/>
          <w:color w:val="auto"/>
        </w:rPr>
      </w:pPr>
    </w:p>
    <w:p>
      <w:pPr>
        <w:ind w:right="360" w:firstLine="458"/>
        <w:spacing w:after="0" w:line="277" w:lineRule="auto"/>
        <w:tabs>
          <w:tab w:leader="none" w:pos="63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This Subscription Agreement shall be governed by, and construed in accordance with, the internal laws of the State of New York, without giving effect to the principles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t>Exhibit 99.1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conflicts of law.</w:t>
      </w:r>
    </w:p>
    <w:p>
      <w:pPr>
        <w:spacing w:after="0" w:line="117" w:lineRule="exact"/>
        <w:rPr>
          <w:sz w:val="20"/>
          <w:szCs w:val="20"/>
          <w:color w:val="auto"/>
        </w:rPr>
      </w:pPr>
    </w:p>
    <w:p>
      <w:pPr>
        <w:jc w:val="both"/>
        <w:ind w:right="160" w:firstLine="458"/>
        <w:spacing w:after="0" w:line="264" w:lineRule="auto"/>
        <w:tabs>
          <w:tab w:leader="none" w:pos="63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This Subscription Agreement may be executed in two or more counterparts, each of which shall constitute an original, but all of which, when taken together, shall constitute but one instrument, and shall become effective when one or more counterparts have been signed by each party hereto and delivered to the other parties.</w:t>
      </w:r>
    </w:p>
    <w:p>
      <w:pPr>
        <w:spacing w:after="0" w:line="73" w:lineRule="exact"/>
        <w:rPr>
          <w:rFonts w:ascii="Arial" w:cs="Arial" w:eastAsia="Arial" w:hAnsi="Arial"/>
          <w:sz w:val="18"/>
          <w:szCs w:val="18"/>
          <w:color w:val="auto"/>
        </w:rPr>
      </w:pPr>
    </w:p>
    <w:p>
      <w:pPr>
        <w:ind w:firstLine="458"/>
        <w:spacing w:after="0" w:line="277" w:lineRule="auto"/>
        <w:tabs>
          <w:tab w:leader="none" w:pos="63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prospectus meeting the requirements of Section 10 of the Securities Act of 1933, as amended, may be obtained, when available, from the Company at 3155 Porter Drive, Palo Alto, CA 94304, Attention: Chief Executive Officer.</w:t>
      </w:r>
    </w:p>
    <w:p>
      <w:pPr>
        <w:spacing w:after="0" w:line="62" w:lineRule="exact"/>
        <w:rPr>
          <w:rFonts w:ascii="Arial" w:cs="Arial" w:eastAsia="Arial" w:hAnsi="Arial"/>
          <w:sz w:val="18"/>
          <w:szCs w:val="18"/>
          <w:color w:val="auto"/>
        </w:rPr>
      </w:pPr>
    </w:p>
    <w:p>
      <w:pPr>
        <w:ind w:right="200" w:firstLine="458"/>
        <w:spacing w:after="0" w:line="259" w:lineRule="auto"/>
        <w:tabs>
          <w:tab w:leader="none" w:pos="63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Company confirms that it has entered into a Placement Agency Agreement (the “</w:t>
      </w:r>
      <w:r>
        <w:rPr>
          <w:rFonts w:ascii="Arial" w:cs="Arial" w:eastAsia="Arial" w:hAnsi="Arial"/>
          <w:sz w:val="18"/>
          <w:szCs w:val="18"/>
          <w:u w:val="single" w:color="auto"/>
          <w:color w:val="auto"/>
        </w:rPr>
        <w:t>Placement Agency Agreement</w:t>
      </w:r>
      <w:r>
        <w:rPr>
          <w:rFonts w:ascii="Arial" w:cs="Arial" w:eastAsia="Arial" w:hAnsi="Arial"/>
          <w:sz w:val="18"/>
          <w:szCs w:val="18"/>
          <w:color w:val="auto"/>
        </w:rPr>
        <w:t>”) with Susquehanna Financial Group, LLLP and Dawson James Securities, Inc. (together, the “</w:t>
      </w:r>
      <w:r>
        <w:rPr>
          <w:rFonts w:ascii="Arial" w:cs="Arial" w:eastAsia="Arial" w:hAnsi="Arial"/>
          <w:sz w:val="18"/>
          <w:szCs w:val="18"/>
          <w:u w:val="single" w:color="auto"/>
          <w:color w:val="auto"/>
        </w:rPr>
        <w:t>Placement Agents</w:t>
      </w:r>
      <w:r>
        <w:rPr>
          <w:rFonts w:ascii="Arial" w:cs="Arial" w:eastAsia="Arial" w:hAnsi="Arial"/>
          <w:sz w:val="18"/>
          <w:szCs w:val="18"/>
          <w:color w:val="auto"/>
        </w:rPr>
        <w:t>”) that contains certain representations, warranties, covenants and agreements of the Company that may be relied upon by the Investor, which shall be a third party beneficiary thereof. A copy of the Placement Agency Agreement is available upon request.</w:t>
      </w:r>
    </w:p>
    <w:p>
      <w:pPr>
        <w:spacing w:after="0" w:line="78" w:lineRule="exact"/>
        <w:rPr>
          <w:rFonts w:ascii="Arial" w:cs="Arial" w:eastAsia="Arial" w:hAnsi="Arial"/>
          <w:sz w:val="18"/>
          <w:szCs w:val="18"/>
          <w:color w:val="auto"/>
        </w:rPr>
      </w:pPr>
    </w:p>
    <w:p>
      <w:pPr>
        <w:ind w:right="60" w:firstLine="458"/>
        <w:spacing w:after="0" w:line="259" w:lineRule="auto"/>
        <w:tabs>
          <w:tab w:leader="none" w:pos="63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Company further confirms and the Investor acknowledges that the Investor’s obligation to purchase the Securities is subject to the condition that the Placement Agents shall not have (a) terminated the Placement Agency Agreement or (b) determined that the conditions to closing in the Placement Agency Agreement have not been satisfied. The Investor confirms that its obligations are expressly not conditioned on the purchase by any other investors of Securities that they have agreed to purchase from the Company.</w:t>
      </w:r>
    </w:p>
    <w:p>
      <w:pPr>
        <w:spacing w:after="0" w:line="78" w:lineRule="exact"/>
        <w:rPr>
          <w:rFonts w:ascii="Arial" w:cs="Arial" w:eastAsia="Arial" w:hAnsi="Arial"/>
          <w:sz w:val="18"/>
          <w:szCs w:val="18"/>
          <w:color w:val="auto"/>
        </w:rPr>
      </w:pPr>
    </w:p>
    <w:p>
      <w:pPr>
        <w:ind w:right="20" w:firstLine="458"/>
        <w:spacing w:after="0" w:line="293" w:lineRule="auto"/>
        <w:tabs>
          <w:tab w:leader="none" w:pos="7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Investor represents that it has received (or otherwise had made available to it by the filing by the Company of an electronic version thereof with the Commission) the Basic Prospectus, which is a part of the Company’s Registration Statement and the documents incorporated by reference therein, prior to or in connection with the receipt of this Subscription Agreement. The Investor acknowledges that, prior to the delivery of this Subscription Agreement to the Company, the Investor will receive certain additional information regarding the Offering, including pricing information (the “</w:t>
      </w:r>
      <w:r>
        <w:rPr>
          <w:rFonts w:ascii="Arial" w:cs="Arial" w:eastAsia="Arial" w:hAnsi="Arial"/>
          <w:sz w:val="16"/>
          <w:szCs w:val="16"/>
          <w:u w:val="single" w:color="auto"/>
          <w:color w:val="auto"/>
        </w:rPr>
        <w:t>Offering Information</w:t>
      </w:r>
      <w:r>
        <w:rPr>
          <w:rFonts w:ascii="Arial" w:cs="Arial" w:eastAsia="Arial" w:hAnsi="Arial"/>
          <w:sz w:val="16"/>
          <w:szCs w:val="16"/>
          <w:color w:val="auto"/>
        </w:rPr>
        <w:t>”). The Offering Information may be provided to the Investor by any means permitted under the Act, including in the Prospectus Supplement (delivered to the Investor or made available to it by the filing of an electronic version thereof with the Commission), a free writing prospectus or oral communications.</w:t>
      </w:r>
    </w:p>
    <w:p>
      <w:pPr>
        <w:spacing w:after="0" w:line="56" w:lineRule="exact"/>
        <w:rPr>
          <w:rFonts w:ascii="Arial" w:cs="Arial" w:eastAsia="Arial" w:hAnsi="Arial"/>
          <w:sz w:val="16"/>
          <w:szCs w:val="16"/>
          <w:color w:val="auto"/>
        </w:rPr>
      </w:pPr>
    </w:p>
    <w:p>
      <w:pPr>
        <w:ind w:right="60" w:firstLine="458"/>
        <w:spacing w:after="0" w:line="255" w:lineRule="auto"/>
        <w:tabs>
          <w:tab w:leader="none" w:pos="713"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 offer by the Investor to buy Securities will be accepted and no part of the Purchase Price will be delivered to the Company until the Investor has received the Offering Information and the Company has accepted such offer by countersigning a copy of this Subscription Agreement, and any such offer may be withdrawn or revoked, without obligation or commitment of any kind, at any time prior to the Company (or the Placement Agents on behalf of the Company) sending (orally, in writing or by electronic mail) notice of its acceptance of such offer. This Subscription Agreement will constitute only an indication of interest and will involve no obligation or commitment of any kind until the Investor has been delivered the Offering Information and this Subscription Agreement is accepted and countersigned by or on behalf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color w:val="auto"/>
        </w:rPr>
        <w:t>Exhibit 99.1</w:t>
      </w:r>
    </w:p>
    <w:p>
      <w:pPr>
        <w:spacing w:after="0" w:line="117" w:lineRule="exact"/>
        <w:rPr>
          <w:sz w:val="20"/>
          <w:szCs w:val="20"/>
          <w:color w:val="auto"/>
        </w:rPr>
      </w:pPr>
    </w:p>
    <w:p>
      <w:pPr>
        <w:ind w:firstLine="458"/>
        <w:spacing w:after="0" w:line="297" w:lineRule="auto"/>
        <w:tabs>
          <w:tab w:leader="none" w:pos="7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Investor represents that, except as set forth below, (a) it has had no position, office or other material relationship within the past three years with the Company or any of its affiliates, (b) it is not a FINRA member or an Associated Person (as such term is defined under the FINRA Membership and Registration Rules Section 1011) as of the Closing, and (c) neither the Investor nor any group of Investors (as identified in a public filing made with the Commission) of which the Investor is a part in connection with the Offering of the Shares, acquired, or obtained the right to acquire, 20% or more of the Common Stock (or securities convertible into or exercisable for Common Stock) or the voting power of the Company on a post-transaction basis. Exceptions: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(If no exceptions, write “none.” If left blank, response will be deemed to be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has been intentionally left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14605</wp:posOffset>
            </wp:positionV>
            <wp:extent cx="16808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Purchase Price Per Share: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14605</wp:posOffset>
            </wp:positionV>
            <wp:extent cx="156908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690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Aggregate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14605</wp:posOffset>
            </wp:positionV>
            <wp:extent cx="156908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69085"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Please acknowledge that the foregoing correctly confirms the agreement between us by signing in the space provided below for that purpose.</w:t>
      </w:r>
    </w:p>
    <w:p>
      <w:pPr>
        <w:spacing w:after="0" w:line="225" w:lineRule="exact"/>
        <w:rPr>
          <w:sz w:val="20"/>
          <w:szCs w:val="20"/>
          <w:color w:val="auto"/>
        </w:rPr>
      </w:pPr>
    </w:p>
    <w:p>
      <w:pPr>
        <w:jc w:val="right"/>
        <w:ind w:right="3520"/>
        <w:spacing w:after="0"/>
        <w:rPr>
          <w:sz w:val="20"/>
          <w:szCs w:val="20"/>
          <w:color w:val="auto"/>
        </w:rPr>
      </w:pPr>
      <w:r>
        <w:rPr>
          <w:rFonts w:ascii="Arial" w:cs="Arial" w:eastAsia="Arial" w:hAnsi="Arial"/>
          <w:sz w:val="18"/>
          <w:szCs w:val="18"/>
          <w:color w:val="auto"/>
        </w:rPr>
        <w:t>Name of Investor:</w:t>
      </w:r>
    </w:p>
    <w:p>
      <w:pPr>
        <w:spacing w:after="0" w:line="225" w:lineRule="exact"/>
        <w:rPr>
          <w:sz w:val="20"/>
          <w:szCs w:val="20"/>
          <w:color w:val="auto"/>
        </w:rPr>
      </w:pPr>
    </w:p>
    <w:p>
      <w:pPr>
        <w:jc w:val="right"/>
        <w:ind w:right="3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14605</wp:posOffset>
            </wp:positionV>
            <wp:extent cx="21697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6"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right"/>
        <w:ind w:right="35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14605</wp:posOffset>
            </wp:positionV>
            <wp:extent cx="21697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229235</wp:posOffset>
            </wp:positionV>
            <wp:extent cx="216979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434975</wp:posOffset>
            </wp:positionV>
            <wp:extent cx="216979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ind w:right="3520"/>
        <w:spacing w:after="0"/>
        <w:rPr>
          <w:sz w:val="20"/>
          <w:szCs w:val="20"/>
          <w:color w:val="auto"/>
        </w:rPr>
      </w:pPr>
      <w:r>
        <w:rPr>
          <w:rFonts w:ascii="Arial" w:cs="Arial" w:eastAsia="Arial" w:hAnsi="Arial"/>
          <w:sz w:val="18"/>
          <w:szCs w:val="18"/>
          <w:color w:val="auto"/>
        </w:rPr>
        <w:t>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14605</wp:posOffset>
            </wp:positionV>
            <wp:extent cx="216979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32" w:lineRule="exact"/>
        <w:rPr>
          <w:sz w:val="20"/>
          <w:szCs w:val="20"/>
          <w:color w:val="auto"/>
        </w:rPr>
      </w:pPr>
    </w:p>
    <w:p>
      <w:pPr>
        <w:jc w:val="right"/>
        <w:ind w:right="3520"/>
        <w:spacing w:after="0"/>
        <w:rPr>
          <w:sz w:val="20"/>
          <w:szCs w:val="20"/>
          <w:color w:val="auto"/>
        </w:rPr>
      </w:pPr>
      <w:r>
        <w:rPr>
          <w:rFonts w:ascii="Arial" w:cs="Arial" w:eastAsia="Arial" w:hAnsi="Arial"/>
          <w:sz w:val="18"/>
          <w:szCs w:val="18"/>
          <w:color w:val="auto"/>
        </w:rPr>
        <w:t>Contact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14605</wp:posOffset>
            </wp:positionV>
            <wp:extent cx="216979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32"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14605</wp:posOffset>
            </wp:positionV>
            <wp:extent cx="216979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in which book</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entry should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5715</wp:posOffset>
            </wp:positionV>
            <wp:extent cx="216979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18"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Contact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14605</wp:posOffset>
            </wp:positionV>
            <wp:extent cx="216979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TEM</w:t>
      </w:r>
      <w:r>
        <w:rPr>
          <w:rFonts w:ascii="Arial" w:cs="Arial" w:eastAsia="Arial" w:hAnsi="Arial"/>
          <w:sz w:val="18"/>
          <w:szCs w:val="18"/>
          <w:color w:val="auto"/>
        </w:rPr>
        <w:t>C</w:t>
      </w:r>
      <w:r>
        <w:rPr>
          <w:rFonts w:ascii="Arial" w:cs="Arial" w:eastAsia="Arial" w:hAnsi="Arial"/>
          <w:sz w:val="12"/>
          <w:szCs w:val="12"/>
          <w:color w:val="auto"/>
        </w:rPr>
        <w:t>ELLS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18694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936"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99.2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STEMCELLS, INC. ANNOUNCES $20 MILLION EQUITY FINANCING</w:t>
      </w:r>
    </w:p>
    <w:p>
      <w:pPr>
        <w:spacing w:after="0" w:line="117" w:lineRule="exact"/>
        <w:rPr>
          <w:sz w:val="20"/>
          <w:szCs w:val="20"/>
          <w:color w:val="auto"/>
        </w:rPr>
      </w:pPr>
    </w:p>
    <w:p>
      <w:pPr>
        <w:jc w:val="both"/>
        <w:ind w:right="120"/>
        <w:spacing w:after="0" w:line="289" w:lineRule="auto"/>
        <w:rPr>
          <w:sz w:val="20"/>
          <w:szCs w:val="20"/>
          <w:color w:val="auto"/>
        </w:rPr>
      </w:pPr>
      <w:r>
        <w:rPr>
          <w:rFonts w:ascii="Arial" w:cs="Arial" w:eastAsia="Arial" w:hAnsi="Arial"/>
          <w:sz w:val="16"/>
          <w:szCs w:val="16"/>
          <w:b w:val="1"/>
          <w:bCs w:val="1"/>
          <w:color w:val="auto"/>
        </w:rPr>
        <w:t xml:space="preserve">PALO ALTO, Calif. November 12, 2008 – </w:t>
      </w:r>
      <w:r>
        <w:rPr>
          <w:rFonts w:ascii="Arial" w:cs="Arial" w:eastAsia="Arial" w:hAnsi="Arial"/>
          <w:sz w:val="16"/>
          <w:szCs w:val="16"/>
          <w:color w:val="auto"/>
        </w:rPr>
        <w:t>StemCells, Inc. (NASDAQ: STEM) announced today that it has entered into agreements to raise approximately</w:t>
      </w:r>
      <w:r>
        <w:rPr>
          <w:rFonts w:ascii="Arial" w:cs="Arial" w:eastAsia="Arial" w:hAnsi="Arial"/>
          <w:sz w:val="16"/>
          <w:szCs w:val="16"/>
          <w:b w:val="1"/>
          <w:bCs w:val="1"/>
          <w:color w:val="auto"/>
        </w:rPr>
        <w:t xml:space="preserve"> </w:t>
      </w:r>
      <w:r>
        <w:rPr>
          <w:rFonts w:ascii="Arial" w:cs="Arial" w:eastAsia="Arial" w:hAnsi="Arial"/>
          <w:sz w:val="16"/>
          <w:szCs w:val="16"/>
          <w:color w:val="auto"/>
        </w:rPr>
        <w:t>$20 million in gross proceeds through the sale of approximately 13.8 million shares of its common stock to selected institutional investors at a price of $1.45 per share. The investors will also receive warrants to purchase approximately 10.3 million shares of common stock at an exercise price of $2.30 per share.</w:t>
      </w:r>
    </w:p>
    <w:p>
      <w:pPr>
        <w:spacing w:after="0" w:line="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shares and warrants are being offered as a registered direct offering under the Company’s effective shelf registration statement previously filed with the Securities and Exchange Commission (SEC). StemCells, Inc. expects to receive total proceeds, net of offering expenses and placement agency fees, of approximately $18.5 million.</w:t>
      </w:r>
    </w:p>
    <w:p>
      <w:pPr>
        <w:spacing w:after="0" w:line="82"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offering is expected to close on November 17, 2008, subject to customary closing conditions. The net proceeds of the financing will be used for general corporate purposes, including working capital, product development and capital expenditures, as well as for other strategic purposes.</w:t>
      </w:r>
    </w:p>
    <w:p>
      <w:pPr>
        <w:spacing w:after="0" w:line="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Susquehanna Financial Group, LLLP and Dawson James Securities, Inc. served as placement agents. The securities may only be offered by means of a prospectus supplement and accompanying prospectus, forming a part of the effective registration statement, a copy of which may be obtained, when available, at the SEC’s website at http://www.sec.gov, or from Susquehanna Financial Group, LLLP, 401 City Avenue Suite 220, Bala Cynwyd, PA 19004 or Dawson James Securities, Inc., 925 South Federal Highway, 6th Floor, Boca Raton, FL 33432.</w:t>
      </w:r>
    </w:p>
    <w:p>
      <w:pPr>
        <w:spacing w:after="0" w:line="7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This press release does not and shall not constitute an offer to sell or the solicitation of an offer to buy, nor will there be any sale of these securities in any state or jurisdiction in which such offer, solicitation or sale would be unlawful prior to registration or qualification under the securities laws of any such state or jurisdiction.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StemCells, Inc.</w:t>
      </w:r>
    </w:p>
    <w:p>
      <w:pPr>
        <w:spacing w:after="0" w:line="121"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StemCells, Inc. is a clinical-stage biotechnology company focused on the discovery, development and commercialization of cell-based therapeutics to treat diseases of the central nervous system and liver. The Company’s product development programs seek to repair or repopulate CNS and liver tissue that has been damaged or lost as a result of disease or injury. StemCells has pioneered the discovery and development of HuCNS-SC</w:t>
      </w:r>
      <w:r>
        <w:rPr>
          <w:rFonts w:ascii="Arial" w:cs="Arial" w:eastAsia="Arial" w:hAnsi="Arial"/>
          <w:sz w:val="14"/>
          <w:szCs w:val="14"/>
          <w:color w:val="auto"/>
        </w:rPr>
        <w:t>®</w:t>
      </w:r>
      <w:r>
        <w:rPr>
          <w:rFonts w:ascii="Arial" w:cs="Arial" w:eastAsia="Arial" w:hAnsi="Arial"/>
          <w:sz w:val="17"/>
          <w:szCs w:val="17"/>
          <w:color w:val="auto"/>
        </w:rPr>
        <w:t xml:space="preserve"> cells, its highly purified, expandable population of human neural stem cells. StemCells has completed enrollment and dosing of a six patient Phase I clinical trial of its proprietary HuCNS-SC product candidate as a treatment for neuronal ceroid lipofuscinosis (NCL) and expects the trial to be completed in January 2009. NCL, which is often referred to as Batten disease, is a rare and fatal neurodegenerative disease that affects infants and young children. StemCells owns or has exclusive rights to more than 50 issued or allowed U.S. patents and more than 150 granted or allowed non-U.S.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 xml:space="preserve">patents. Further information about the Company is available on its web site at: </w:t>
      </w:r>
      <w:r>
        <w:rPr>
          <w:rFonts w:ascii="Arial" w:cs="Arial" w:eastAsia="Arial" w:hAnsi="Arial"/>
          <w:sz w:val="18"/>
          <w:szCs w:val="18"/>
          <w:u w:val="single" w:color="auto"/>
          <w:color w:val="auto"/>
        </w:rPr>
        <w:t>www.stemcellsinc.com</w:t>
      </w:r>
      <w:r>
        <w:rPr>
          <w:rFonts w:ascii="Arial" w:cs="Arial" w:eastAsia="Arial" w:hAnsi="Arial"/>
          <w:sz w:val="18"/>
          <w:szCs w:val="18"/>
          <w:color w:val="auto"/>
        </w:rPr>
        <w:t>.</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Apart from statements of historical fact, the text of this press release constitutes forward-looking statements regarding, among other things, the future business operations of StemCells, Inc. (the “Company”) and its ability to conduct clinical trials as well as its research and product development efforts. These forward-looking statements speak only as of the date of this news release. The Company does not undertake to update any of these forward-looking statements to reflect events or circumstances that occur after the date hereof. Such statements reflect management’s current views and are based on certain assumptions that may or may not ultimately prove valid. The Company’s actual results may vary materially from those contemplated in such forward-looking statements due to risks and uncertainties to which the Company is subject, including uncertainty as to whether the FDA or other applicable regulatory agencies will permit the Company to continue clinical testing in NCL or in future clinical trials of proposed therapies for other diseases or conditions despite the novel and unproven nature of the Company’s technologies; uncertainties regarding the Company’s ability to obtain the increased capital resources needed to continue its current research and development operations and to conduct the research, preclinical development and clinical trials necessary for regulatory approvals; uncertainty regarding the validity and enforceability of the Company’s patents; uncertainty as to whether HuCNS-SC and any products that may be generated in the future in the Company’s cell-based programs will prove safe and clinically effective and not cause tumors or other adverse side effects; uncertainties regarding the Company’s manufacturing capabilities given its increasing preclinical and clinical commitments; uncertainties as to whether the Company will achieve revenues from product sales or become profitable; and other factors that are described under the heading “Risk Factors” in Item 1A of Part II of the Company’s Quarterly Report on Form 10-Q.</w:t>
      </w:r>
    </w:p>
    <w:p>
      <w:pPr>
        <w:sectPr>
          <w:pgSz w:w="11900" w:h="16838" w:orient="portrait"/>
          <w:cols w:equalWidth="0" w:num="1">
            <w:col w:w="11400"/>
          </w:cols>
          <w:pgMar w:left="240" w:top="935" w:right="259" w:bottom="1440" w:gutter="0" w:footer="0" w:header="0"/>
        </w:sectPr>
      </w:pP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CONTACT: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Rodney Young</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650-475-3100, Ext. 105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irpr@stemcellsinc.com</w:t>
      </w:r>
    </w:p>
    <w:p>
      <w:pPr>
        <w:spacing w:after="0" w:line="200" w:lineRule="exact"/>
        <w:rPr>
          <w:sz w:val="20"/>
          <w:szCs w:val="20"/>
          <w:color w:val="auto"/>
        </w:rPr>
      </w:pPr>
    </w:p>
    <w:p>
      <w:pPr>
        <w:sectPr>
          <w:pgSz w:w="11900" w:h="16838" w:orient="portrait"/>
          <w:cols w:equalWidth="0" w:num="2">
            <w:col w:w="1040" w:space="720"/>
            <w:col w:w="9640"/>
          </w:cols>
          <w:pgMar w:left="240" w:top="935" w:right="25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SOURCE: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StemCells, Inc.</w:t>
      </w:r>
    </w:p>
    <w:sectPr>
      <w:pgSz w:w="11900" w:h="16838" w:orient="portrait"/>
      <w:cols w:equalWidth="0" w:num="2">
        <w:col w:w="1040" w:space="720"/>
        <w:col w:w="9640"/>
      </w:cols>
      <w:pgMar w:left="240" w:top="935"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o"/>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1)"/>
      <w:numFmt w:val="lowerRoman"/>
      <w:start w:val="1"/>
    </w:lvl>
  </w:abstractNum>
  <w:abstractNum w:abstractNumId="3">
    <w:nsid w:val="737B8DDC"/>
    <w:multiLevelType w:val="hybridMultilevel"/>
    <w:lvl w:ilvl="0">
      <w:lvlJc w:val="left"/>
      <w:lvlText w:val="%1."/>
      <w:numFmt w:val="decimal"/>
      <w:start w:val="1"/>
    </w:lvl>
  </w:abstractNum>
  <w:abstractNum w:abstractNumId="4">
    <w:nsid w:val="6CEAF087"/>
    <w:multiLevelType w:val="hybridMultilevel"/>
    <w:lvl w:ilvl="0">
      <w:lvlJc w:val="left"/>
      <w:lvlText w:val="%1."/>
      <w:numFmt w:val="decimal"/>
      <w:start w:val="2"/>
    </w:lvl>
    <w:lvl w:ilvl="1">
      <w:lvlJc w:val="left"/>
      <w:lvlText w:val="-"/>
      <w:numFmt w:val="bullet"/>
      <w:start w:val="1"/>
    </w:lvl>
  </w:abstractNum>
  <w:abstractNum w:abstractNumId="5">
    <w:nsid w:val="22221A70"/>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6">
    <w:nsid w:val="4516DDE9"/>
    <w:multiLevelType w:val="hybridMultilevel"/>
    <w:lvl w:ilvl="0">
      <w:lvlJc w:val="left"/>
      <w:lvlText w:val="(%1)"/>
      <w:numFmt w:val="lowerLetter"/>
      <w:start w:val="3"/>
    </w:lvl>
    <w:lvl w:ilvl="1">
      <w:lvlJc w:val="left"/>
      <w:lvlText w:val="-"/>
      <w:numFmt w:val="bullet"/>
      <w:start w:val="1"/>
    </w:lvl>
  </w:abstractNum>
  <w:abstractNum w:abstractNumId="7">
    <w:nsid w:val="3006C83E"/>
    <w:multiLevelType w:val="hybridMultilevel"/>
    <w:lvl w:ilvl="0">
      <w:lvlJc w:val="left"/>
      <w:lvlText w:val="(%1)"/>
      <w:numFmt w:val="lowerLetter"/>
      <w:start w:val="4"/>
    </w:lvl>
    <w:lvl w:ilvl="1">
      <w:lvlJc w:val="left"/>
      <w:lvlText w:val="-"/>
      <w:numFmt w:val="bullet"/>
      <w:start w:val="1"/>
    </w:lvl>
  </w:abstractNum>
  <w:abstractNum w:abstractNumId="8">
    <w:nsid w:val="614FD4A1"/>
    <w:multiLevelType w:val="hybridMultilevel"/>
    <w:lvl w:ilvl="0">
      <w:lvlJc w:val="left"/>
      <w:lvlText w:val="(%1)"/>
      <w:numFmt w:val="lowerLetter"/>
      <w:start w:val="8"/>
    </w:lvl>
    <w:lvl w:ilvl="1">
      <w:lvlJc w:val="left"/>
      <w:lvlText w:val="-"/>
      <w:numFmt w:val="bullet"/>
      <w:start w:val="1"/>
    </w:lvl>
  </w:abstractNum>
  <w:abstractNum w:abstractNumId="9">
    <w:nsid w:val="419AC241"/>
    <w:multiLevelType w:val="hybridMultilevel"/>
    <w:lvl w:ilvl="0">
      <w:lvlJc w:val="left"/>
      <w:lvlText w:val="%1"/>
      <w:numFmt w:val="upperLetter"/>
      <w:start w:val="1"/>
    </w:lvl>
    <w:lvl w:ilvl="1">
      <w:lvlJc w:val="left"/>
      <w:lvlText w:val="(%2)"/>
      <w:numFmt w:val="lowerLetter"/>
      <w:start w:val="10"/>
    </w:lvl>
    <w:lvl w:ilvl="2">
      <w:lvlJc w:val="left"/>
      <w:lvlText w:val="-"/>
      <w:numFmt w:val="bullet"/>
      <w:start w:val="1"/>
    </w:lvl>
  </w:abstractNum>
  <w:abstractNum w:abstractNumId="10">
    <w:nsid w:val="5577F8E1"/>
    <w:multiLevelType w:val="hybridMultilevel"/>
    <w:lvl w:ilvl="0">
      <w:lvlJc w:val="left"/>
      <w:lvlText w:val="(%1)"/>
      <w:numFmt w:val="upperLetter"/>
      <w:start w:val="4"/>
    </w:lvl>
    <w:lvl w:ilvl="1">
      <w:lvlJc w:val="left"/>
      <w:lvlText w:val="%2"/>
      <w:numFmt w:val="lowerLetter"/>
      <w:start w:val="1"/>
    </w:lvl>
    <w:lvl w:ilvl="2">
      <w:lvlJc w:val="left"/>
      <w:lvlText w:val="-"/>
      <w:numFmt w:val="bullet"/>
      <w:start w:val="1"/>
    </w:lvl>
  </w:abstractNum>
  <w:abstractNum w:abstractNumId="11">
    <w:nsid w:val="440BADFC"/>
    <w:multiLevelType w:val="hybridMultilevel"/>
    <w:lvl w:ilvl="0">
      <w:lvlJc w:val="left"/>
      <w:lvlText w:val="(%1)"/>
      <w:numFmt w:val="lowerLetter"/>
      <w:start w:val="14"/>
    </w:lvl>
    <w:lvl w:ilvl="1">
      <w:lvlJc w:val="left"/>
      <w:lvlText w:val="-"/>
      <w:numFmt w:val="bullet"/>
      <w:start w:val="1"/>
    </w:lvl>
  </w:abstractNum>
  <w:abstractNum w:abstractNumId="12">
    <w:nsid w:val="5072367"/>
    <w:multiLevelType w:val="hybridMultilevel"/>
    <w:lvl w:ilvl="0">
      <w:lvlJc w:val="left"/>
      <w:lvlText w:val="(%1)"/>
      <w:numFmt w:val="lowerLetter"/>
      <w:start w:val="18"/>
    </w:lvl>
    <w:lvl w:ilvl="1">
      <w:lvlJc w:val="left"/>
      <w:lvlText w:val="-"/>
      <w:numFmt w:val="bullet"/>
      <w:start w:val="1"/>
    </w:lvl>
  </w:abstractNum>
  <w:abstractNum w:abstractNumId="13">
    <w:nsid w:val="3804823E"/>
    <w:multiLevelType w:val="hybridMultilevel"/>
    <w:lvl w:ilvl="0">
      <w:lvlJc w:val="left"/>
      <w:lvlText w:val="(%1)"/>
      <w:numFmt w:val="lowerLetter"/>
      <w:start w:val="20"/>
    </w:lvl>
    <w:lvl w:ilvl="1">
      <w:lvlJc w:val="left"/>
      <w:lvlText w:val="-"/>
      <w:numFmt w:val="bullet"/>
      <w:start w:val="1"/>
    </w:lvl>
  </w:abstractNum>
  <w:abstractNum w:abstractNumId="14">
    <w:nsid w:val="77465F01"/>
    <w:multiLevelType w:val="hybridMultilevel"/>
    <w:lvl w:ilvl="0">
      <w:lvlJc w:val="left"/>
      <w:lvlText w:val="(%1)"/>
      <w:numFmt w:val="lowerRoman"/>
      <w:start w:val="10"/>
    </w:lvl>
    <w:lvl w:ilvl="1">
      <w:lvlJc w:val="left"/>
      <w:lvlText w:val="-"/>
      <w:numFmt w:val="bullet"/>
      <w:start w:val="1"/>
    </w:lvl>
  </w:abstractNum>
  <w:abstractNum w:abstractNumId="15">
    <w:nsid w:val="7724C67E"/>
    <w:multiLevelType w:val="hybridMultilevel"/>
    <w:lvl w:ilvl="0">
      <w:lvlJc w:val="left"/>
      <w:lvlText w:val="(%1)"/>
      <w:numFmt w:val="lowerLetter"/>
      <w:start w:val="25"/>
    </w:lvl>
    <w:lvl w:ilvl="1">
      <w:lvlJc w:val="left"/>
      <w:lvlText w:val="-"/>
      <w:numFmt w:val="bullet"/>
      <w:start w:val="1"/>
    </w:lvl>
  </w:abstractNum>
  <w:abstractNum w:abstractNumId="16">
    <w:nsid w:val="5C482A97"/>
    <w:multiLevelType w:val="hybridMultilevel"/>
    <w:lvl w:ilvl="0">
      <w:lvlJc w:val="left"/>
      <w:lvlText w:val="(%1)"/>
      <w:numFmt w:val="lowerLetter"/>
      <w:start w:val="27"/>
    </w:lvl>
    <w:lvl w:ilvl="1">
      <w:lvlJc w:val="left"/>
      <w:lvlText w:val="-"/>
      <w:numFmt w:val="bullet"/>
      <w:start w:val="1"/>
    </w:lvl>
  </w:abstractNum>
  <w:abstractNum w:abstractNumId="17">
    <w:nsid w:val="2463B9EA"/>
    <w:multiLevelType w:val="hybridMultilevel"/>
    <w:lvl w:ilvl="0">
      <w:lvlJc w:val="left"/>
      <w:lvlText w:val="(%1)"/>
      <w:numFmt w:val="lowerLetter"/>
      <w:start w:val="32"/>
    </w:lvl>
    <w:lvl w:ilvl="1">
      <w:lvlJc w:val="left"/>
      <w:lvlText w:val="-"/>
      <w:numFmt w:val="bullet"/>
      <w:start w:val="1"/>
    </w:lvl>
  </w:abstractNum>
  <w:abstractNum w:abstractNumId="18">
    <w:nsid w:val="5E884ADC"/>
    <w:multiLevelType w:val="hybridMultilevel"/>
    <w:lvl w:ilvl="0">
      <w:lvlJc w:val="left"/>
      <w:lvlText w:val="(%1)"/>
      <w:numFmt w:val="lowerLetter"/>
      <w:start w:val="35"/>
    </w:lvl>
    <w:lvl w:ilvl="1">
      <w:lvlJc w:val="left"/>
      <w:lvlText w:val="-"/>
      <w:numFmt w:val="bullet"/>
      <w:start w:val="1"/>
    </w:lvl>
  </w:abstractNum>
  <w:abstractNum w:abstractNumId="19">
    <w:nsid w:val="51EAD36B"/>
    <w:multiLevelType w:val="hybridMultilevel"/>
    <w:lvl w:ilvl="0">
      <w:lvlJc w:val="left"/>
      <w:lvlText w:val="(%1)"/>
      <w:numFmt w:val="lowerLetter"/>
      <w:start w:val="40"/>
    </w:lvl>
  </w:abstractNum>
  <w:abstractNum w:abstractNumId="20">
    <w:nsid w:val="2D517796"/>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21">
    <w:nsid w:val="580BD78F"/>
    <w:multiLevelType w:val="hybridMultilevel"/>
    <w:lvl w:ilvl="0">
      <w:lvlJc w:val="left"/>
      <w:lvlText w:val="%1"/>
      <w:numFmt w:val="lowerLetter"/>
      <w:start w:val="1"/>
    </w:lvl>
    <w:lvl w:ilvl="1">
      <w:lvlJc w:val="left"/>
      <w:lvlText w:val="(%2)"/>
      <w:numFmt w:val="lowerLetter"/>
      <w:start w:val="3"/>
    </w:lvl>
    <w:lvl w:ilvl="2">
      <w:lvlJc w:val="left"/>
      <w:lvlText w:val="-"/>
      <w:numFmt w:val="bullet"/>
      <w:start w:val="1"/>
    </w:lvl>
  </w:abstractNum>
  <w:abstractNum w:abstractNumId="22">
    <w:nsid w:val="153EA438"/>
    <w:multiLevelType w:val="hybridMultilevel"/>
    <w:lvl w:ilvl="0">
      <w:lvlJc w:val="left"/>
      <w:lvlText w:val="(%1)"/>
      <w:numFmt w:val="lowerLetter"/>
      <w:start w:val="9"/>
    </w:lvl>
    <w:lvl w:ilvl="1">
      <w:lvlJc w:val="left"/>
      <w:lvlText w:val="(%2)"/>
      <w:numFmt w:val="lowerLetter"/>
      <w:start w:val="5"/>
    </w:lvl>
    <w:lvl w:ilvl="2">
      <w:lvlJc w:val="left"/>
      <w:lvlText w:val="-"/>
      <w:numFmt w:val="bullet"/>
      <w:start w:val="1"/>
    </w:lvl>
  </w:abstractNum>
  <w:abstractNum w:abstractNumId="23">
    <w:nsid w:val="3855585C"/>
    <w:multiLevelType w:val="hybridMultilevel"/>
    <w:lvl w:ilvl="0">
      <w:lvlJc w:val="left"/>
      <w:lvlText w:val="(%1)"/>
      <w:numFmt w:val="lowerLetter"/>
      <w:start w:val="6"/>
    </w:lvl>
    <w:lvl w:ilvl="1">
      <w:lvlJc w:val="left"/>
      <w:lvlText w:val="-"/>
      <w:numFmt w:val="bullet"/>
      <w:start w:val="1"/>
    </w:lvl>
  </w:abstractNum>
  <w:abstractNum w:abstractNumId="24">
    <w:nsid w:val="70A64E2A"/>
    <w:multiLevelType w:val="hybridMultilevel"/>
    <w:lvl w:ilvl="0">
      <w:lvlJc w:val="left"/>
      <w:lvlText w:val="(%1)"/>
      <w:numFmt w:val="lowerLetter"/>
      <w:start w:val="10"/>
    </w:lvl>
    <w:lvl w:ilvl="1">
      <w:lvlJc w:val="left"/>
      <w:lvlText w:val="-"/>
      <w:numFmt w:val="bullet"/>
      <w:start w:val="1"/>
    </w:lvl>
  </w:abstractNum>
  <w:abstractNum w:abstractNumId="25">
    <w:nsid w:val="6A2342EC"/>
    <w:multiLevelType w:val="hybridMultilevel"/>
    <w:lvl w:ilvl="0">
      <w:lvlJc w:val="left"/>
      <w:lvlText w:val="%1"/>
      <w:numFmt w:val="lowerLetter"/>
      <w:start w:val="1"/>
    </w:lvl>
    <w:lvl w:ilvl="1">
      <w:lvlJc w:val="left"/>
      <w:lvlText w:val="(%2)"/>
      <w:numFmt w:val="lowerLetter"/>
      <w:start w:val="14"/>
    </w:lvl>
    <w:lvl w:ilvl="2">
      <w:lvlJc w:val="left"/>
      <w:lvlText w:val="-"/>
      <w:numFmt w:val="bullet"/>
      <w:start w:val="1"/>
    </w:lvl>
  </w:abstractNum>
  <w:abstractNum w:abstractNumId="26">
    <w:nsid w:val="2A487CB0"/>
    <w:multiLevelType w:val="hybridMultilevel"/>
    <w:lvl w:ilvl="0">
      <w:lvlJc w:val="left"/>
      <w:lvlText w:val="(%1)"/>
      <w:numFmt w:val="lowerLetter"/>
      <w:start w:val="61"/>
    </w:lvl>
    <w:lvl w:ilvl="1">
      <w:lvlJc w:val="left"/>
      <w:lvlText w:val="%2"/>
      <w:numFmt w:val="lowerLetter"/>
      <w:start w:val="1"/>
    </w:lvl>
    <w:lvl w:ilvl="2">
      <w:lvlJc w:val="left"/>
      <w:lvlText w:val="-"/>
      <w:numFmt w:val="bullet"/>
      <w:start w:val="1"/>
    </w:lvl>
  </w:abstractNum>
  <w:abstractNum w:abstractNumId="27">
    <w:nsid w:val="1D4ED43B"/>
    <w:multiLevelType w:val="hybridMultilevel"/>
    <w:lvl w:ilvl="0">
      <w:lvlJc w:val="left"/>
      <w:lvlText w:val="%1"/>
      <w:numFmt w:val="decimal"/>
      <w:start w:val="1"/>
    </w:lvl>
    <w:lvl w:ilvl="1">
      <w:lvlJc w:val="left"/>
      <w:lvlText w:val="(%2)"/>
      <w:numFmt w:val="decimal"/>
      <w:start w:val="16"/>
    </w:lvl>
    <w:lvl w:ilvl="2">
      <w:lvlJc w:val="left"/>
      <w:lvlText w:val="(%3)"/>
      <w:numFmt w:val="lowerLetter"/>
      <w:start w:val="16"/>
    </w:lvl>
    <w:lvl w:ilvl="3">
      <w:lvlJc w:val="left"/>
      <w:lvlText w:val="-"/>
      <w:numFmt w:val="bullet"/>
      <w:start w:val="1"/>
    </w:lvl>
  </w:abstractNum>
  <w:abstractNum w:abstractNumId="28">
    <w:nsid w:val="725A06FB"/>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29">
    <w:nsid w:val="2CD89A32"/>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30">
    <w:nsid w:val="57E4CCAF"/>
    <w:multiLevelType w:val="hybridMultilevel"/>
    <w:lvl w:ilvl="0">
      <w:lvlJc w:val="left"/>
      <w:lvlText w:val="%1"/>
      <w:numFmt w:val="decimal"/>
      <w:start w:val="1"/>
    </w:lvl>
    <w:lvl w:ilvl="1">
      <w:lvlJc w:val="left"/>
      <w:lvlText w:val="(%2)"/>
      <w:numFmt w:val="lowerLetter"/>
      <w:start w:val="9"/>
    </w:lvl>
    <w:lvl w:ilvl="2">
      <w:lvlJc w:val="left"/>
      <w:lvlText w:val="-"/>
      <w:numFmt w:val="bullet"/>
      <w:start w:val="1"/>
    </w:lvl>
  </w:abstractNum>
  <w:abstractNum w:abstractNumId="31">
    <w:nsid w:val="7A6D8D3C"/>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32">
    <w:nsid w:val="4B588F54"/>
    <w:multiLevelType w:val="hybridMultilevel"/>
    <w:lvl w:ilvl="0">
      <w:lvlJc w:val="left"/>
      <w:lvlText w:val="(%1)"/>
      <w:numFmt w:val="upperLetter"/>
      <w:start w:val="5"/>
    </w:lvl>
  </w:abstractNum>
  <w:abstractNum w:abstractNumId="33">
    <w:nsid w:val="542289EC"/>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34">
    <w:nsid w:val="6DE91B18"/>
    <w:multiLevelType w:val="hybridMultilevel"/>
    <w:lvl w:ilvl="0">
      <w:lvlJc w:val="left"/>
      <w:lvlText w:val="(%1)"/>
      <w:numFmt w:val="lowerLetter"/>
      <w:start w:val="2"/>
    </w:lvl>
    <w:lvl w:ilvl="1">
      <w:lvlJc w:val="left"/>
      <w:lvlText w:val="-"/>
      <w:numFmt w:val="bullet"/>
      <w:start w:val="1"/>
    </w:lvl>
  </w:abstractNum>
  <w:abstractNum w:abstractNumId="35">
    <w:nsid w:val="38437FDB"/>
    <w:multiLevelType w:val="hybridMultilevel"/>
    <w:lvl w:ilvl="0">
      <w:lvlJc w:val="left"/>
      <w:lvlText w:val="(%1)"/>
      <w:numFmt w:val="lowerLetter"/>
      <w:start w:val="3"/>
    </w:lvl>
    <w:lvl w:ilvl="1">
      <w:lvlJc w:val="left"/>
      <w:lvlText w:val="-"/>
      <w:numFmt w:val="bullet"/>
      <w:start w:val="1"/>
    </w:lvl>
  </w:abstractNum>
  <w:abstractNum w:abstractNumId="36">
    <w:nsid w:val="7644A45C"/>
    <w:multiLevelType w:val="hybridMultilevel"/>
    <w:lvl w:ilvl="0">
      <w:lvlJc w:val="left"/>
      <w:lvlText w:val="(%1)"/>
      <w:numFmt w:val="lowerLetter"/>
      <w:start w:val="4"/>
    </w:lvl>
    <w:lvl w:ilvl="1">
      <w:lvlJc w:val="left"/>
      <w:lvlText w:val="-"/>
      <w:numFmt w:val="bullet"/>
      <w:start w:val="1"/>
    </w:lvl>
  </w:abstractNum>
  <w:abstractNum w:abstractNumId="37">
    <w:nsid w:val="32FFF902"/>
    <w:multiLevelType w:val="hybridMultilevel"/>
    <w:lvl w:ilvl="0">
      <w:lvlJc w:val="left"/>
      <w:lvlText w:val="%1"/>
      <w:numFmt w:val="decimal"/>
      <w:start w:val="1"/>
    </w:lvl>
    <w:lvl w:ilvl="1">
      <w:lvlJc w:val="left"/>
      <w:lvlText w:val="(%2)"/>
      <w:numFmt w:val="lowerLetter"/>
      <w:start w:val="6"/>
    </w:lvl>
    <w:lvl w:ilvl="2">
      <w:lvlJc w:val="left"/>
      <w:lvlText w:val="-"/>
      <w:numFmt w:val="bullet"/>
      <w:start w:val="1"/>
    </w:lvl>
  </w:abstractNum>
  <w:abstractNum w:abstractNumId="38">
    <w:nsid w:val="684A481A"/>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39">
    <w:nsid w:val="579478FE"/>
    <w:multiLevelType w:val="hybridMultilevel"/>
    <w:lvl w:ilvl="0">
      <w:lvlJc w:val="left"/>
      <w:lvlText w:val="%1."/>
      <w:numFmt w:val="decimal"/>
      <w:start w:val="11"/>
    </w:lvl>
    <w:lvl w:ilvl="1">
      <w:lvlJc w:val="left"/>
      <w:lvlText w:val="-"/>
      <w:numFmt w:val="bullet"/>
      <w:start w:val="1"/>
    </w:lvl>
  </w:abstractNum>
  <w:abstractNum w:abstractNumId="40">
    <w:nsid w:val="749ABB43"/>
    <w:multiLevelType w:val="hybridMultilevel"/>
    <w:lvl w:ilvl="0">
      <w:lvlJc w:val="left"/>
      <w:lvlText w:val="%1."/>
      <w:numFmt w:val="decimal"/>
      <w:start w:val="15"/>
    </w:lvl>
  </w:abstractNum>
  <w:abstractNum w:abstractNumId="41">
    <w:nsid w:val="3DC240FB"/>
    <w:multiLevelType w:val="hybridMultilevel"/>
    <w:lvl w:ilvl="0">
      <w:lvlJc w:val="left"/>
      <w:lvlText w:val="%1."/>
      <w:numFmt w:val="decimal"/>
      <w:start w:val="1"/>
    </w:lvl>
  </w:abstractNum>
  <w:abstractNum w:abstractNumId="42">
    <w:nsid w:val="1BA026FA"/>
    <w:multiLevelType w:val="hybridMultilevel"/>
    <w:lvl w:ilvl="0">
      <w:lvlJc w:val="left"/>
      <w:lvlText w:val="(%1)"/>
      <w:numFmt w:val="lowerLetter"/>
      <w:start w:val="1"/>
    </w:lvl>
  </w:abstractNum>
  <w:abstractNum w:abstractNumId="43">
    <w:nsid w:val="79A1DEAA"/>
    <w:multiLevelType w:val="hybridMultilevel"/>
    <w:lvl w:ilvl="0">
      <w:lvlJc w:val="left"/>
      <w:lvlText w:val="%1."/>
      <w:numFmt w:val="decimal"/>
      <w:start w:val="2"/>
    </w:lvl>
  </w:abstractNum>
  <w:abstractNum w:abstractNumId="44">
    <w:nsid w:val="75C6C33A"/>
    <w:multiLevelType w:val="hybridMultilevel"/>
    <w:lvl w:ilvl="0">
      <w:lvlJc w:val="left"/>
      <w:lvlText w:val="(%1)"/>
      <w:numFmt w:val="lowerLetter"/>
      <w:start w:val="1"/>
    </w:lvl>
  </w:abstractNum>
  <w:abstractNum w:abstractNumId="45">
    <w:nsid w:val="12E685FB"/>
    <w:multiLevelType w:val="hybridMultilevel"/>
    <w:lvl w:ilvl="0">
      <w:lvlJc w:val="left"/>
      <w:lvlText w:val="(%1)"/>
      <w:numFmt w:val="lowerLetter"/>
      <w:start w:val="25"/>
    </w:lvl>
    <w:lvl w:ilvl="1">
      <w:lvlJc w:val="left"/>
      <w:lvlText w:val="%2."/>
      <w:numFmt w:val="decimal"/>
      <w:start w:val="3"/>
    </w:lvl>
  </w:abstractNum>
  <w:abstractNum w:abstractNumId="46">
    <w:nsid w:val="70C6A529"/>
    <w:multiLevelType w:val="hybridMultilevel"/>
    <w:lvl w:ilvl="0">
      <w:lvlJc w:val="left"/>
      <w:lvlText w:val="%1."/>
      <w:numFmt w:val="decimal"/>
      <w:start w:val="4"/>
    </w:lvl>
  </w:abstractNum>
  <w:abstractNum w:abstractNumId="47">
    <w:nsid w:val="520EEDD1"/>
    <w:multiLevelType w:val="hybridMultilevel"/>
    <w:lvl w:ilvl="0">
      <w:lvlJc w:val="left"/>
      <w:lvlText w:val="%1"/>
      <w:numFmt w:val="lowerLetter"/>
      <w:start w:val="1"/>
    </w:lvl>
    <w:lvl w:ilvl="1">
      <w:lvlJc w:val="left"/>
      <w:lvlText w:val="(%2)"/>
      <w:numFmt w:val="lowerLetter"/>
      <w:start w:val="1"/>
    </w:lvl>
  </w:abstractNum>
  <w:abstractNum w:abstractNumId="48">
    <w:nsid w:val="374A3FE6"/>
    <w:multiLevelType w:val="hybridMultilevel"/>
    <w:lvl w:ilvl="0">
      <w:lvlJc w:val="left"/>
      <w:lvlText w:val="(%1)"/>
      <w:numFmt w:val="lowerLetter"/>
      <w:start w:val="61"/>
    </w:lvl>
    <w:lvl w:ilvl="1">
      <w:lvlJc w:val="left"/>
      <w:lvlText w:val="%2"/>
      <w:numFmt w:val="lowerLetter"/>
      <w:start w:val="1"/>
    </w:lvl>
  </w:abstractNum>
  <w:abstractNum w:abstractNumId="49">
    <w:nsid w:val="4F4EF005"/>
    <w:multiLevelType w:val="hybridMultilevel"/>
    <w:lvl w:ilvl="0">
      <w:lvlJc w:val="left"/>
      <w:lvlText w:val="(%1)"/>
      <w:numFmt w:val="lowerLetter"/>
      <w:start w:val="2"/>
    </w:lvl>
  </w:abstractNum>
  <w:abstractNum w:abstractNumId="50">
    <w:nsid w:val="23F9C13C"/>
    <w:multiLevelType w:val="hybridMultilevel"/>
    <w:lvl w:ilvl="0">
      <w:lvlJc w:val="left"/>
      <w:lvlText w:val="%1."/>
      <w:numFmt w:val="decimal"/>
      <w:start w:val="5"/>
    </w:lvl>
  </w:abstractNum>
  <w:abstractNum w:abstractNumId="51">
    <w:nsid w:val="649BB77C"/>
    <w:multiLevelType w:val="hybridMultilevel"/>
    <w:lvl w:ilvl="0">
      <w:lvlJc w:val="left"/>
      <w:lvlText w:val="(%1)"/>
      <w:numFmt w:val="lowerRoman"/>
      <w:start w:val="2"/>
    </w:lvl>
    <w:lvl w:ilvl="1">
      <w:lvlJc w:val="left"/>
      <w:lvlText w:val="%2."/>
      <w:numFmt w:val="decimal"/>
      <w:start w:val="7"/>
    </w:lvl>
  </w:abstractNum>
  <w:abstractNum w:abstractNumId="52">
    <w:nsid w:val="275AC794"/>
    <w:multiLevelType w:val="hybridMultilevel"/>
    <w:lvl w:ilvl="0">
      <w:lvlJc w:val="left"/>
      <w:lvlText w:val="%1."/>
      <w:numFmt w:val="decimal"/>
      <w:start w:val="10"/>
    </w:lvl>
  </w:abstractNum>
  <w:abstractNum w:abstractNumId="53">
    <w:nsid w:val="39386575"/>
    <w:multiLevelType w:val="hybridMultilevel"/>
    <w:lvl w:ilvl="0">
      <w:lvlJc w:val="left"/>
      <w:lvlText w:val="(%1)"/>
      <w:numFmt w:val="decimal"/>
      <w:start w:val="1"/>
    </w:lvl>
  </w:abstractNum>
  <w:abstractNum w:abstractNumId="54">
    <w:nsid w:val="1CF10FD8"/>
    <w:multiLevelType w:val="hybridMultilevel"/>
    <w:lvl w:ilvl="0">
      <w:lvlJc w:val="left"/>
      <w:lvlText w:val="["/>
      <w:numFmt w:val="bullet"/>
      <w:start w:val="1"/>
    </w:lvl>
  </w:abstractNum>
  <w:abstractNum w:abstractNumId="55">
    <w:nsid w:val="180115BE"/>
    <w:multiLevelType w:val="hybridMultilevel"/>
    <w:lvl w:ilvl="0">
      <w:lvlJc w:val="left"/>
      <w:lvlText w:val="(%1)"/>
      <w:numFmt w:val="decimal"/>
      <w:start w:val="3"/>
    </w:lvl>
  </w:abstractNum>
  <w:abstractNum w:abstractNumId="56">
    <w:nsid w:val="235BA861"/>
    <w:multiLevelType w:val="hybridMultilevel"/>
    <w:lvl w:ilvl="0">
      <w:lvlJc w:val="left"/>
      <w:lvlText w:val="%1."/>
      <w:numFmt w:val="decimal"/>
      <w:start w:val="1"/>
    </w:lvl>
  </w:abstractNum>
  <w:abstractNum w:abstractNumId="57">
    <w:nsid w:val="47398C89"/>
    <w:multiLevelType w:val="hybridMultilevel"/>
    <w:lvl w:ilvl="0">
      <w:lvlJc w:val="left"/>
      <w:lvlText w:val="%1."/>
      <w:numFmt w:val="decimal"/>
      <w:start w:val="6"/>
    </w:lvl>
  </w:abstractNum>
  <w:abstractNum w:abstractNumId="58">
    <w:nsid w:val="354FE9F9"/>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2019-12-13T21:00:15Z</dcterms:created>
  <dcterms:modified xsi:type="dcterms:W3CDTF">2019-12-13T21:00:15Z</dcterms:modified>
</cp:coreProperties>
</file>