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5</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 Capitalized terms used but not defined herein have the meanings ascribed to them in the Prospectus.</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21, 2024, the closing price of our common stock was $1.04.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firstLine="648"/>
        <w:spacing w:after="0" w:line="190" w:lineRule="auto"/>
        <w:rPr>
          <w:sz w:val="20"/>
          <w:szCs w:val="20"/>
          <w:color w:val="auto"/>
        </w:rPr>
      </w:pPr>
      <w:r>
        <w:rPr>
          <w:rFonts w:ascii="Times New Roman" w:cs="Times New Roman" w:eastAsia="Times New Roman" w:hAnsi="Times New Roman"/>
          <w:sz w:val="18"/>
          <w:szCs w:val="18"/>
          <w:color w:val="auto"/>
        </w:rPr>
        <w:t>The Company entered into a Phase 2 collaboration agreement with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that will continue their collaboration to advance remote telesurgery for endovascular procedures. During Phase 2, the Company and Corewell Health</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will work together to develop the capabilities to perform</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simulated cardiovascular interventional procedures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across two sites within the Corewell Health system which are five miles apart.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2024-08-22T10:39:19Z</dcterms:created>
  <dcterms:modified xsi:type="dcterms:W3CDTF">2024-08-22T10:39:19Z</dcterms:modified>
</cp:coreProperties>
</file>