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August 31,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August 31, StemCells, Inc. (the "Company") issued a press release announcing that it has received a manufacturing license for its cell processing facility from the State of California Department of Health Services, Food and Drug Branch. The full text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846455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August 31,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Martin McGlynn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46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Company Contact:</w:t>
            </w:r>
          </w:p>
        </w:tc>
        <w:tc>
          <w:tcPr>
            <w:tcW w:w="540" w:type="dxa"/>
            <w:vAlign w:val="bottom"/>
          </w:tcPr>
          <w:p>
            <w:pPr>
              <w:spacing w:after="0"/>
              <w:rPr>
                <w:sz w:val="23"/>
                <w:szCs w:val="23"/>
                <w:color w:val="auto"/>
              </w:rPr>
            </w:pPr>
          </w:p>
        </w:tc>
        <w:tc>
          <w:tcPr>
            <w:tcW w:w="5640" w:type="dxa"/>
            <w:vAlign w:val="bottom"/>
            <w:tcBorders>
              <w:bottom w:val="single" w:sz="8" w:color="auto"/>
            </w:tcBorders>
          </w:tcPr>
          <w:p>
            <w:pPr>
              <w:ind w:left="2100"/>
              <w:spacing w:after="0"/>
              <w:rPr>
                <w:sz w:val="20"/>
                <w:szCs w:val="20"/>
                <w:color w:val="auto"/>
              </w:rPr>
            </w:pPr>
            <w:r>
              <w:rPr>
                <w:rFonts w:ascii="Arial" w:cs="Arial" w:eastAsia="Arial" w:hAnsi="Arial"/>
                <w:sz w:val="22"/>
                <w:szCs w:val="22"/>
                <w:b w:val="1"/>
                <w:bCs w:val="1"/>
                <w:color w:val="auto"/>
              </w:rPr>
              <w:t>Media Contact:</w:t>
            </w:r>
          </w:p>
        </w:tc>
      </w:tr>
      <w:tr>
        <w:trPr>
          <w:trHeight w:val="215"/>
        </w:trPr>
        <w:tc>
          <w:tcPr>
            <w:tcW w:w="4660" w:type="dxa"/>
            <w:vAlign w:val="bottom"/>
          </w:tcPr>
          <w:p>
            <w:pPr>
              <w:spacing w:after="0" w:line="216" w:lineRule="exact"/>
              <w:rPr>
                <w:sz w:val="20"/>
                <w:szCs w:val="20"/>
                <w:color w:val="auto"/>
              </w:rPr>
            </w:pPr>
            <w:r>
              <w:rPr>
                <w:rFonts w:ascii="Arial" w:cs="Arial" w:eastAsia="Arial" w:hAnsi="Arial"/>
                <w:sz w:val="22"/>
                <w:szCs w:val="22"/>
                <w:color w:val="auto"/>
              </w:rPr>
              <w:t>Judi Lum</w:t>
            </w:r>
          </w:p>
        </w:tc>
        <w:tc>
          <w:tcPr>
            <w:tcW w:w="540" w:type="dxa"/>
            <w:vAlign w:val="bottom"/>
          </w:tcPr>
          <w:p>
            <w:pPr>
              <w:spacing w:after="0"/>
              <w:rPr>
                <w:sz w:val="18"/>
                <w:szCs w:val="18"/>
                <w:color w:val="auto"/>
              </w:rPr>
            </w:pPr>
          </w:p>
        </w:tc>
        <w:tc>
          <w:tcPr>
            <w:tcW w:w="5640" w:type="dxa"/>
            <w:vAlign w:val="bottom"/>
          </w:tcPr>
          <w:p>
            <w:pPr>
              <w:spacing w:after="0" w:line="216" w:lineRule="exact"/>
              <w:rPr>
                <w:sz w:val="20"/>
                <w:szCs w:val="20"/>
                <w:color w:val="auto"/>
              </w:rPr>
            </w:pPr>
            <w:r>
              <w:rPr>
                <w:rFonts w:ascii="Arial" w:cs="Arial" w:eastAsia="Arial" w:hAnsi="Arial"/>
                <w:sz w:val="22"/>
                <w:szCs w:val="22"/>
                <w:color w:val="auto"/>
              </w:rPr>
              <w:t>Schwartz Communications, Inc.</w:t>
            </w:r>
          </w:p>
        </w:tc>
      </w:tr>
      <w:tr>
        <w:trPr>
          <w:trHeight w:val="243"/>
        </w:trPr>
        <w:tc>
          <w:tcPr>
            <w:tcW w:w="4660" w:type="dxa"/>
            <w:vAlign w:val="bottom"/>
          </w:tcPr>
          <w:p>
            <w:pPr>
              <w:spacing w:after="0" w:line="243" w:lineRule="exact"/>
              <w:rPr>
                <w:sz w:val="20"/>
                <w:szCs w:val="20"/>
                <w:color w:val="auto"/>
              </w:rPr>
            </w:pPr>
            <w:r>
              <w:rPr>
                <w:rFonts w:ascii="Arial" w:cs="Arial" w:eastAsia="Arial" w:hAnsi="Arial"/>
                <w:sz w:val="22"/>
                <w:szCs w:val="22"/>
                <w:color w:val="auto"/>
              </w:rPr>
              <w:t>Chief Financial Officer</w:t>
            </w:r>
          </w:p>
        </w:tc>
        <w:tc>
          <w:tcPr>
            <w:tcW w:w="618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(781) 684-0770 or (415) 512-0770</w:t>
            </w:r>
          </w:p>
        </w:tc>
      </w:tr>
      <w:tr>
        <w:trPr>
          <w:trHeight w:val="275"/>
        </w:trPr>
        <w:tc>
          <w:tcPr>
            <w:tcW w:w="4660" w:type="dxa"/>
            <w:vAlign w:val="bottom"/>
          </w:tcPr>
          <w:p>
            <w:pPr>
              <w:spacing w:after="0"/>
              <w:rPr>
                <w:sz w:val="20"/>
                <w:szCs w:val="20"/>
                <w:color w:val="auto"/>
              </w:rPr>
            </w:pPr>
            <w:r>
              <w:rPr>
                <w:rFonts w:ascii="Arial" w:cs="Arial" w:eastAsia="Arial" w:hAnsi="Arial"/>
                <w:sz w:val="22"/>
                <w:szCs w:val="22"/>
                <w:color w:val="auto"/>
              </w:rPr>
              <w:t>(650) 475-3105</w:t>
            </w:r>
          </w:p>
        </w:tc>
        <w:tc>
          <w:tcPr>
            <w:tcW w:w="6180" w:type="dxa"/>
            <w:vAlign w:val="bottom"/>
            <w:gridSpan w:val="2"/>
          </w:tcPr>
          <w:p>
            <w:pPr>
              <w:ind w:left="540"/>
              <w:spacing w:after="0"/>
              <w:rPr>
                <w:sz w:val="20"/>
                <w:szCs w:val="20"/>
                <w:color w:val="auto"/>
              </w:rPr>
            </w:pPr>
            <w:r>
              <w:rPr>
                <w:rFonts w:ascii="Arial" w:cs="Arial" w:eastAsia="Arial" w:hAnsi="Arial"/>
                <w:sz w:val="22"/>
                <w:szCs w:val="22"/>
                <w:color w:val="auto"/>
              </w:rPr>
              <w:t>stemcells@schwartz-pr.com</w:t>
            </w:r>
          </w:p>
        </w:tc>
      </w:tr>
    </w:tbl>
    <w:p>
      <w:pPr>
        <w:spacing w:after="0" w:line="179" w:lineRule="exact"/>
        <w:rPr>
          <w:sz w:val="20"/>
          <w:szCs w:val="20"/>
          <w:color w:val="auto"/>
        </w:rPr>
      </w:pPr>
    </w:p>
    <w:p>
      <w:pPr>
        <w:jc w:val="center"/>
        <w:ind w:left="260" w:right="660"/>
        <w:spacing w:after="0" w:line="256" w:lineRule="auto"/>
        <w:rPr>
          <w:sz w:val="20"/>
          <w:szCs w:val="20"/>
          <w:color w:val="auto"/>
        </w:rPr>
      </w:pPr>
      <w:r>
        <w:rPr>
          <w:rFonts w:ascii="Arial" w:cs="Arial" w:eastAsia="Arial" w:hAnsi="Arial"/>
          <w:sz w:val="22"/>
          <w:szCs w:val="22"/>
          <w:b w:val="1"/>
          <w:bCs w:val="1"/>
          <w:color w:val="auto"/>
        </w:rPr>
        <w:t>STEMCELLS, INC. RECEIVES MANUFACTURING LICENSE FOR CELL PROCESSING FACILITY IN CALIFORNIA</w:t>
      </w:r>
    </w:p>
    <w:p>
      <w:pPr>
        <w:spacing w:after="0" w:line="163"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b w:val="1"/>
          <w:bCs w:val="1"/>
          <w:color w:val="auto"/>
        </w:rPr>
        <w:t xml:space="preserve">PALO ALTO, Calif., (August 31, 2005) </w:t>
      </w:r>
      <w:r>
        <w:rPr>
          <w:rFonts w:ascii="Arial" w:cs="Arial" w:eastAsia="Arial" w:hAnsi="Arial"/>
          <w:sz w:val="22"/>
          <w:szCs w:val="22"/>
          <w:color w:val="auto"/>
        </w:rPr>
        <w:t>– StemCells, Inc. (NASDAQ: STEM) today announced that it has received a</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license for its cell processing facility from the State of California Department of Health Services, Food and Drug Branch. This enables the Company to use its proprietary neural cell therapy product, HuCNS-SC, which is made at its licensed facility, in clinical trials.</w:t>
      </w:r>
    </w:p>
    <w:p>
      <w:pPr>
        <w:spacing w:after="0" w:line="187"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“Acquiring this license is another milestone in our progress toward beginning our first human clinical trial,” said Martin McGlynn, President and CEO of StemCells. “In addition, the California location of the facility improves our position as a potential recipient of Proposition 71 funds. As we previously announced, the Company filed an Investigational New Drug application (IND) with the U.S. Food and Drug Administration (FDA) to begin a clinical trial of our human neural stem cells for the treatment of Batten disease, a rare and fatal neurodegenerative genetic condition affecting infants and children. The trial is on clinical hold pending a complete response acceptable to the FDA. As previously announced, we remain on track to submit our complete response letter, in the form of an IND amendment, to the FDA this quarter.”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 </w:t>
      </w:r>
      <w:r>
        <w:rPr>
          <w:rFonts w:ascii="Arial" w:cs="Arial" w:eastAsia="Arial" w:hAnsi="Arial"/>
          <w:sz w:val="19"/>
          <w:szCs w:val="19"/>
          <w:u w:val="single" w:color="auto"/>
          <w:color w:val="auto"/>
        </w:rPr>
        <w:t>www.stemcellsinc.com</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Proposition 71</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In November 2004, California State Proposition 71 (Prop. 71), the California Stem Cell Research and Cures Initiative, was adopted by the electorate. It is intended to encourage stem cell research in the State of California, and to finance such research with State funds of approximately $295 million annually for 10 years beginning with 2005. The California Institute for Regenerative Medicine, created under the Initiative, will provide grants, primarily but not exclusively to academic institutions, to advance both embryonic stem cell research and adult stem cell research; the latter is the current and exclusive focus at StemCells, Inc. StemCells, Inc. is eligible to receive Prop. 71 generated funds and intends to apply for such funding at some future date.</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Company’s beliefs regarding the progress made in its discussions with the FDA, attitudes expressed by the FDA and expectations regarding FDA actions and the Company’s response to these actions, the Company’s ability to resolve questions raised by the FDA and to initiate clinical trials, the timing of such trials, and other future operations of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as to whether the FDA will remove the clinical hold on the Company’s proposed initial clinical trial and permit the Company to proceed to clinical testing despite the novel and unproven nature of the Company’s technology; uncertainties regarding the Company’s ability to satisfy the FDA’s concerns, if at all, or without conducting extensive and time consuming additional preclinical studies; uncertainty whether the FDA may at some point raise other concerns not included in its written notification to the Company of the clinical hold on the proposed trial; the risk that, even if approved, the Company’s initial clinical trial could be substantially delayed beyond its expected dates; uncertainties regarding the Company’s ability to obtain the capital resources needed to continue its current research and development operations and to conduct the research, preclinical development and clinical trials necessary for regulatory approvals;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the Company’s Annual Report on Form 10-K under the heading “Cautionary Factors Relevant to Forward-Looking Statements.”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sectPr>
      <w:pgSz w:w="11900" w:h="16838" w:orient="portrait"/>
      <w:cols w:equalWidth="0" w:num="1">
        <w:col w:w="11400"/>
      </w:cols>
      <w:pgMar w:left="240" w:top="355" w:right="259" w:bottom="3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2019-12-13T21:46:09Z</dcterms:created>
  <dcterms:modified xsi:type="dcterms:W3CDTF">2019-12-13T21:46:09Z</dcterms:modified>
</cp:coreProperties>
</file>