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21,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1.01. Entry into a Material Definitive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On October 21, 2022, Microbot Medical Inc., a Delaware corporation (the “Company”), entered into a Securities Purchase Agreement (the “Purchase Agreement”) with an institutional investor (the “Investor”), pursuant to which the Company agreed to issue and sell, in a registered direct offering priced at-the-market under the rules of The Nasdaq Stock Market (the “Registered Offering”), (i) an aggregate of 782,495 shares (the “Shares”) of the Company’s common stock, par value $0.01 per share (“Common Stock”), at an offering price of $4.89 per share and (ii) pre-funded warrants exercisable for up to 240,000 shares of Common Stock (the “Pre-Funded Warrants”) to the Investor at an offering price of $4.8899 per Pre-Funded Warrant, for aggregate gross proceeds from the Offerings (as defined below) of approximately $5.0 million before deducting the placement agent fee (as described in greater detail below) and related offering expenses.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The Pre-Funded Warrants were sold, in lieu of shares of Common Stock, to any Investor whose purchase of shares of Common Stock in the Registered Offering would otherwise result in such Investor, together with its affiliates and certain related parties, beneficially owning more than 4.99% (or, at such Investor’s option upon issuance, 9.99%) of the Company’s outstanding Common Stock immediately following the consummation of the Registered Offering. Each Pre-Funded Warrant represents the right to purchase one share of Common Stock at an exercise price of $0.0001 per share. The Pre-Funded Warrants are exercisable immediately and may be exercised at any time until the Pre-Funded Warrants are exercised in full.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The Purchase Agreement contains customary representations and warranties and agreements of the Company and the Investor and customary indemnification rights and obligations of the parties. Pursuant to the terms of each of the Purchase Agreements, the Company has agreed to certain restrictions on the issuance and sale of its Common Stock or Common Stock Equivalents (as defined in the Purchase Agreements) during the 45-day period following the closing of the Registered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 Shares and Pre-Funded Warrants were offered by the Company pursuant to a registration statement on Form S-3 (File No. 333-250966), which was filed with the Securities and Exchange Commission (the “Commission”) on November 25, 2020 and was declared effective by the Commission on December 4, 2020 (the “Registration Statement”).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In a concurrent private placement (the “Private Placement” and, together with the Registered Offering, the “Offerings”), the Company agreed to issue to the Investor (i) Series A preferred investment options to purchase up to 1,022,495 shares of Common Stock (the “Series A Warrants”) at an exercise price of $4.64 per share and (ii) Series B preferred investment options to purchase up to 1,022,495 shares of Common Stock (the “Series B Warrants” and, together with the Series A Warrants, the “Common Warrants”) at an exercise price of $4.64 per share. Each Series A Warrant is exercisable immediately and will expire five years from the initial exercise date. Each Series B Warrant is exercisable immediately and will expire two years from the initial exercise date. The Common Warrants and the shares of our Common Stock issuable upon the exercise of the Common Warrants are not being registered under the Securities Act of 1933, as amended (the “Securities Act”), were not offered pursuant to the Registration Statement and were offered pursuant to the exemption provided in Section 4(a)(2) under the Securities Act, and Rule 506(b) promulgated thereunder.</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A holder (together with its affiliates) may not exercise any portion of the Pre-Funded Warrants or Common Warrants to the extent that the holder would own more than 4.99% (or, at the purchaser’s option upon issuance, 9.99%) of the Company’s outstanding Common Stock immediately after exercise. However, upon at least 61 days’ prior notice from the holder to the Company, a holder with a 4.99% ownership blocker may increase the amount of ownership of outstanding Common Stock after exercising the holder’s Pre-Funded Warrants or Common Warrants up to 9.99% of the number of the Company’s Common Stock outstanding immediately after giving effect to the exercise, as such percentage ownership is determined in accordance with the terms of the Pre-Funded Warrant or Common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212529"/>
        </w:rPr>
        <w:t>On October 3, 2022 and in connection with the Offerings, the Company entered into an engagement letter (the “Engagement Letter”) with H.C. Wainwright</w:t>
      </w:r>
    </w:p>
    <w:p>
      <w:pPr>
        <w:spacing w:after="0" w:line="27" w:lineRule="exact"/>
        <w:rPr>
          <w:sz w:val="20"/>
          <w:szCs w:val="20"/>
          <w:color w:val="auto"/>
        </w:rPr>
      </w:pPr>
    </w:p>
    <w:p>
      <w:pPr>
        <w:jc w:val="both"/>
        <w:ind w:firstLine="8"/>
        <w:spacing w:after="0" w:line="251" w:lineRule="auto"/>
        <w:tabs>
          <w:tab w:leader="none" w:pos="193"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Co., LLC (“Wainwright”), pursuant to which Wainwright agreed to serve as the exclusive placement agent for the issuance and sale of securities of the Company pursuant to the Purchase Agreement. As compensation for such placement agent services, the Company has agreed to pay Wainwright an aggregate cash fee equal to 7.0% of the gross proceeds received by the Company from the Offerings, plus a management fee equal to 1.0% of the gross proceeds received by the Company from the Offerings, a non-accountable expense of $150,000 and $15,950 for clearing expenses. The Company has also agreed to issue to Wainwright or its designees warrants to purchase 51,125 shares of Common Stock (the “Wainwright Warrants” and, together with the Pre-Funded Warrants and the Common Warrants, the “Warrants”). The Wainwright Warrants have a term of five years from the commencement of sales in the Offerings, and have an exercise price of $6.1125 per share. Further, pursuant to the Engagement Letter, Wainwright is entitled to compensation with respect to any financing of the Company occurring within six months of the termination of the Engagement Letter when such financing is provided by investors whom Wainwright introduced to the Company during the term of the Engagement Letter.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termination of the Engagement Letter. In addition, upon any exercise for cash of any preferred investment options issued to investors in the offering, the Company shall pay Wainwright, within five (5) business days of the Company's receipt of the exercise price, a cash fee of seven (7.0%) percent of the aggregate gross exercise price paid in cash with respect thereto. Also, upon any exercise for cash of any preferred investment options issued to investors in this offering, the Company shall issue to Wainwright (or its designees), within five (5) business days of the Company's receipt of the exercise price, warrants to purchase that number of shares of common stock of the Company equal to five (5.0%) percent of the aggregate number of such shares of common stock underlying the preferred investment options that have been so exercised. The Engagement Letter also includes indemnification obligations of the Company and other provisions customary for transactions of this nature.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 Common Stock is listed on The Nasdaq Capital Market. There is no established trading market for the Warrants, and the Company does not intend to list the Warrants on any securities exchange or nationally recognized trading system. Without a trading market, the liquidity of the Warrants may be extremely limited.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summaries of the form of Pre-Funded Warrant, the form of Series A Warrant, the form of Series B Warrant, the form of Wainwright Warrant and the Purchase Agreement do not purport to be complete and are subject to, and qualified in their entirety by, such documents attached as Exhibits 4.1, 4.2, 4.3, 4.4 and 10.1, respectively, to this Current Report on Form 8-K, which are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A copy of the opinion of Mintz, Levin, Cohn, Ferris, Glovsky and Popeo, P.C. relating to the legality of the issuance and sale of the Shares is attached as Exhibit 5.1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information set forth in Item 1.01 above is incorporated herein by reference into this Item 3.02.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21, 2022, the Company issued a press release announcing the Offerings, a copy of which is attached hereto as Exhibit 99.1 and is incorporated by reference into this Item 8.01 of this Current Report on Form 8-K. On October 25, 2022, the Company issued a press release announcing the closing of the Offerings, a copy of which is attached hereto as Exhibit 99.2 and is incorporated by reference into this Item 8.01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212529"/>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Form of Pre-Funded Warrant.</w:t>
      </w:r>
    </w:p>
    <w:p>
      <w:pPr>
        <w:spacing w:after="0" w:line="225"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0000EE"/>
        </w:rPr>
        <w:t>Form of Series A Warrant.</w:t>
      </w:r>
    </w:p>
    <w:p>
      <w:pPr>
        <w:spacing w:after="0" w:line="225"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0000EE"/>
        </w:rPr>
        <w:t>Form of Series B Warrant.</w:t>
      </w:r>
    </w:p>
    <w:p>
      <w:pPr>
        <w:spacing w:after="0" w:line="225"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u w:val="single" w:color="auto"/>
          <w:color w:val="0000EE"/>
        </w:rPr>
        <w:t>Form of Wainwright Warrant.</w:t>
      </w:r>
    </w:p>
    <w:p>
      <w:pPr>
        <w:spacing w:after="0" w:line="225" w:lineRule="exact"/>
        <w:rPr>
          <w:sz w:val="20"/>
          <w:szCs w:val="20"/>
          <w:color w:val="auto"/>
        </w:rPr>
      </w:pPr>
    </w:p>
    <w:p>
      <w:pPr>
        <w:ind w:left="220"/>
        <w:spacing w:after="0"/>
        <w:tabs>
          <w:tab w:leader="none" w:pos="7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Mintz, Levin, Cohn, Ferris, Glovsky and Popeo, P.C.</w:t>
      </w:r>
    </w:p>
    <w:p>
      <w:pPr>
        <w:spacing w:after="0" w:line="225" w:lineRule="exact"/>
        <w:rPr>
          <w:sz w:val="20"/>
          <w:szCs w:val="20"/>
          <w:color w:val="auto"/>
        </w:rPr>
      </w:pPr>
    </w:p>
    <w:p>
      <w:pPr>
        <w:ind w:left="180"/>
        <w:spacing w:after="0"/>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Securities Purchase Agreement, dated as of 21, 2022, by and among the Company and the purchasers party thereto.</w:t>
      </w:r>
    </w:p>
    <w:p>
      <w:pPr>
        <w:spacing w:after="0" w:line="225" w:lineRule="exact"/>
        <w:rPr>
          <w:sz w:val="20"/>
          <w:szCs w:val="20"/>
          <w:color w:val="auto"/>
        </w:rPr>
      </w:pPr>
    </w:p>
    <w:p>
      <w:pPr>
        <w:ind w:left="180"/>
        <w:spacing w:after="0"/>
        <w:tabs>
          <w:tab w:leader="none" w:pos="7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Mintz, Levin, Cohn, Ferris, Glovsky and Popeo, P.C. (included in Exhibit 5.1).</w:t>
      </w:r>
    </w:p>
    <w:p>
      <w:pPr>
        <w:spacing w:after="0" w:line="225" w:lineRule="exact"/>
        <w:rPr>
          <w:sz w:val="20"/>
          <w:szCs w:val="20"/>
          <w:color w:val="auto"/>
        </w:rPr>
      </w:pPr>
    </w:p>
    <w:p>
      <w:pPr>
        <w:ind w:left="180"/>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Pricing Press Release.</w:t>
      </w:r>
    </w:p>
    <w:p>
      <w:pPr>
        <w:spacing w:after="0" w:line="225" w:lineRule="exact"/>
        <w:rPr>
          <w:sz w:val="20"/>
          <w:szCs w:val="20"/>
          <w:color w:val="auto"/>
        </w:rPr>
      </w:pPr>
    </w:p>
    <w:p>
      <w:pPr>
        <w:ind w:left="200"/>
        <w:spacing w:after="0"/>
        <w:tabs>
          <w:tab w:leader="none" w:pos="7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Closing Press Release.</w:t>
      </w:r>
    </w:p>
    <w:p>
      <w:pPr>
        <w:spacing w:after="0" w:line="225" w:lineRule="exact"/>
        <w:rPr>
          <w:sz w:val="20"/>
          <w:szCs w:val="20"/>
          <w:color w:val="auto"/>
        </w:rPr>
      </w:pPr>
    </w:p>
    <w:p>
      <w:pPr>
        <w:ind w:left="200"/>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b w:val="1"/>
          <w:bCs w:val="1"/>
          <w:color w:val="auto"/>
        </w:rPr>
        <w:t>EXHIBIT A-1</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PRE-FUNDED COMMON STOCK PURCHASE WARRANT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October ___,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October ___, 2022</w:t>
      </w:r>
    </w:p>
    <w:p>
      <w:pPr>
        <w:spacing w:after="0" w:line="200" w:lineRule="exact"/>
        <w:rPr>
          <w:sz w:val="20"/>
          <w:szCs w:val="20"/>
          <w:color w:val="auto"/>
        </w:rPr>
      </w:pPr>
    </w:p>
    <w:p>
      <w:pPr>
        <w:sectPr>
          <w:pgSz w:w="11900" w:h="16838" w:orient="portrait"/>
          <w:cols w:equalWidth="0" w:num="2">
            <w:col w:w="4640" w:space="720"/>
            <w:col w:w="5880"/>
          </w:cols>
          <w:pgMar w:left="320" w:top="333" w:right="33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 adjustment hereunder, the</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October ___, 2022, among the Company and the purchasers signatory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8" w:lineRule="auto"/>
        <w:tabs>
          <w:tab w:leader="none" w:pos="149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7"/>
          <w:szCs w:val="17"/>
          <w:b w:val="1"/>
          <w:bCs w:val="1"/>
          <w:color w:val="auto"/>
        </w:rPr>
        <w:t>The Holder and any assignee, by acceptance of this Warrant, acknowledge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 w:name="page7"/>
    <w:bookmarkEnd w:id="6"/>
    <w:p>
      <w:pPr>
        <w:jc w:val="both"/>
        <w:ind w:left="-460" w:firstLine="644"/>
        <w:spacing w:after="0" w:line="256" w:lineRule="auto"/>
        <w:tabs>
          <w:tab w:leader="none" w:pos="3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3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62" w:lineRule="exact"/>
        <w:rPr>
          <w:sz w:val="20"/>
          <w:szCs w:val="20"/>
          <w:color w:val="auto"/>
        </w:rPr>
      </w:pPr>
    </w:p>
    <w:p>
      <w:pPr>
        <w:jc w:val="right"/>
        <w:ind w:left="840" w:hanging="656"/>
        <w:spacing w:after="0" w:line="269" w:lineRule="auto"/>
        <w:tabs>
          <w:tab w:leader="none" w:pos="48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2" w:lineRule="exact"/>
        <w:rPr>
          <w:rFonts w:ascii="Times New Roman" w:cs="Times New Roman" w:eastAsia="Times New Roman" w:hAnsi="Times New Roman"/>
          <w:sz w:val="17"/>
          <w:szCs w:val="17"/>
          <w:color w:val="auto"/>
        </w:rPr>
      </w:pPr>
    </w:p>
    <w:p>
      <w:pPr>
        <w:jc w:val="both"/>
        <w:ind w:left="840" w:hanging="8"/>
        <w:spacing w:after="0" w:line="252" w:lineRule="auto"/>
        <w:tabs>
          <w:tab w:leader="none" w:pos="108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9" w:lineRule="exact"/>
        <w:rPr>
          <w:rFonts w:ascii="Times New Roman" w:cs="Times New Roman" w:eastAsia="Times New Roman" w:hAnsi="Times New Roman"/>
          <w:sz w:val="18"/>
          <w:szCs w:val="18"/>
          <w:color w:val="auto"/>
        </w:rPr>
      </w:pPr>
    </w:p>
    <w:p>
      <w:pPr>
        <w:ind w:left="460" w:hanging="276"/>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 w:name="page8"/>
    <w:bookmarkEnd w:id="7"/>
    <w:p>
      <w:pPr>
        <w:ind w:left="1300" w:right="20" w:hanging="656"/>
        <w:spacing w:after="0" w:line="282" w:lineRule="auto"/>
        <w:tabs>
          <w:tab w:leader="none" w:pos="9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8" w:name="page9"/>
    <w:bookmarkEnd w:id="8"/>
    <w:p>
      <w:pPr>
        <w:ind w:left="380" w:hanging="196"/>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1" w:lineRule="auto"/>
        <w:tabs>
          <w:tab w:leader="none" w:pos="16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20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9" w:name="page10"/>
    <w:bookmarkEnd w:id="9"/>
    <w:p>
      <w:pPr>
        <w:jc w:val="both"/>
        <w:ind w:left="840" w:firstLine="640"/>
        <w:spacing w:after="0" w:line="261" w:lineRule="auto"/>
        <w:tabs>
          <w:tab w:leader="none" w:pos="16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840" w:firstLine="640"/>
        <w:spacing w:after="0" w:line="282" w:lineRule="auto"/>
        <w:tabs>
          <w:tab w:leader="none" w:pos="17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0" w:name="page11"/>
    <w:bookmarkEnd w:id="10"/>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jc w:val="both"/>
        <w:ind w:left="840" w:firstLine="640"/>
        <w:spacing w:after="0" w:line="254" w:lineRule="auto"/>
        <w:tabs>
          <w:tab w:leader="none" w:pos="17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1" w:name="page12"/>
    <w:bookmarkEnd w:id="11"/>
    <w:p>
      <w:pPr>
        <w:jc w:val="both"/>
        <w:ind w:firstLine="644"/>
        <w:spacing w:after="0" w:line="266" w:lineRule="auto"/>
        <w:tabs>
          <w:tab w:leader="none" w:pos="84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Limitation</w:t>
      </w:r>
      <w:r>
        <w:rPr>
          <w:rFonts w:ascii="Times New Roman" w:cs="Times New Roman" w:eastAsia="Times New Roman" w:hAnsi="Times New Roman"/>
          <w:sz w:val="17"/>
          <w:szCs w:val="17"/>
          <w:color w:val="auto"/>
        </w:rPr>
        <w:t>” shall be [4.99%]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w:t>
      </w:r>
    </w:p>
    <w:p>
      <w:pPr>
        <w:spacing w:after="0" w:line="2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3" w:name="page14"/>
    <w:bookmarkEnd w:id="13"/>
    <w:p>
      <w:pPr>
        <w:jc w:val="both"/>
        <w:ind w:left="-460" w:firstLine="644"/>
        <w:spacing w:after="0" w:line="253" w:lineRule="auto"/>
        <w:tabs>
          <w:tab w:leader="none" w:pos="373" w:val="left"/>
        </w:tabs>
        <w:numPr>
          <w:ilvl w:val="0"/>
          <w:numId w:val="1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4" w:name="page15"/>
    <w:bookmarkEnd w:id="14"/>
    <w:p>
      <w:pPr>
        <w:jc w:val="both"/>
        <w:ind w:left="-460" w:firstLine="644"/>
        <w:spacing w:after="0" w:line="251" w:lineRule="auto"/>
        <w:tabs>
          <w:tab w:leader="none" w:pos="3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cs="Times New Roman" w:eastAsia="Times New Roman" w:hAnsi="Times New Roman"/>
          <w:sz w:val="18"/>
          <w:szCs w:val="18"/>
          <w:u w:val="single" w:color="auto"/>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w:t>
      </w:r>
    </w:p>
    <w:p>
      <w:pPr>
        <w:spacing w:after="0" w:line="196"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5" w:name="page16"/>
    <w:bookmarkEnd w:id="15"/>
    <w:p>
      <w:pPr>
        <w:ind w:left="800" w:hanging="156"/>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45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47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w:t>
      </w:r>
    </w:p>
    <w:p>
      <w:pPr>
        <w:jc w:val="both"/>
        <w:ind w:left="6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5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Section 3(f)(ii) in confidence until such information is publicly available, and shall comply with applicable law with respect to trading in the Company’s securities following receipt any such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6" w:name="page17"/>
    <w:bookmarkEnd w:id="16"/>
    <w:p>
      <w:pPr>
        <w:jc w:val="both"/>
        <w:ind w:firstLine="644"/>
        <w:spacing w:after="0" w:line="256" w:lineRule="auto"/>
        <w:tabs>
          <w:tab w:leader="none" w:pos="8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3"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7" w:name="page18"/>
    <w:bookmarkEnd w:id="17"/>
    <w:p>
      <w:pPr>
        <w:ind w:left="-460" w:right="20" w:firstLine="644"/>
        <w:spacing w:after="0" w:line="282" w:lineRule="auto"/>
        <w:tabs>
          <w:tab w:leader="none" w:pos="3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8" w:name="page19"/>
    <w:bookmarkEnd w:id="18"/>
    <w:p>
      <w:pPr>
        <w:ind w:firstLine="644"/>
        <w:spacing w:after="0" w:line="282" w:lineRule="auto"/>
        <w:tabs>
          <w:tab w:leader="none" w:pos="8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right="20" w:firstLine="644"/>
        <w:spacing w:after="0" w:line="282" w:lineRule="auto"/>
        <w:tabs>
          <w:tab w:leader="none" w:pos="8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firstLine="644"/>
        <w:spacing w:after="0" w:line="256" w:lineRule="auto"/>
        <w:tabs>
          <w:tab w:leader="none" w:pos="8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right="20" w:firstLine="644"/>
        <w:spacing w:after="0" w:line="282" w:lineRule="auto"/>
        <w:tabs>
          <w:tab w:leader="none" w:pos="8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8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800" w:hanging="156"/>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w:t>
      </w:r>
    </w:p>
    <w:p>
      <w:pPr>
        <w:spacing w:after="0" w:line="206" w:lineRule="exact"/>
        <w:rPr>
          <w:rFonts w:ascii="Times New Roman" w:cs="Times New Roman" w:eastAsia="Times New Roman" w:hAnsi="Times New Roman"/>
          <w:sz w:val="18"/>
          <w:szCs w:val="18"/>
          <w:color w:val="auto"/>
        </w:rPr>
      </w:pPr>
    </w:p>
    <w:p>
      <w:pPr>
        <w:jc w:val="both"/>
        <w:ind w:firstLine="644"/>
        <w:spacing w:after="0" w:line="266" w:lineRule="auto"/>
        <w:tabs>
          <w:tab w:leader="none" w:pos="8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right="20" w:firstLine="644"/>
        <w:spacing w:after="0" w:line="282" w:lineRule="auto"/>
        <w:tabs>
          <w:tab w:leader="none" w:pos="8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9" w:name="page20"/>
    <w:bookmarkEnd w:id="19"/>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firstLine="1304"/>
        <w:spacing w:after="0" w:line="282" w:lineRule="auto"/>
        <w:tabs>
          <w:tab w:leader="none" w:pos="15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20" w:hanging="8"/>
        <w:spacing w:after="0" w:line="266" w:lineRule="auto"/>
        <w:tabs>
          <w:tab w:leader="none" w:pos="2181" w:val="left"/>
        </w:tabs>
        <w:numPr>
          <w:ilvl w:val="1"/>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Investing Entity: 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exercise the Warrant to purchase shares.)</w:t>
      </w:r>
    </w:p>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4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r>
      <w:tr>
        <w:trPr>
          <w:trHeight w:val="243"/>
        </w:trPr>
        <w:tc>
          <w:tcPr>
            <w:tcW w:w="4800" w:type="dxa"/>
            <w:vAlign w:val="bottom"/>
          </w:tcPr>
          <w:p>
            <w:pPr>
              <w:spacing w:after="0"/>
              <w:rPr>
                <w:sz w:val="21"/>
                <w:szCs w:val="21"/>
                <w:color w:val="auto"/>
              </w:rPr>
            </w:pPr>
          </w:p>
        </w:tc>
        <w:tc>
          <w:tcPr>
            <w:tcW w:w="64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(Please Print)</w:t>
            </w:r>
          </w:p>
        </w:tc>
      </w:tr>
      <w:tr>
        <w:trPr>
          <w:trHeight w:val="41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64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r>
      <w:tr>
        <w:trPr>
          <w:trHeight w:val="234"/>
        </w:trPr>
        <w:tc>
          <w:tcPr>
            <w:tcW w:w="4800" w:type="dxa"/>
            <w:vAlign w:val="bottom"/>
          </w:tcPr>
          <w:p>
            <w:pPr>
              <w:spacing w:after="0"/>
              <w:rPr>
                <w:sz w:val="20"/>
                <w:szCs w:val="20"/>
                <w:color w:val="auto"/>
              </w:rPr>
            </w:pPr>
          </w:p>
        </w:tc>
        <w:tc>
          <w:tcPr>
            <w:tcW w:w="64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(Please Print)</w:t>
            </w:r>
          </w:p>
        </w:tc>
      </w:tr>
      <w:tr>
        <w:trPr>
          <w:trHeight w:val="43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64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r>
      <w:tr>
        <w:trPr>
          <w:trHeight w:val="43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64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r>
      <w:tr>
        <w:trPr>
          <w:trHeight w:val="43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6440" w:type="dxa"/>
            <w:vAlign w:val="bottom"/>
          </w:tcPr>
          <w:p>
            <w:pPr>
              <w:spacing w:after="0"/>
              <w:rPr>
                <w:sz w:val="24"/>
                <w:szCs w:val="24"/>
                <w:color w:val="auto"/>
              </w:rPr>
            </w:pPr>
          </w:p>
        </w:tc>
      </w:tr>
      <w:tr>
        <w:trPr>
          <w:trHeight w:val="43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 ____________________________</w:t>
            </w:r>
          </w:p>
        </w:tc>
        <w:tc>
          <w:tcPr>
            <w:tcW w:w="6440" w:type="dxa"/>
            <w:vAlign w:val="bottom"/>
          </w:tcPr>
          <w:p>
            <w:pPr>
              <w:spacing w:after="0"/>
              <w:rPr>
                <w:sz w:val="24"/>
                <w:szCs w:val="24"/>
                <w:color w:val="auto"/>
              </w:rPr>
            </w:pPr>
          </w:p>
        </w:tc>
      </w:tr>
      <w:tr>
        <w:trPr>
          <w:trHeight w:val="43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 _____________________________</w:t>
            </w:r>
          </w:p>
        </w:tc>
        <w:tc>
          <w:tcPr>
            <w:tcW w:w="6440" w:type="dxa"/>
            <w:vAlign w:val="bottom"/>
          </w:tcPr>
          <w:p>
            <w:pPr>
              <w:spacing w:after="0"/>
              <w:rPr>
                <w:sz w:val="24"/>
                <w:szCs w:val="24"/>
                <w:color w:val="auto"/>
              </w:rPr>
            </w:pPr>
          </w:p>
        </w:tc>
      </w:tr>
      <w:tr>
        <w:trPr>
          <w:trHeight w:val="439"/>
        </w:trPr>
        <w:tc>
          <w:tcPr>
            <w:tcW w:w="48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b w:val="1"/>
          <w:bCs w:val="1"/>
          <w:color w:val="auto"/>
        </w:rPr>
        <w:t>EXHIBIT A-2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PREFERRED INVESTMENT OPTION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 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October ___,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October ___, 2022</w:t>
      </w:r>
    </w:p>
    <w:p>
      <w:pPr>
        <w:spacing w:after="0" w:line="200" w:lineRule="exact"/>
        <w:rPr>
          <w:sz w:val="20"/>
          <w:szCs w:val="20"/>
          <w:color w:val="auto"/>
        </w:rPr>
      </w:pPr>
    </w:p>
    <w:p>
      <w:pPr>
        <w:sectPr>
          <w:pgSz w:w="11900" w:h="16838" w:orient="portrait"/>
          <w:cols w:equalWidth="0" w:num="2">
            <w:col w:w="3820" w:space="720"/>
            <w:col w:w="6700"/>
          </w:cols>
          <w:pgMar w:left="320" w:top="333" w:right="33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SERIES A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9"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any 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October ___, 2027</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shares (as subject to adjustment 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 Common Stock under this Preferred Investment Option shall be equal to the Exercise Price, as defined in Section 2(b).</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October ___, 2022, among the Company and the purchasers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3" w:lineRule="exact"/>
        <w:rPr>
          <w:sz w:val="20"/>
          <w:szCs w:val="20"/>
          <w:color w:val="auto"/>
        </w:rPr>
      </w:pPr>
    </w:p>
    <w:p>
      <w:pPr>
        <w:ind w:firstLine="8"/>
        <w:spacing w:after="0" w:line="195" w:lineRule="auto"/>
        <w:tabs>
          <w:tab w:leader="none" w:pos="126"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date that is the five (5) year anniversary of the Initial Exercise Date, provided that, if such date is not a Trading Day, insert the immediately following Trading Day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Preferred Investment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5" w:lineRule="exact"/>
        <w:rPr>
          <w:rFonts w:ascii="Times New Roman" w:cs="Times New Roman" w:eastAsia="Times New Roman" w:hAnsi="Times New Roman"/>
          <w:sz w:val="18"/>
          <w:szCs w:val="18"/>
          <w:color w:val="auto"/>
        </w:rPr>
      </w:pPr>
    </w:p>
    <w:p>
      <w:pPr>
        <w:ind w:right="20" w:firstLine="644"/>
        <w:spacing w:after="0" w:line="286" w:lineRule="auto"/>
        <w:tabs>
          <w:tab w:leader="none" w:pos="8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$4.64</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24" w:name="page25"/>
    <w:bookmarkEnd w:id="24"/>
    <w:p>
      <w:pPr>
        <w:jc w:val="both"/>
        <w:ind w:firstLine="644"/>
        <w:spacing w:after="0" w:line="261" w:lineRule="auto"/>
        <w:tabs>
          <w:tab w:leader="none" w:pos="8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jc w:val="right"/>
        <w:ind w:left="1300" w:hanging="656"/>
        <w:spacing w:after="0" w:line="269" w:lineRule="auto"/>
        <w:tabs>
          <w:tab w:leader="none" w:pos="94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2" w:lineRule="exact"/>
        <w:rPr>
          <w:rFonts w:ascii="Times New Roman" w:cs="Times New Roman" w:eastAsia="Times New Roman" w:hAnsi="Times New Roman"/>
          <w:sz w:val="17"/>
          <w:szCs w:val="17"/>
          <w:color w:val="auto"/>
        </w:rPr>
      </w:pPr>
    </w:p>
    <w:p>
      <w:pPr>
        <w:jc w:val="both"/>
        <w:ind w:left="1300" w:hanging="8"/>
        <w:spacing w:after="0" w:line="252" w:lineRule="auto"/>
        <w:tabs>
          <w:tab w:leader="none" w:pos="154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9"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Preferred Investment Option, as adjusted hereunder; and</w:t>
      </w:r>
    </w:p>
    <w:p>
      <w:pPr>
        <w:spacing w:after="0" w:line="225" w:lineRule="exact"/>
        <w:rPr>
          <w:sz w:val="20"/>
          <w:szCs w:val="20"/>
          <w:color w:val="auto"/>
        </w:rPr>
      </w:pPr>
    </w:p>
    <w:p>
      <w:pPr>
        <w:ind w:left="1300" w:hanging="656"/>
        <w:spacing w:after="0" w:line="266" w:lineRule="auto"/>
        <w:tabs>
          <w:tab w:leader="none" w:pos="9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25" w:name="page26"/>
    <w:bookmarkEnd w:id="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26" w:name="page27"/>
    <w:bookmarkEnd w:id="26"/>
    <w:p>
      <w:pPr>
        <w:ind w:left="380" w:hanging="196"/>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1" w:lineRule="auto"/>
        <w:tabs>
          <w:tab w:leader="none" w:pos="16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Preferred Investment Option Shares subject to such notice(s) by 4:00 p.m. (New York City time) on the Initial Exercise Date and the Initial Exercise Date shall be the Preferred Investment Option Share Delivery Date for purposes hereunder, provided that payment of the aggregate Exercise Price (other than in the case of a cashless exercise) is received by such Preferred Investment Option Share Delivery Date.</w:t>
      </w:r>
    </w:p>
    <w:p>
      <w:pPr>
        <w:spacing w:after="0" w:line="200"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167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7" w:name="page28"/>
    <w:bookmarkEnd w:id="27"/>
    <w:p>
      <w:pPr>
        <w:jc w:val="both"/>
        <w:ind w:left="840" w:firstLine="640"/>
        <w:spacing w:after="0" w:line="266" w:lineRule="auto"/>
        <w:tabs>
          <w:tab w:leader="none" w:pos="17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3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8" w:name="page29"/>
    <w:bookmarkEnd w:id="28"/>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jc w:val="both"/>
        <w:ind w:left="840" w:firstLine="640"/>
        <w:spacing w:after="0" w:line="253" w:lineRule="auto"/>
        <w:tabs>
          <w:tab w:leader="none" w:pos="17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9" w:name="page30"/>
    <w:bookmarkEnd w:id="29"/>
    <w:p>
      <w:pPr>
        <w:jc w:val="both"/>
        <w:ind w:firstLine="644"/>
        <w:spacing w:after="0" w:line="266" w:lineRule="auto"/>
        <w:tabs>
          <w:tab w:leader="none" w:pos="83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1" w:name="page32"/>
    <w:bookmarkEnd w:id="31"/>
    <w:p>
      <w:pPr>
        <w:jc w:val="both"/>
        <w:ind w:left="-460" w:firstLine="644"/>
        <w:spacing w:after="0" w:line="253" w:lineRule="auto"/>
        <w:tabs>
          <w:tab w:leader="none" w:pos="373" w:val="left"/>
        </w:tabs>
        <w:numPr>
          <w:ilvl w:val="0"/>
          <w:numId w:val="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32" w:name="page33"/>
    <w:bookmarkEnd w:id="32"/>
    <w:p>
      <w:pPr>
        <w:jc w:val="both"/>
        <w:ind w:left="-460" w:firstLine="644"/>
        <w:spacing w:after="0" w:line="250" w:lineRule="auto"/>
        <w:tabs>
          <w:tab w:leader="none" w:pos="38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Preferred Investment Option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285" w:gutter="0" w:footer="0" w:header="0"/>
        </w:sectPr>
      </w:pPr>
    </w:p>
    <w:bookmarkStart w:id="33" w:name="page34"/>
    <w:bookmarkEnd w:id="33"/>
    <w:p>
      <w:pPr>
        <w:jc w:val="both"/>
        <w:ind w:left="-460" w:firstLine="644"/>
        <w:spacing w:after="0" w:line="266" w:lineRule="auto"/>
        <w:tabs>
          <w:tab w:leader="none" w:pos="3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0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34" w:name="page35"/>
    <w:bookmarkEnd w:id="34"/>
    <w:p>
      <w:pPr>
        <w:jc w:val="both"/>
        <w:ind w:firstLine="644"/>
        <w:spacing w:after="0" w:line="266" w:lineRule="auto"/>
        <w:tabs>
          <w:tab w:leader="none" w:pos="8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Preferred Investment Option reduce the then current Exercise Price to any amount and for any period of time deemed appropriate by the board of directors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w:t>
      </w:r>
      <w:r>
        <w:rPr>
          <w:rFonts w:ascii="Times New Roman" w:cs="Times New Roman" w:eastAsia="Times New Roman" w:hAnsi="Times New Roman"/>
          <w:sz w:val="18"/>
          <w:szCs w:val="18"/>
          <w:u w:val="single" w:color="auto"/>
          <w:color w:val="auto"/>
        </w:rPr>
        <w:t>Notwithstanding anything herein to the contrary, the Holder shall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w:t>
      </w:r>
      <w:r>
        <w:rPr>
          <w:rFonts w:ascii="Times New Roman" w:cs="Times New Roman" w:eastAsia="Times New Roman" w:hAnsi="Times New Roman"/>
          <w:sz w:val="18"/>
          <w:szCs w:val="18"/>
          <w:color w:val="auto"/>
        </w:rPr>
        <w:t xml:space="preserve">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rFonts w:ascii="Times New Roman" w:cs="Times New Roman" w:eastAsia="Times New Roman" w:hAnsi="Times New Roman"/>
          <w:sz w:val="18"/>
          <w:szCs w:val="18"/>
          <w:color w:val="auto"/>
        </w:rPr>
      </w:pPr>
    </w:p>
    <w:p>
      <w:pPr>
        <w:jc w:val="both"/>
        <w:ind w:firstLine="644"/>
        <w:spacing w:after="0" w:line="254" w:lineRule="auto"/>
        <w:tabs>
          <w:tab w:leader="none" w:pos="8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5" w:name="page36"/>
    <w:bookmarkEnd w:id="35"/>
    <w:p>
      <w:pPr>
        <w:jc w:val="both"/>
        <w:ind w:firstLine="644"/>
        <w:spacing w:after="0" w:line="261" w:lineRule="auto"/>
        <w:tabs>
          <w:tab w:leader="none" w:pos="8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6" w:name="page37"/>
    <w:bookmarkEnd w:id="36"/>
    <w:p>
      <w:pPr>
        <w:ind w:left="-460" w:right="20" w:firstLine="644"/>
        <w:spacing w:after="0" w:line="282" w:lineRule="auto"/>
        <w:tabs>
          <w:tab w:leader="none" w:pos="3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37" w:name="page38"/>
    <w:bookmarkEnd w:id="37"/>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8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38" w:name="page39"/>
    <w:bookmarkEnd w:id="38"/>
    <w:p>
      <w:pPr>
        <w:jc w:val="both"/>
        <w:ind w:firstLine="644"/>
        <w:spacing w:after="0" w:line="261" w:lineRule="auto"/>
        <w:tabs>
          <w:tab w:leader="none" w:pos="88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0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39" w:name="page40"/>
    <w:bookmarkEnd w:id="39"/>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hanging="8"/>
        <w:spacing w:after="0" w:line="266" w:lineRule="auto"/>
        <w:tabs>
          <w:tab w:leader="none" w:pos="2180" w:val="left"/>
        </w:tabs>
        <w:numPr>
          <w:ilvl w:val="1"/>
          <w:numId w:val="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189"/>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r>
      <w:tr>
        <w:trPr>
          <w:trHeight w:val="234"/>
        </w:trPr>
        <w:tc>
          <w:tcPr>
            <w:tcW w:w="4720" w:type="dxa"/>
            <w:vAlign w:val="bottom"/>
          </w:tcPr>
          <w:p>
            <w:pPr>
              <w:spacing w:after="0"/>
              <w:rPr>
                <w:sz w:val="20"/>
                <w:szCs w:val="20"/>
                <w:color w:val="auto"/>
              </w:rPr>
            </w:pPr>
          </w:p>
        </w:tc>
        <w:tc>
          <w:tcPr>
            <w:tcW w:w="6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(Please Print)</w:t>
            </w:r>
          </w:p>
        </w:tc>
      </w:tr>
      <w:tr>
        <w:trPr>
          <w:trHeight w:val="41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6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r>
      <w:tr>
        <w:trPr>
          <w:trHeight w:val="234"/>
        </w:trPr>
        <w:tc>
          <w:tcPr>
            <w:tcW w:w="4720" w:type="dxa"/>
            <w:vAlign w:val="bottom"/>
          </w:tcPr>
          <w:p>
            <w:pPr>
              <w:spacing w:after="0"/>
              <w:rPr>
                <w:sz w:val="20"/>
                <w:szCs w:val="20"/>
                <w:color w:val="auto"/>
              </w:rPr>
            </w:pPr>
          </w:p>
        </w:tc>
        <w:tc>
          <w:tcPr>
            <w:tcW w:w="6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(Please Print)</w:t>
            </w:r>
          </w:p>
        </w:tc>
      </w:tr>
      <w:tr>
        <w:trPr>
          <w:trHeight w:val="4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6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r>
      <w:tr>
        <w:trPr>
          <w:trHeight w:val="4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6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r>
      <w:tr>
        <w:trPr>
          <w:trHeight w:val="4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6520" w:type="dxa"/>
            <w:vAlign w:val="bottom"/>
          </w:tcPr>
          <w:p>
            <w:pPr>
              <w:spacing w:after="0"/>
              <w:rPr>
                <w:sz w:val="24"/>
                <w:szCs w:val="24"/>
                <w:color w:val="auto"/>
              </w:rPr>
            </w:pPr>
          </w:p>
        </w:tc>
      </w:tr>
      <w:tr>
        <w:trPr>
          <w:trHeight w:val="4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 __________________________</w:t>
            </w:r>
          </w:p>
        </w:tc>
        <w:tc>
          <w:tcPr>
            <w:tcW w:w="6520" w:type="dxa"/>
            <w:vAlign w:val="bottom"/>
          </w:tcPr>
          <w:p>
            <w:pPr>
              <w:spacing w:after="0"/>
              <w:rPr>
                <w:sz w:val="24"/>
                <w:szCs w:val="24"/>
                <w:color w:val="auto"/>
              </w:rPr>
            </w:pPr>
          </w:p>
        </w:tc>
      </w:tr>
      <w:tr>
        <w:trPr>
          <w:trHeight w:val="4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 ___________________________</w:t>
            </w:r>
          </w:p>
        </w:tc>
        <w:tc>
          <w:tcPr>
            <w:tcW w:w="6520" w:type="dxa"/>
            <w:vAlign w:val="bottom"/>
          </w:tcPr>
          <w:p>
            <w:pPr>
              <w:spacing w:after="0"/>
              <w:rPr>
                <w:sz w:val="24"/>
                <w:szCs w:val="24"/>
                <w:color w:val="auto"/>
              </w:rPr>
            </w:pPr>
          </w:p>
        </w:tc>
      </w:tr>
      <w:tr>
        <w:trPr>
          <w:trHeight w:val="439"/>
        </w:trPr>
        <w:tc>
          <w:tcPr>
            <w:tcW w:w="47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b w:val="1"/>
          <w:bCs w:val="1"/>
          <w:color w:val="auto"/>
        </w:rPr>
        <w:t>EXHIBIT A-3</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B PREFERRED INVESTMENT OPTION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 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October ___,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October ___, 2022</w:t>
      </w:r>
    </w:p>
    <w:p>
      <w:pPr>
        <w:spacing w:after="0" w:line="200" w:lineRule="exact"/>
        <w:rPr>
          <w:sz w:val="20"/>
          <w:szCs w:val="20"/>
          <w:color w:val="auto"/>
        </w:rPr>
      </w:pPr>
    </w:p>
    <w:p>
      <w:pPr>
        <w:sectPr>
          <w:pgSz w:w="11900" w:h="16838" w:orient="portrait"/>
          <w:cols w:equalWidth="0" w:num="2">
            <w:col w:w="3820" w:space="720"/>
            <w:col w:w="6700"/>
          </w:cols>
          <w:pgMar w:left="320" w:top="333" w:right="33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SERIES B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9"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any 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October ___, 2024</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shares (as subject to adjustment 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 Common Stock under this Preferred Investment Option shall be equal to the Exercise Price, as defined in Section 2(b).</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October ___, 2022, among the Company and the purchasers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3" w:lineRule="exact"/>
        <w:rPr>
          <w:sz w:val="20"/>
          <w:szCs w:val="20"/>
          <w:color w:val="auto"/>
        </w:rPr>
      </w:pPr>
    </w:p>
    <w:p>
      <w:pPr>
        <w:ind w:firstLine="8"/>
        <w:spacing w:after="0" w:line="195" w:lineRule="auto"/>
        <w:tabs>
          <w:tab w:leader="none" w:pos="126"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date that is the two (2) year anniversary of the Initial Exercise Date, provided that, if such date is not a Trading Day, insert the immediately following Trading Day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Preferred Investment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5" w:lineRule="exact"/>
        <w:rPr>
          <w:rFonts w:ascii="Times New Roman" w:cs="Times New Roman" w:eastAsia="Times New Roman" w:hAnsi="Times New Roman"/>
          <w:sz w:val="18"/>
          <w:szCs w:val="18"/>
          <w:color w:val="auto"/>
        </w:rPr>
      </w:pPr>
    </w:p>
    <w:p>
      <w:pPr>
        <w:ind w:right="20" w:firstLine="644"/>
        <w:spacing w:after="0" w:line="286" w:lineRule="auto"/>
        <w:tabs>
          <w:tab w:leader="none" w:pos="8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$4.64</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44" w:name="page45"/>
    <w:bookmarkEnd w:id="44"/>
    <w:p>
      <w:pPr>
        <w:jc w:val="right"/>
        <w:ind w:left="1300" w:hanging="656"/>
        <w:spacing w:after="0" w:line="269" w:lineRule="auto"/>
        <w:tabs>
          <w:tab w:leader="none" w:pos="94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2" w:lineRule="exact"/>
        <w:rPr>
          <w:rFonts w:ascii="Times New Roman" w:cs="Times New Roman" w:eastAsia="Times New Roman" w:hAnsi="Times New Roman"/>
          <w:sz w:val="17"/>
          <w:szCs w:val="17"/>
          <w:color w:val="auto"/>
        </w:rPr>
      </w:pPr>
    </w:p>
    <w:p>
      <w:pPr>
        <w:jc w:val="both"/>
        <w:ind w:left="1300" w:hanging="8"/>
        <w:spacing w:after="0" w:line="252" w:lineRule="auto"/>
        <w:tabs>
          <w:tab w:leader="none" w:pos="154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9"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Preferred Investment Option, as adjusted hereunder; and</w:t>
      </w:r>
    </w:p>
    <w:p>
      <w:pPr>
        <w:spacing w:after="0" w:line="225" w:lineRule="exact"/>
        <w:rPr>
          <w:sz w:val="20"/>
          <w:szCs w:val="20"/>
          <w:color w:val="auto"/>
        </w:rPr>
      </w:pPr>
    </w:p>
    <w:p>
      <w:pPr>
        <w:ind w:left="1300" w:hanging="656"/>
        <w:spacing w:after="0" w:line="266" w:lineRule="auto"/>
        <w:tabs>
          <w:tab w:leader="none" w:pos="9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45" w:name="page46"/>
    <w:bookmarkEnd w:id="4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46" w:name="page47"/>
    <w:bookmarkEnd w:id="46"/>
    <w:p>
      <w:pPr>
        <w:ind w:left="380" w:hanging="196"/>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1" w:lineRule="auto"/>
        <w:tabs>
          <w:tab w:leader="none" w:pos="16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Preferred Investment Option Shares subject to such notice(s) by 4:00 p.m. (New York City time) on the Initial Exercise Date and the Initial Exercise Date shall be the Preferred Investment Option Share Delivery Date for purposes hereunder, provided that payment of the aggregate Exercise Price (other than in the case of a cashless exercise) is received by such Preferred Investment Option Share Delivery Date.</w:t>
      </w:r>
    </w:p>
    <w:p>
      <w:pPr>
        <w:spacing w:after="0" w:line="200" w:lineRule="exact"/>
        <w:rPr>
          <w:rFonts w:ascii="Times New Roman" w:cs="Times New Roman" w:eastAsia="Times New Roman" w:hAnsi="Times New Roman"/>
          <w:sz w:val="18"/>
          <w:szCs w:val="18"/>
          <w:color w:val="auto"/>
        </w:rPr>
      </w:pPr>
    </w:p>
    <w:p>
      <w:pPr>
        <w:ind w:left="840" w:right="160" w:firstLine="640"/>
        <w:spacing w:after="0" w:line="256" w:lineRule="auto"/>
        <w:tabs>
          <w:tab w:leader="none" w:pos="167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47" w:name="page48"/>
    <w:bookmarkEnd w:id="47"/>
    <w:p>
      <w:pPr>
        <w:ind w:left="840" w:right="160" w:firstLine="640"/>
        <w:spacing w:after="0" w:line="266" w:lineRule="auto"/>
        <w:tabs>
          <w:tab w:leader="none" w:pos="172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3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48" w:name="page49"/>
    <w:bookmarkEnd w:id="48"/>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jc w:val="both"/>
        <w:ind w:left="840" w:firstLine="640"/>
        <w:spacing w:after="0" w:line="253" w:lineRule="auto"/>
        <w:tabs>
          <w:tab w:leader="none" w:pos="17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49" w:name="page50"/>
    <w:bookmarkEnd w:id="49"/>
    <w:p>
      <w:pPr>
        <w:jc w:val="both"/>
        <w:ind w:firstLine="644"/>
        <w:spacing w:after="0" w:line="266" w:lineRule="auto"/>
        <w:tabs>
          <w:tab w:leader="none" w:pos="83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51" w:name="page52"/>
    <w:bookmarkEnd w:id="51"/>
    <w:p>
      <w:pPr>
        <w:jc w:val="both"/>
        <w:ind w:left="-460" w:firstLine="644"/>
        <w:spacing w:after="0" w:line="253" w:lineRule="auto"/>
        <w:tabs>
          <w:tab w:leader="none" w:pos="373" w:val="left"/>
        </w:tabs>
        <w:numPr>
          <w:ilvl w:val="0"/>
          <w:numId w:val="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52" w:name="page53"/>
    <w:bookmarkEnd w:id="52"/>
    <w:p>
      <w:pPr>
        <w:jc w:val="both"/>
        <w:ind w:left="-460" w:firstLine="644"/>
        <w:spacing w:after="0" w:line="250" w:lineRule="auto"/>
        <w:tabs>
          <w:tab w:leader="none" w:pos="38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Preferred Investment Option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285" w:gutter="0" w:footer="0" w:header="0"/>
        </w:sectPr>
      </w:pPr>
    </w:p>
    <w:bookmarkStart w:id="53" w:name="page54"/>
    <w:bookmarkEnd w:id="53"/>
    <w:p>
      <w:pPr>
        <w:jc w:val="both"/>
        <w:ind w:left="-460" w:firstLine="644"/>
        <w:spacing w:after="0" w:line="266" w:lineRule="auto"/>
        <w:tabs>
          <w:tab w:leader="none" w:pos="3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2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0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54" w:name="page55"/>
    <w:bookmarkEnd w:id="54"/>
    <w:p>
      <w:pPr>
        <w:jc w:val="both"/>
        <w:ind w:firstLine="644"/>
        <w:spacing w:after="0" w:line="266" w:lineRule="auto"/>
        <w:tabs>
          <w:tab w:leader="none" w:pos="84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Preferred Investment Option reduce the then current Exercise Price to any amount and for any period of time deemed appropriate by the board of directors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rFonts w:ascii="Times New Roman" w:cs="Times New Roman" w:eastAsia="Times New Roman" w:hAnsi="Times New Roman"/>
          <w:sz w:val="18"/>
          <w:szCs w:val="18"/>
          <w:color w:val="auto"/>
        </w:rPr>
      </w:pPr>
    </w:p>
    <w:p>
      <w:pPr>
        <w:jc w:val="both"/>
        <w:ind w:firstLine="644"/>
        <w:spacing w:after="0" w:line="254" w:lineRule="auto"/>
        <w:tabs>
          <w:tab w:leader="none" w:pos="85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55" w:name="page56"/>
    <w:bookmarkEnd w:id="55"/>
    <w:p>
      <w:pPr>
        <w:jc w:val="both"/>
        <w:ind w:firstLine="644"/>
        <w:spacing w:after="0" w:line="261" w:lineRule="auto"/>
        <w:tabs>
          <w:tab w:leader="none" w:pos="83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7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56" w:name="page57"/>
    <w:bookmarkEnd w:id="56"/>
    <w:p>
      <w:pPr>
        <w:ind w:left="-460" w:right="20" w:firstLine="644"/>
        <w:spacing w:after="0" w:line="282" w:lineRule="auto"/>
        <w:tabs>
          <w:tab w:leader="none" w:pos="37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57" w:name="page58"/>
    <w:bookmarkEnd w:id="57"/>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right="20" w:firstLine="644"/>
        <w:spacing w:after="0" w:line="282" w:lineRule="auto"/>
        <w:tabs>
          <w:tab w:leader="none" w:pos="38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8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58" w:name="page59"/>
    <w:bookmarkEnd w:id="58"/>
    <w:p>
      <w:pPr>
        <w:jc w:val="both"/>
        <w:ind w:firstLine="644"/>
        <w:spacing w:after="0" w:line="261" w:lineRule="auto"/>
        <w:tabs>
          <w:tab w:leader="none" w:pos="88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right="20" w:firstLine="644"/>
        <w:spacing w:after="0" w:line="282" w:lineRule="auto"/>
        <w:tabs>
          <w:tab w:leader="none" w:pos="85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59" w:name="page60"/>
    <w:bookmarkEnd w:id="59"/>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5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6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hanging="8"/>
        <w:spacing w:after="0" w:line="266" w:lineRule="auto"/>
        <w:tabs>
          <w:tab w:leader="none" w:pos="2180" w:val="left"/>
        </w:tabs>
        <w:numPr>
          <w:ilvl w:val="1"/>
          <w:numId w:val="6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1" w:name="page62"/>
    <w:bookmarkEnd w:id="61"/>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189"/>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r>
      <w:tr>
        <w:trPr>
          <w:trHeight w:val="234"/>
        </w:trPr>
        <w:tc>
          <w:tcPr>
            <w:tcW w:w="4720" w:type="dxa"/>
            <w:vAlign w:val="bottom"/>
          </w:tcPr>
          <w:p>
            <w:pPr>
              <w:spacing w:after="0"/>
              <w:rPr>
                <w:sz w:val="20"/>
                <w:szCs w:val="20"/>
                <w:color w:val="auto"/>
              </w:rPr>
            </w:pPr>
          </w:p>
        </w:tc>
        <w:tc>
          <w:tcPr>
            <w:tcW w:w="6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(Please Print)</w:t>
            </w:r>
          </w:p>
        </w:tc>
      </w:tr>
      <w:tr>
        <w:trPr>
          <w:trHeight w:val="41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6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r>
      <w:tr>
        <w:trPr>
          <w:trHeight w:val="234"/>
        </w:trPr>
        <w:tc>
          <w:tcPr>
            <w:tcW w:w="4720" w:type="dxa"/>
            <w:vAlign w:val="bottom"/>
          </w:tcPr>
          <w:p>
            <w:pPr>
              <w:spacing w:after="0"/>
              <w:rPr>
                <w:sz w:val="20"/>
                <w:szCs w:val="20"/>
                <w:color w:val="auto"/>
              </w:rPr>
            </w:pPr>
          </w:p>
        </w:tc>
        <w:tc>
          <w:tcPr>
            <w:tcW w:w="6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(Please Print)</w:t>
            </w:r>
          </w:p>
        </w:tc>
      </w:tr>
      <w:tr>
        <w:trPr>
          <w:trHeight w:val="4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6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r>
      <w:tr>
        <w:trPr>
          <w:trHeight w:val="4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65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r>
      <w:tr>
        <w:trPr>
          <w:trHeight w:val="4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6520" w:type="dxa"/>
            <w:vAlign w:val="bottom"/>
          </w:tcPr>
          <w:p>
            <w:pPr>
              <w:spacing w:after="0"/>
              <w:rPr>
                <w:sz w:val="24"/>
                <w:szCs w:val="24"/>
                <w:color w:val="auto"/>
              </w:rPr>
            </w:pPr>
          </w:p>
        </w:tc>
      </w:tr>
      <w:tr>
        <w:trPr>
          <w:trHeight w:val="4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 __________________________</w:t>
            </w:r>
          </w:p>
        </w:tc>
        <w:tc>
          <w:tcPr>
            <w:tcW w:w="6520" w:type="dxa"/>
            <w:vAlign w:val="bottom"/>
          </w:tcPr>
          <w:p>
            <w:pPr>
              <w:spacing w:after="0"/>
              <w:rPr>
                <w:sz w:val="24"/>
                <w:szCs w:val="24"/>
                <w:color w:val="auto"/>
              </w:rPr>
            </w:pPr>
          </w:p>
        </w:tc>
      </w:tr>
      <w:tr>
        <w:trPr>
          <w:trHeight w:val="4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 ___________________________</w:t>
            </w:r>
          </w:p>
        </w:tc>
        <w:tc>
          <w:tcPr>
            <w:tcW w:w="6520" w:type="dxa"/>
            <w:vAlign w:val="bottom"/>
          </w:tcPr>
          <w:p>
            <w:pPr>
              <w:spacing w:after="0"/>
              <w:rPr>
                <w:sz w:val="24"/>
                <w:szCs w:val="24"/>
                <w:color w:val="auto"/>
              </w:rPr>
            </w:pPr>
          </w:p>
        </w:tc>
      </w:tr>
      <w:tr>
        <w:trPr>
          <w:trHeight w:val="439"/>
        </w:trPr>
        <w:tc>
          <w:tcPr>
            <w:tcW w:w="47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62" w:name="page63"/>
    <w:bookmarkEnd w:id="62"/>
    <w:p>
      <w:pPr>
        <w:ind w:left="10400"/>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PREFERRED INVESTMENT OPTION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Shares:_____________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October 25,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October 25, 2022</w:t>
      </w:r>
    </w:p>
    <w:p>
      <w:pPr>
        <w:spacing w:after="0" w:line="200" w:lineRule="exact"/>
        <w:rPr>
          <w:sz w:val="20"/>
          <w:szCs w:val="20"/>
          <w:color w:val="auto"/>
        </w:rPr>
      </w:pPr>
    </w:p>
    <w:p>
      <w:pPr>
        <w:sectPr>
          <w:pgSz w:w="11900" w:h="16838" w:orient="portrait"/>
          <w:cols w:equalWidth="0" w:num="2">
            <w:col w:w="5020" w:space="720"/>
            <w:col w:w="5500"/>
          </w:cols>
          <w:pgMar w:left="320" w:top="333" w:right="339" w:bottom="1440" w:gutter="0" w:footer="0" w:header="0"/>
          <w:type w:val="continuous"/>
        </w:sectPr>
      </w:pPr>
    </w:p>
    <w:p>
      <w:pPr>
        <w:spacing w:after="0" w:line="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PLACEMENT AGENT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 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w:t>
      </w:r>
    </w:p>
    <w:p>
      <w:pPr>
        <w:jc w:val="both"/>
        <w:spacing w:after="0" w:line="250" w:lineRule="auto"/>
        <w:rPr>
          <w:sz w:val="20"/>
          <w:szCs w:val="20"/>
          <w:color w:val="auto"/>
        </w:rPr>
      </w:pPr>
      <w:r>
        <w:rPr>
          <w:rFonts w:ascii="Times New Roman" w:cs="Times New Roman" w:eastAsia="Times New Roman" w:hAnsi="Times New Roman"/>
          <w:sz w:val="18"/>
          <w:szCs w:val="18"/>
          <w:color w:val="auto"/>
        </w:rPr>
        <w:t>set forth, at any 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October 21, 2027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 adjustment 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Common Stock under this Preferred Investment Option shall be equal to the Exercise Price, as defined in Section 2(b). This Warrant is issued pursuant to that certain Engagement Agreement, by and between the Company and H.C. Wainwright &amp; Co., LLC, dated as of October 3, 2022.</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October 21, 2022, among the Company and the purchasers signatory thereto.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Preferred Investment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5" w:lineRule="exact"/>
        <w:rPr>
          <w:rFonts w:ascii="Times New Roman" w:cs="Times New Roman" w:eastAsia="Times New Roman" w:hAnsi="Times New Roman"/>
          <w:sz w:val="18"/>
          <w:szCs w:val="18"/>
          <w:color w:val="auto"/>
        </w:rPr>
      </w:pPr>
    </w:p>
    <w:p>
      <w:pPr>
        <w:ind w:firstLine="644"/>
        <w:spacing w:after="0" w:line="286" w:lineRule="auto"/>
        <w:tabs>
          <w:tab w:leader="none" w:pos="85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$6.1125</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64" w:name="page65"/>
    <w:bookmarkEnd w:id="64"/>
    <w:p>
      <w:pPr>
        <w:ind w:left="1080" w:hanging="436"/>
        <w:spacing w:after="0" w:line="252" w:lineRule="auto"/>
        <w:tabs>
          <w:tab w:leader="none" w:pos="92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3"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Preferred Investment Option, as adjusted hereunder; and</w:t>
      </w:r>
    </w:p>
    <w:p>
      <w:pPr>
        <w:spacing w:after="0" w:line="207" w:lineRule="exact"/>
        <w:rPr>
          <w:sz w:val="20"/>
          <w:szCs w:val="20"/>
          <w:color w:val="auto"/>
        </w:rPr>
      </w:pPr>
    </w:p>
    <w:p>
      <w:pPr>
        <w:ind w:left="1080" w:hanging="436"/>
        <w:spacing w:after="0" w:line="266" w:lineRule="auto"/>
        <w:tabs>
          <w:tab w:leader="none" w:pos="92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65" w:name="page66"/>
    <w:bookmarkEnd w:id="6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80" w:lineRule="exact"/>
        <w:rPr>
          <w:sz w:val="20"/>
          <w:szCs w:val="20"/>
          <w:color w:val="auto"/>
        </w:rPr>
      </w:pPr>
    </w:p>
    <w:p>
      <w:pPr>
        <w:ind w:left="840" w:hanging="196"/>
        <w:spacing w:after="0"/>
        <w:tabs>
          <w:tab w:leader="none" w:pos="8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51" w:lineRule="auto"/>
        <w:tabs>
          <w:tab w:leader="none" w:pos="208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Preferred Investment Option Shares subject to such notice(s) by 4:00 p.m. (New York City time) on the Initial Exercise Date and the Initial Exercise Date shall be the Preferred Investment Option Share Delivery Date for purposes hereunder, provided that payment of the aggregate Exercise Price (other than in the case of a cashless exercise) is received by such Preferred Investment Option Share Delivery Date.</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66" w:name="page67"/>
    <w:bookmarkEnd w:id="66"/>
    <w:p>
      <w:pPr>
        <w:jc w:val="both"/>
        <w:ind w:left="840" w:firstLine="640"/>
        <w:spacing w:after="0" w:line="256" w:lineRule="auto"/>
        <w:tabs>
          <w:tab w:leader="none" w:pos="167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5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3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0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0"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67" w:name="page68"/>
    <w:bookmarkEnd w:id="67"/>
    <w:p>
      <w:pPr>
        <w:jc w:val="both"/>
        <w:ind w:left="1300" w:firstLine="640"/>
        <w:spacing w:after="0" w:line="253" w:lineRule="auto"/>
        <w:tabs>
          <w:tab w:leader="none" w:pos="217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rFonts w:ascii="Times New Roman" w:cs="Times New Roman" w:eastAsia="Times New Roman" w:hAnsi="Times New Roman"/>
          <w:sz w:val="18"/>
          <w:szCs w:val="18"/>
          <w:color w:val="auto"/>
        </w:rPr>
      </w:pPr>
    </w:p>
    <w:p>
      <w:pPr>
        <w:ind w:left="1300" w:firstLine="640"/>
        <w:spacing w:after="0" w:line="282" w:lineRule="auto"/>
        <w:tabs>
          <w:tab w:leader="none" w:pos="222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1" w:lineRule="exact"/>
        <w:rPr>
          <w:rFonts w:ascii="Times New Roman" w:cs="Times New Roman" w:eastAsia="Times New Roman" w:hAnsi="Times New Roman"/>
          <w:sz w:val="18"/>
          <w:szCs w:val="18"/>
          <w:color w:val="auto"/>
        </w:rPr>
      </w:pPr>
    </w:p>
    <w:p>
      <w:pPr>
        <w:jc w:val="both"/>
        <w:ind w:firstLine="644"/>
        <w:spacing w:after="0" w:line="251" w:lineRule="auto"/>
        <w:tabs>
          <w:tab w:leader="none" w:pos="83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69" w:name="page70"/>
    <w:bookmarkEnd w:id="69"/>
    <w:p>
      <w:pPr>
        <w:jc w:val="both"/>
        <w:ind w:left="-460" w:firstLine="644"/>
        <w:spacing w:after="0" w:line="250" w:lineRule="auto"/>
        <w:tabs>
          <w:tab w:leader="none" w:pos="38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Preferred Investment Option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2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285" w:gutter="0" w:footer="0" w:header="0"/>
        </w:sectPr>
      </w:pPr>
    </w:p>
    <w:bookmarkStart w:id="70" w:name="page71"/>
    <w:bookmarkEnd w:id="70"/>
    <w:p>
      <w:pPr>
        <w:jc w:val="both"/>
        <w:ind w:left="-460" w:firstLine="644"/>
        <w:spacing w:after="0" w:line="266" w:lineRule="auto"/>
        <w:tabs>
          <w:tab w:leader="none" w:pos="37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2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0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1" w:name="page72"/>
    <w:bookmarkEnd w:id="71"/>
    <w:p>
      <w:pPr>
        <w:jc w:val="both"/>
        <w:ind w:firstLine="644"/>
        <w:spacing w:after="0" w:line="266" w:lineRule="auto"/>
        <w:tabs>
          <w:tab w:leader="none" w:pos="84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Preferred Investment Option reduce the then current Exercise Price to any amount and for any period of time deemed appropriate by the board of directors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rFonts w:ascii="Times New Roman" w:cs="Times New Roman" w:eastAsia="Times New Roman" w:hAnsi="Times New Roman"/>
          <w:sz w:val="18"/>
          <w:szCs w:val="18"/>
          <w:color w:val="auto"/>
        </w:rPr>
      </w:pPr>
    </w:p>
    <w:p>
      <w:pPr>
        <w:jc w:val="both"/>
        <w:ind w:firstLine="644"/>
        <w:spacing w:after="0" w:line="254" w:lineRule="auto"/>
        <w:tabs>
          <w:tab w:leader="none" w:pos="85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72" w:name="page73"/>
    <w:bookmarkEnd w:id="72"/>
    <w:p>
      <w:pPr>
        <w:jc w:val="both"/>
        <w:ind w:firstLine="644"/>
        <w:spacing w:after="0" w:line="256" w:lineRule="auto"/>
        <w:tabs>
          <w:tab w:leader="none" w:pos="87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understands that the Preferred Investment Options are “restricted securities” and have not been registered under the Securities Act of 1933, as amended, or any applicable state securities law, and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 and has no direct or indirect arrangement or understandings with any other persons to distribute or regarding the distribution of such Preferred Investment Option. At the time the Holder was offered this Preferred Investment Option, it was, and as of the date hereof it is, and on each date on which it exercises this Preferred Investment Option, it will be an “accredited investor” as defined in Rule 501(a) under the Securities Act. The Holder, either alone or together with its representatives, has such knowledge, sophistication and experience in business and financial matters so as to be capable of evaluating the merits and risks of the prospective investment in the Preferred Investment Option, and has so evaluated the merits and risks of such investment. The Holder is able to bear the economic risk of an investment in the Preferred Investment Option and, at the present time, is able to afford a complete loss of such investment.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73" w:name="page74"/>
    <w:bookmarkEnd w:id="73"/>
    <w:p>
      <w:pPr>
        <w:ind w:left="-460" w:right="20" w:firstLine="644"/>
        <w:spacing w:after="0" w:line="282" w:lineRule="auto"/>
        <w:tabs>
          <w:tab w:leader="none" w:pos="37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4" w:name="page75"/>
    <w:bookmarkEnd w:id="74"/>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8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to the address of the Holder in the Warrant Register.</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5" w:name="page76"/>
    <w:bookmarkEnd w:id="75"/>
    <w:p>
      <w:pPr>
        <w:jc w:val="both"/>
        <w:ind w:firstLine="644"/>
        <w:spacing w:after="0" w:line="261" w:lineRule="auto"/>
        <w:tabs>
          <w:tab w:leader="none" w:pos="88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0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5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76" w:name="page77"/>
    <w:bookmarkEnd w:id="76"/>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4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hanging="8"/>
        <w:spacing w:after="0" w:line="266" w:lineRule="auto"/>
        <w:tabs>
          <w:tab w:leader="none" w:pos="213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300355</wp:posOffset>
            </wp:positionV>
            <wp:extent cx="28543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934720</wp:posOffset>
            </wp:positionV>
            <wp:extent cx="28543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617220</wp:posOffset>
            </wp:positionV>
            <wp:extent cx="28543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300355</wp:posOffset>
            </wp:positionV>
            <wp:extent cx="28543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560" w:hanging="256"/>
        <w:spacing w:after="0"/>
        <w:tabs>
          <w:tab w:leader="none" w:pos="15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189"/>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285432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28543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28543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28543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-119380</wp:posOffset>
            </wp:positionV>
            <wp:extent cx="728980" cy="916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91694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617-542-6000</w:t>
      </w:r>
    </w:p>
    <w:p>
      <w:pPr>
        <w:spacing w:after="0" w:line="9"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8"/>
          <w:szCs w:val="18"/>
          <w:color w:val="auto"/>
        </w:rPr>
        <w:t>617-542-2241 fax</w:t>
      </w:r>
    </w:p>
    <w:p>
      <w:pPr>
        <w:spacing w:after="0" w:line="9"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auto"/>
        </w:rPr>
        <w:t>www.mintz.com</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Recreation Park Drive, Unit 108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Hingham, MA 02043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counsel to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Prospectus Supplement, dated October 21, 2022, to a Prospectus, dated December 4, 2020 (the “</w:t>
      </w:r>
      <w:r>
        <w:rPr>
          <w:rFonts w:ascii="Times New Roman" w:cs="Times New Roman" w:eastAsia="Times New Roman" w:hAnsi="Times New Roman"/>
          <w:sz w:val="18"/>
          <w:szCs w:val="18"/>
          <w:u w:val="single" w:color="auto"/>
          <w:color w:val="auto"/>
        </w:rPr>
        <w:t>Prospectus and Prospectus Supplement</w:t>
      </w:r>
      <w:r>
        <w:rPr>
          <w:rFonts w:ascii="Times New Roman" w:cs="Times New Roman" w:eastAsia="Times New Roman" w:hAnsi="Times New Roman"/>
          <w:sz w:val="18"/>
          <w:szCs w:val="18"/>
          <w:color w:val="auto"/>
        </w:rPr>
        <w:t>”), filed pursuant to a Registration Statement on Form S-3, Registration No. 333-250966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and filed by the Company with the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Prospectus Supplement relates to the sale of (a) 782,495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jc w:val="both"/>
        <w:ind w:firstLine="8"/>
        <w:spacing w:after="0" w:line="252" w:lineRule="auto"/>
        <w:tabs>
          <w:tab w:leader="none" w:pos="26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(the “</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to purchase up to 240,000 shares of Common Stock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and collectively with the Shares and the Pre-Funded Warrants,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pursuant to a Securities Purchase Agreement, dated October 21, 2022, between the Company and the purchasers named therein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(i) examined and relied upon: (A) the Registration Statement, the Prospectus and the Prospectus Supplement, (B) the form of Pre-Funded Warrant to be filed as an exhibit to the Registration Statement, (C) the Company’s Restated Certificate of Incorporation and Amended and Restated Bylaws, as currently in effect, and (D) the originals or copies certified to our satisfaction of such records, documents, certificates, memoranda and other instruments as in our judgment are necessary or appropriate to enable us to render the opinion expressed below; and (ii) assumed that the Securities to be sold by the Company will be sold at a price and on terms established by the Board of Directors of the Company or a duly constituted pricing committee thereof in accordance with Section 153 of the Delaware General Corporation Law. As to certain factual matters, we have relied upon a certificate of an officer of the Company and have not independently verified such matters. In rendering this opinion, we have assumed the genuineness and authenticity of all signatures on signed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a prerequisite to the effectiveness thereof (except we have not made such assumption with respect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-116840</wp:posOffset>
            </wp:positionV>
            <wp:extent cx="368300" cy="4711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8300" cy="47117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opinion is limited to the General Corporation Law of the State of Delaware and, as to the Pre-Funded Warrants constituting valid and binding obligations of the Company, the laws of the State of New York, and we express no opinion with respect to the laws of any other jurisdiction. No opinion is expressed herein with respect to the qualification of the Shares under the securities or blue sky laws of any state or any foreign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regard to our opinion concerning the Pre-Funded Warrants constituting valid and binding obligations of the Company:</w:t>
      </w:r>
    </w:p>
    <w:p>
      <w:pPr>
        <w:spacing w:after="0" w:line="225" w:lineRule="exact"/>
        <w:rPr>
          <w:sz w:val="20"/>
          <w:szCs w:val="20"/>
          <w:color w:val="auto"/>
        </w:rPr>
      </w:pPr>
    </w:p>
    <w:p>
      <w:pPr>
        <w:jc w:val="both"/>
        <w:ind w:left="500" w:right="20" w:hanging="6"/>
        <w:spacing w:after="0" w:line="266" w:lineRule="auto"/>
        <w:tabs>
          <w:tab w:leader="none" w:pos="7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76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is subject to the qualification that the availability of specific performance, an injunction or other equitable remedies is subject to the discretion of the court before which the request is brought.</w:t>
      </w:r>
    </w:p>
    <w:p>
      <w:pPr>
        <w:spacing w:after="0" w:line="161" w:lineRule="exact"/>
        <w:rPr>
          <w:rFonts w:ascii="Times New Roman" w:cs="Times New Roman" w:eastAsia="Times New Roman" w:hAnsi="Times New Roman"/>
          <w:sz w:val="18"/>
          <w:szCs w:val="18"/>
          <w:color w:val="auto"/>
        </w:rPr>
      </w:pPr>
    </w:p>
    <w:p>
      <w:pPr>
        <w:jc w:val="both"/>
        <w:ind w:left="500" w:hanging="6"/>
        <w:spacing w:after="0" w:line="254" w:lineRule="auto"/>
        <w:tabs>
          <w:tab w:leader="none" w:pos="83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any provision of the Pre-Funded Warrants that: (a) provides for liquidated damages, buy-in damages, monetary penalties, prepayment or make-whole payments or other economic remedies to the extent such provisions may constitute unlawful penalties, (b) relates to advance waivers of claims, defenses, rights granted by law, or notice, opportunity for hearing, evidentiary requirements, statutes of limitations, trial by jury, or procedural rights, (c) restricts non-written modifications and waivers, (d) provides for the payment of legal and other professional fees where such payment is contrary to law or public policy, (e) relates to exclusivity, election or accumulation of rights or remedies, or</w:t>
      </w:r>
    </w:p>
    <w:p>
      <w:pPr>
        <w:spacing w:after="0" w:line="3" w:lineRule="exact"/>
        <w:rPr>
          <w:rFonts w:ascii="Times New Roman" w:cs="Times New Roman" w:eastAsia="Times New Roman" w:hAnsi="Times New Roman"/>
          <w:sz w:val="18"/>
          <w:szCs w:val="18"/>
          <w:color w:val="auto"/>
        </w:rPr>
      </w:pPr>
    </w:p>
    <w:p>
      <w:pPr>
        <w:ind w:left="5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provides that provisions of the Pre-Funded Warrants are severable to the extent an essential part of the agreed exchange is determined to be invalid and unenforceable.</w:t>
      </w:r>
    </w:p>
    <w:p>
      <w:pPr>
        <w:spacing w:after="0" w:line="181" w:lineRule="exact"/>
        <w:rPr>
          <w:rFonts w:ascii="Times New Roman" w:cs="Times New Roman" w:eastAsia="Times New Roman" w:hAnsi="Times New Roman"/>
          <w:sz w:val="18"/>
          <w:szCs w:val="18"/>
          <w:color w:val="auto"/>
        </w:rPr>
      </w:pPr>
    </w:p>
    <w:p>
      <w:pPr>
        <w:ind w:left="500" w:hanging="6"/>
        <w:spacing w:after="0" w:line="282" w:lineRule="auto"/>
        <w:tabs>
          <w:tab w:leader="none" w:pos="81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whether a state court outside of the State of New York or a federal court of the United States would give effect to the choice of New York law provided for in the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-116840</wp:posOffset>
            </wp:positionV>
            <wp:extent cx="368300" cy="4711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8300" cy="47117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the Warrant Shares, we express no opinion to the extent that, notwithstanding its current reservation of shares of Common Stock, future issuances of securities, including the Warrant Shares, of the Company and/or adjustments to outstanding securities, including the Pre-Funded Warrants, of the Company may cause the Pre-Funded Warrants to be exercisable for more shares of Common Stock than the number that remain authorized but unissued. Further, we have assumed the Exercise Price (as defined in the Pre-Funded Warrants) will not be adjusted to an amount below the par value per share of the Common Stock.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(i) the Shares, when sold and issued in accordance with the Registration Statement, the Prospectus and the Prospectus Supplement, will be validly issued, fully paid and nonassessable, (ii) provided that the Pre-Funded Warrants have been duly executed and delivered by the Company and duly delivered to the purchasers thereof against payment therefor, the Pre-Funded Warrants, when sold and issued as contemplated in the Registration Statement, the Prospectus and the Prospectus Supplement, will be valid and binding obligations of the Company, and (iii) the Warrant Shares, when issued and paid for in accordance with the terms of the Pre-Funded Warrants, will be validly issued, fully paid and non-assessable.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in accordance with the requirements of Item 601(b)(5) 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October 21, 2022, between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(i) an effective registration statement under the Securities Act (as defined below) as to the Shares and the Pre-Funded Warrants and (ii) an exemption from the registration requirements of Section 5 of the Securities Act contained in Section 4(a)(2) thereof and/or Regulation D thereunder as to the Preferred Investment Options, the Company desires to issue and sell to each Purchaser, and each Purchaser, severally and not jointly, desires to purchase from the Company, securities of the Company as more fully described in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w:t>
      </w:r>
    </w:p>
    <w:p>
      <w:pPr>
        <w:jc w:val="both"/>
        <w:spacing w:after="0" w:line="209" w:lineRule="auto"/>
        <w:rPr>
          <w:sz w:val="20"/>
          <w:szCs w:val="20"/>
          <w:color w:val="auto"/>
        </w:rPr>
      </w:pPr>
      <w:r>
        <w:rPr>
          <w:rFonts w:ascii="Times New Roman" w:cs="Times New Roman" w:eastAsia="Times New Roman" w:hAnsi="Times New Roman"/>
          <w:sz w:val="18"/>
          <w:szCs w:val="18"/>
          <w:color w:val="auto"/>
        </w:rPr>
        <w:t>to deliver the Securities, in each case, have been satisfied or waived, but in no event later than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Mintz, Levin, Cohn, Ferris, Glovsky and Popeo, P.C., with offices located at One Financial Center, Boston, MA 02111.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EGS</w:t>
      </w:r>
      <w:r>
        <w:rPr>
          <w:rFonts w:ascii="Times New Roman" w:cs="Times New Roman" w:eastAsia="Times New Roman" w:hAnsi="Times New Roman"/>
          <w:sz w:val="18"/>
          <w:szCs w:val="18"/>
          <w:color w:val="auto"/>
        </w:rPr>
        <w:t>” means Ellenoff Grossman &amp; Schole LLP, with offices located at 1345 Avenue of the Americas, New York, New York 10105-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0302.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warrants to the Placement Agent in connection with the transactions pursuant to this Agreement and any securities upon exercise of warrants to the Placement Agent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84" w:name="page85"/>
    <w:bookmarkEnd w:id="8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means the Lock-Up Agreement, dated as of the date hereof, by and among the Company and the directors, officers of the Company, in the form of Exhibit B attached 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$4.89 (less $0.0001 for each Pre-Funded Warrant), subject to adjustment for reverse and forward stock splits, stock dividends, stock combinations and other similar transactions of the Common Stock that occur after the date of this Agreement.</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85" w:name="page86"/>
    <w:bookmarkEnd w:id="8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H.C. Wainwright &amp; Co., LLC.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Options</w:t>
      </w:r>
      <w:r>
        <w:rPr>
          <w:rFonts w:ascii="Times New Roman" w:cs="Times New Roman" w:eastAsia="Times New Roman" w:hAnsi="Times New Roman"/>
          <w:sz w:val="18"/>
          <w:szCs w:val="18"/>
          <w:color w:val="auto"/>
        </w:rPr>
        <w:t>” means, collectively, the Series A Preferred Investment Options and the Series B Preferred Investment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means, collectively, the Series A Preferred Investment Option Shares and the Series B Preferred Investment Option Shares.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will expire when exercised in full,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333-250966 which registers the sale of the Shares and Pre-Funded Warrants to the Purchasers.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86" w:name="page87"/>
    <w:bookmarkEnd w:id="8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Investment Options</w:t>
      </w:r>
      <w:r>
        <w:rPr>
          <w:rFonts w:ascii="Times New Roman" w:cs="Times New Roman" w:eastAsia="Times New Roman" w:hAnsi="Times New Roman"/>
          <w:sz w:val="18"/>
          <w:szCs w:val="18"/>
          <w:color w:val="auto"/>
        </w:rPr>
        <w:t xml:space="preserve">” means, collectively, the Preferred Investment Options delivered to the Purchasers at the Closing in accordance with Section 2.2(a) hereof, which Preferred Investment Options shall be exercisable immediately upon issuance and have a term of exercise equal to five (5) years,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Investment Option Shares</w:t>
      </w:r>
      <w:r>
        <w:rPr>
          <w:rFonts w:ascii="Times New Roman" w:cs="Times New Roman" w:eastAsia="Times New Roman" w:hAnsi="Times New Roman"/>
          <w:sz w:val="18"/>
          <w:szCs w:val="18"/>
          <w:color w:val="auto"/>
        </w:rPr>
        <w:t>” means the shares of Common Stock issuable upon exercise of the Series A Preferred Investment Options.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Investment Options</w:t>
      </w:r>
      <w:r>
        <w:rPr>
          <w:rFonts w:ascii="Times New Roman" w:cs="Times New Roman" w:eastAsia="Times New Roman" w:hAnsi="Times New Roman"/>
          <w:sz w:val="18"/>
          <w:szCs w:val="18"/>
          <w:color w:val="auto"/>
        </w:rPr>
        <w:t xml:space="preserve">” means, collectively, the Preferred Investment Options delivered to the Purchasers at the Closing in accordance with Section 2.2(a) hereof, which Preferred Investment Options shall be exercisable immediately upon issuance and have a term of exercise equal to two (2) years, in the form of </w:t>
      </w:r>
      <w:r>
        <w:rPr>
          <w:rFonts w:ascii="Times New Roman" w:cs="Times New Roman" w:eastAsia="Times New Roman" w:hAnsi="Times New Roman"/>
          <w:sz w:val="18"/>
          <w:szCs w:val="18"/>
          <w:u w:val="single" w:color="auto"/>
          <w:color w:val="auto"/>
        </w:rPr>
        <w:t>Exhibit A-3</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Investment Option Shares</w:t>
      </w:r>
      <w:r>
        <w:rPr>
          <w:rFonts w:ascii="Times New Roman" w:cs="Times New Roman" w:eastAsia="Times New Roman" w:hAnsi="Times New Roman"/>
          <w:sz w:val="18"/>
          <w:szCs w:val="18"/>
          <w:color w:val="auto"/>
        </w:rPr>
        <w:t>” means the shares of Common Stock issuable upon exercise of the Series B Preferred Investment Options.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 for cash).</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87" w:name="page88"/>
    <w:bookmarkEnd w:id="8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the Lock-Up Agreement,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with offices located at Meidinger Tower, 462 South 4th Street, Louisville, KY 40202, and any successor transfer agent of the Company.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4.11(b).</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Preferred Investment Options and the Pre-Funded Warrants.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of $5,000,001 of Shares and Warrants. Notwithstanding anything herein to the contrary, to the extent that a Purchaser determines, in its sole discretion, that such Purchaser’s Subscription Amount (together with such Purchaser’s Affiliates and any Person acting as a group together with such Purchaser or any of such Purchaser’s Affiliates) would cause such Purchaser’s beneficial ownership of the shares of Common Stock to exceed the Beneficial Ownership Limitation, or as such Purchaser may otherwise choose, such Purchaser may elect to purchase Pre-Funded Warrants in lieu of the Shares as determined pursuant to Section 2.2(a).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at the election of the Purchaser at Closing, 9.99%) of the number of shares of the Common Stock outstanding immediately after giving effect to the issuance of the Securities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Pre-Funded Warrants and Preferred Investment Option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such Pre-Settlement Shares to such Purchaser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thereunder.</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16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directed to the Placement Agent and the Purchasers, in a form reasonably acceptable to the Placement Agent and Purchasers;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9" w:name="page90"/>
    <w:bookmarkEnd w:id="89"/>
    <w:p>
      <w:pPr>
        <w:ind w:left="1560" w:hanging="268"/>
        <w:spacing w:after="0"/>
        <w:tabs>
          <w:tab w:leader="none" w:pos="15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the Company shall have provided each Purchaser with the Company’s wire instructions;</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61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A Preferred Investment Option registered in the name of such Purchaser to purchase up to a number of shares of Common Stock equal to 100% of the sum of such Purchaser’s Shares and Pre-Funded Warrant Shares, with an exercise price equal to $4.64, subject to adjustment therein;</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60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B Preferred Investment Option registered in the name of such Purchaser to purchase up to a number of shares of Common Stock equal to 100% of the sum of such Purchaser’s Shares and Pre-Funded Warrant Shares, with an exercise price equal to $4.64, subject to adjustment therein</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5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58" w:lineRule="auto"/>
        <w:tabs>
          <w:tab w:leader="none" w:pos="16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Pre-Funded Warrant registered in the name of such Purchaser to purchase up to a number of shares of Common Stock equal to the difference between (A) such Purchaser’s Subscription Amount divided by the Per Pre-Funded Warrant Purchase Price and (B) the number of Shares otherwise issuable to such Purchaser that would cause such Purchaser’s Beneficial Ownership to be more than the Beneficial Ownership Limitation with an exercise price equal to $0.0001 per share of Common Stock, subject to adjustment therein;</w:t>
      </w:r>
    </w:p>
    <w:p>
      <w:pPr>
        <w:spacing w:after="0" w:line="183" w:lineRule="exact"/>
        <w:rPr>
          <w:rFonts w:ascii="Times New Roman" w:cs="Times New Roman" w:eastAsia="Times New Roman" w:hAnsi="Times New Roman"/>
          <w:sz w:val="18"/>
          <w:szCs w:val="18"/>
          <w:color w:val="auto"/>
        </w:rPr>
      </w:pPr>
    </w:p>
    <w:p>
      <w:pPr>
        <w:ind w:left="1640" w:hanging="348"/>
        <w:spacing w:after="0"/>
        <w:tabs>
          <w:tab w:leader="none" w:pos="16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duly executed Lock-Up Agreements; and</w:t>
      </w:r>
    </w:p>
    <w:p>
      <w:pPr>
        <w:spacing w:after="0" w:line="225" w:lineRule="exact"/>
        <w:rPr>
          <w:rFonts w:ascii="Times New Roman" w:cs="Times New Roman" w:eastAsia="Times New Roman" w:hAnsi="Times New Roman"/>
          <w:sz w:val="18"/>
          <w:szCs w:val="18"/>
          <w:color w:val="auto"/>
        </w:rPr>
      </w:pPr>
    </w:p>
    <w:p>
      <w:pPr>
        <w:ind w:left="1720" w:hanging="428"/>
        <w:spacing w:after="0"/>
        <w:tabs>
          <w:tab w:leader="none" w:pos="17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206"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56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920" w:right="720" w:hanging="4276"/>
        <w:spacing w:after="0" w:line="532" w:lineRule="auto"/>
        <w:tabs>
          <w:tab w:leader="none" w:pos="88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-158750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90" w:name="page91"/>
    <w:bookmarkEnd w:id="90"/>
    <w:p>
      <w:pPr>
        <w:jc w:val="both"/>
        <w:ind w:left="640" w:firstLine="652"/>
        <w:spacing w:after="0" w:line="261" w:lineRule="auto"/>
        <w:tabs>
          <w:tab w:leader="none" w:pos="150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6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left="640" w:firstLine="652"/>
        <w:spacing w:after="0" w:line="261" w:lineRule="auto"/>
        <w:tabs>
          <w:tab w:leader="none" w:pos="151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640" w:firstLine="652"/>
        <w:spacing w:after="0" w:line="282" w:lineRule="auto"/>
        <w:tabs>
          <w:tab w:leader="none" w:pos="155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55" w:lineRule="auto"/>
        <w:tabs>
          <w:tab w:leader="none" w:pos="154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each Purchaser:</w:t>
      </w:r>
    </w:p>
    <w:p>
      <w:pPr>
        <w:spacing w:after="0" w:line="162" w:lineRule="exact"/>
        <w:rPr>
          <w:sz w:val="20"/>
          <w:szCs w:val="20"/>
          <w:color w:val="auto"/>
        </w:rPr>
      </w:pPr>
    </w:p>
    <w:p>
      <w:pPr>
        <w:jc w:val="both"/>
        <w:ind w:left="660" w:firstLine="644"/>
        <w:spacing w:after="0" w:line="258" w:lineRule="auto"/>
        <w:tabs>
          <w:tab w:leader="none" w:pos="155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2" w:name="page93"/>
    <w:bookmarkEnd w:id="92"/>
    <w:p>
      <w:pPr>
        <w:jc w:val="both"/>
        <w:ind w:left="-460" w:firstLine="644"/>
        <w:spacing w:after="0" w:line="253" w:lineRule="auto"/>
        <w:tabs>
          <w:tab w:leader="none" w:pos="44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the filing of Form D with the Commission and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93" w:name="page94"/>
    <w:bookmarkEnd w:id="93"/>
    <w:p>
      <w:pPr>
        <w:jc w:val="both"/>
        <w:ind w:left="-460" w:firstLine="644"/>
        <w:spacing w:after="0" w:line="252" w:lineRule="auto"/>
        <w:tabs>
          <w:tab w:leader="none" w:pos="42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December 4, 2020,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94" w:name="page95"/>
    <w:bookmarkEnd w:id="94"/>
    <w:p>
      <w:pPr>
        <w:jc w:val="both"/>
        <w:ind w:left="-460" w:firstLine="644"/>
        <w:spacing w:after="0" w:line="251" w:lineRule="auto"/>
        <w:tabs>
          <w:tab w:leader="none" w:pos="45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95" w:name="page96"/>
    <w:bookmarkEnd w:id="95"/>
    <w:p>
      <w:pPr>
        <w:jc w:val="both"/>
        <w:ind w:left="4" w:firstLine="644"/>
        <w:spacing w:after="0" w:line="252" w:lineRule="auto"/>
        <w:tabs>
          <w:tab w:leader="none" w:pos="90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4" w:lineRule="exact"/>
        <w:rPr>
          <w:rFonts w:ascii="Times New Roman" w:cs="Times New Roman" w:eastAsia="Times New Roman" w:hAnsi="Times New Roman"/>
          <w:sz w:val="18"/>
          <w:szCs w:val="18"/>
          <w:color w:val="auto"/>
        </w:rPr>
      </w:pPr>
    </w:p>
    <w:p>
      <w:pPr>
        <w:jc w:val="both"/>
        <w:ind w:left="4" w:firstLine="644"/>
        <w:spacing w:after="0" w:line="272" w:lineRule="auto"/>
        <w:tabs>
          <w:tab w:leader="none" w:pos="867"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Changes; Undisclosed Events, Liabilities or Developments</w:t>
      </w:r>
      <w:r>
        <w:rPr>
          <w:rFonts w:ascii="Times New Roman" w:cs="Times New Roman" w:eastAsia="Times New Roman" w:hAnsi="Times New Roman"/>
          <w:sz w:val="17"/>
          <w:szCs w:val="17"/>
          <w:color w:val="auto"/>
        </w:rPr>
        <w:t>. Except as set forth in the SEC Reports,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w:t>
      </w:r>
    </w:p>
    <w:p>
      <w:pPr>
        <w:spacing w:after="0" w:line="1"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30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96" w:name="page97"/>
    <w:bookmarkEnd w:id="96"/>
    <w:p>
      <w:pPr>
        <w:jc w:val="both"/>
        <w:ind w:left="-460" w:firstLine="644"/>
        <w:spacing w:after="0" w:line="253" w:lineRule="auto"/>
        <w:tabs>
          <w:tab w:leader="none" w:pos="41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set forth in the SEC Reports (i) adversely affects or challenges the legality, validity or enforceability of any of the Transaction Documents or the Securities or (ii) except as set forth in the SEC Reports, would have or reasonably be expected to result in a Material Adverse Effect. Neither the Company nor any Subsidiary, nor any current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97" w:name="page98"/>
    <w:bookmarkEnd w:id="97"/>
    <w:p>
      <w:pPr>
        <w:jc w:val="both"/>
        <w:ind w:left="-460" w:firstLine="644"/>
        <w:spacing w:after="0" w:line="254" w:lineRule="auto"/>
        <w:tabs>
          <w:tab w:leader="none" w:pos="40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9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98" w:name="page99"/>
    <w:bookmarkEnd w:id="98"/>
    <w:p>
      <w:pPr>
        <w:jc w:val="both"/>
        <w:ind w:left="-460" w:firstLine="644"/>
        <w:spacing w:after="0" w:line="255" w:lineRule="auto"/>
        <w:tabs>
          <w:tab w:leader="none" w:pos="4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99" w:name="page100"/>
    <w:bookmarkEnd w:id="99"/>
    <w:p>
      <w:pPr>
        <w:jc w:val="both"/>
        <w:ind w:left="-460" w:firstLine="644"/>
        <w:spacing w:after="0" w:line="254" w:lineRule="auto"/>
        <w:tabs>
          <w:tab w:leader="none" w:pos="41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and in which the officer, director or employee has a direct or indirect material interest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2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0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00" w:name="page101"/>
    <w:bookmarkEnd w:id="100"/>
    <w:p>
      <w:pPr>
        <w:jc w:val="both"/>
        <w:ind w:left="-460" w:firstLine="644"/>
        <w:spacing w:after="0" w:line="261" w:lineRule="auto"/>
        <w:tabs>
          <w:tab w:leader="none" w:pos="44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4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as set forth in the SEC Reports,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9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01" w:name="page102"/>
    <w:bookmarkEnd w:id="101"/>
    <w:p>
      <w:pPr>
        <w:jc w:val="both"/>
        <w:ind w:left="-460" w:firstLine="644"/>
        <w:spacing w:after="0" w:line="256" w:lineRule="auto"/>
        <w:tabs>
          <w:tab w:leader="none" w:pos="43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Preferred Investment Options or Preferred Investment Option Shares under the Securities Act, or (ii) any applicable shareholder approval provisions of any Trading Market on which any of the securities of the Company are listed or designated.</w:t>
      </w:r>
    </w:p>
    <w:p>
      <w:pPr>
        <w:spacing w:after="0" w:line="187" w:lineRule="exact"/>
        <w:rPr>
          <w:sz w:val="20"/>
          <w:szCs w:val="20"/>
          <w:color w:val="auto"/>
        </w:rPr>
      </w:pPr>
    </w:p>
    <w:p>
      <w:pPr>
        <w:jc w:val="both"/>
        <w:ind w:left="-460" w:firstLine="644"/>
        <w:spacing w:after="0" w:line="252" w:lineRule="auto"/>
        <w:tabs>
          <w:tab w:leader="none" w:pos="51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9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02" w:name="page103"/>
    <w:bookmarkEnd w:id="102"/>
    <w:p>
      <w:pPr>
        <w:jc w:val="both"/>
        <w:ind w:left="4" w:firstLine="644"/>
        <w:spacing w:after="0" w:line="255" w:lineRule="auto"/>
        <w:tabs>
          <w:tab w:leader="none" w:pos="99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7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left="4" w:right="20" w:firstLine="644"/>
        <w:spacing w:after="0" w:line="266" w:lineRule="auto"/>
        <w:tabs>
          <w:tab w:leader="none" w:pos="102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set forth in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2022.</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7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03" w:name="page104"/>
    <w:bookmarkEnd w:id="103"/>
    <w:p>
      <w:pPr>
        <w:jc w:val="both"/>
        <w:ind w:left="4" w:firstLine="644"/>
        <w:spacing w:after="0" w:line="252" w:lineRule="auto"/>
        <w:tabs>
          <w:tab w:leader="none" w:pos="97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97"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02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31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101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8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04" w:name="page105"/>
    <w:bookmarkEnd w:id="104"/>
    <w:p>
      <w:pPr>
        <w:jc w:val="both"/>
        <w:ind w:left="-460" w:firstLine="644"/>
        <w:spacing w:after="0" w:line="256" w:lineRule="auto"/>
        <w:tabs>
          <w:tab w:leader="none" w:pos="45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9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05" w:name="page106"/>
    <w:bookmarkEnd w:id="105"/>
    <w:p>
      <w:pPr>
        <w:jc w:val="both"/>
        <w:ind w:left="-460" w:firstLine="644"/>
        <w:spacing w:after="0" w:line="266" w:lineRule="auto"/>
        <w:tabs>
          <w:tab w:leader="none" w:pos="53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5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3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3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Preferred Investment Options or the Preferred Investment Option Shares by the Company to the Purchasers as contemplated hereby.</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4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Preferred Investment Options or Preferred Investment Option Shares by any form of general solicitation or general advertising. The Company has offered the Preferred Investment Options and Preferred Investment Option Shares for sale only to the Purchasers and certain other “accredited investors” within the meaning of Rule 501 under the Securities Act.</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06" w:name="page107"/>
    <w:bookmarkEnd w:id="106"/>
    <w:p>
      <w:pPr>
        <w:jc w:val="both"/>
        <w:ind w:left="660" w:firstLine="644"/>
        <w:spacing w:after="0" w:line="254" w:lineRule="auto"/>
        <w:tabs>
          <w:tab w:leader="none" w:pos="165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Preferred Investment Options and Preferred Investment Option Shares to be offered and sold hereunder in reliance on Rule 506 under the Securities Act, none of the Company, and to the Company’s knowledge any of its predecessors, affiliated issuer, director, executive officer, other officer of the Company participating in the offering hereunder, beneficial owner of 20% or more of the Company’s outstanding voting equity securities, calculated on the basis of voting power, nor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0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1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660" w:firstLine="644"/>
        <w:spacing w:after="0" w:line="253" w:lineRule="auto"/>
        <w:tabs>
          <w:tab w:leader="none" w:pos="155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7" w:name="page108"/>
    <w:bookmarkEnd w:id="107"/>
    <w:p>
      <w:pPr>
        <w:jc w:val="both"/>
        <w:ind w:left="-460" w:firstLine="644"/>
        <w:spacing w:after="0" w:line="253" w:lineRule="auto"/>
        <w:tabs>
          <w:tab w:leader="none" w:pos="45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understands that the Preferred Investment Options and the Preferred Investment Option Shares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(a)(8), (a)(9), (a) (12), or (a)(13) under the Securities Act or (ii) a “qualified institutional buyer” as defined in Rule 144A(a) under the Securities Act.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3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08" w:name="page109"/>
    <w:bookmarkEnd w:id="108"/>
    <w:p>
      <w:pPr>
        <w:jc w:val="both"/>
        <w:ind w:left="660" w:firstLine="644"/>
        <w:spacing w:after="0" w:line="252" w:lineRule="auto"/>
        <w:tabs>
          <w:tab w:leader="none" w:pos="153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9" w:name="page110"/>
    <w:bookmarkEnd w:id="109"/>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6" w:lineRule="auto"/>
        <w:tabs>
          <w:tab w:leader="none" w:pos="91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Investment Options and Preferred Investment Option Shares may only be disposed of in compliance with state and federal securities laws. In connection with any transfer of Preferred Investment Options or Preferred Investment Option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Preferred Investment Options under the Securities Act.</w:t>
      </w:r>
    </w:p>
    <w:p>
      <w:pPr>
        <w:spacing w:after="0" w:line="187" w:lineRule="exact"/>
        <w:rPr>
          <w:rFonts w:ascii="Times New Roman" w:cs="Times New Roman" w:eastAsia="Times New Roman" w:hAnsi="Times New Roman"/>
          <w:sz w:val="18"/>
          <w:szCs w:val="18"/>
          <w:color w:val="auto"/>
        </w:rPr>
      </w:pPr>
    </w:p>
    <w:p>
      <w:pPr>
        <w:ind w:firstLine="644"/>
        <w:spacing w:after="0" w:line="282" w:lineRule="auto"/>
        <w:tabs>
          <w:tab w:leader="none" w:pos="91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Preferred Investment Options or Preferred Investment Option Shares in the following form:</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Preferred Investment Options or Preferred Investment Option Shares to a financial institution that is an “accredited investor” as defined in Rule 501(a) under the Securities Act and, if required under the terms of such arrangement, such Purchaser may transfer pledged or secured Preferred Investment Options or Preferred Investment Option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Preferred Investment Options and Preferred Investment Option Shares may reasonably request in connection with a pledge or transfer of the Preferred Investment Options or Preferred Investment Option Shares.</w:t>
      </w:r>
    </w:p>
    <w:p>
      <w:pPr>
        <w:spacing w:after="0" w:line="1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110" w:name="page111"/>
    <w:bookmarkEnd w:id="110"/>
    <w:p>
      <w:pPr>
        <w:jc w:val="both"/>
        <w:ind w:left="-460" w:firstLine="644"/>
        <w:spacing w:after="0" w:line="252" w:lineRule="auto"/>
        <w:tabs>
          <w:tab w:leader="none" w:pos="43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Preferred Investment Option Shares shall not contain any legend (including the legend set forth in Section 4.1(b) hereof): (i) while a registration statement covering the resale of such security is effective under the Securities Act, or (ii) following any sale of such Preferred Investment Option Shares pursuant to Rule 144 (assuming cashless exercise of the Preferred Investment Options), or (iii) if such Preferred Investment Option Shares are eligible for sale under Rule 144 (assuming cashless exercise of the Preferred Investment Options),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If all or any portion of a Preferred Investment Option is exercised at a time when there is an effective registration statement to cover the resale of the Preferred Investment Option Shares, or if such Preferred Investment Option Shares may be sold under Rule 144 (assuming cashless exercise of the Preferred Investment Options) or if such legend is not otherwise required under applicable requirements of the Securities Act (including judicial interpretations and pronouncements issued by the staff of the Commission) then such Preferred Investment Option Shares shall be issued free of all legends. The Company agrees that following such time as such legend is no longer required under this Section 4.1(c), the Company will, no later than the earlier of (i) two (2) Trading Days and (ii) the number of Trading Days comprising the Standard Settlement Period (as defined below) following the delivery by a Purchaser to the Company or the Transfer Agent of a certificate representing Preferred Investment Option Shares, as applicable,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Preferred Investment Option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Preferred Investment Option Shares issued with a restrictive legend.</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6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$1,000 of Preferred Investment Option Shares (based on the VWAP of the Common Stock on the date such Securities are submitted to the Transfer Agent) delivered for removal of the restrictive legend and subject to Section 4.1(c),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8"/>
          <w:szCs w:val="18"/>
          <w:b w:val="1"/>
          <w:bCs w:val="1"/>
          <w:u w:val="single" w:color="auto"/>
          <w:color w:val="auto"/>
        </w:rPr>
        <w:t>Buy-In Price</w:t>
      </w:r>
      <w:r>
        <w:rPr>
          <w:rFonts w:ascii="Times New Roman" w:cs="Times New Roman" w:eastAsia="Times New Roman" w:hAnsi="Times New Roman"/>
          <w:sz w:val="18"/>
          <w:szCs w:val="18"/>
          <w:color w:val="auto"/>
        </w:rPr>
        <w:t>”) over the product of (A) such number of Preferred Investment Option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Preferred Investment Option Shares (as the case may be) and ending on the date of such delivery and payment under this Section 4.1(d).</w:t>
      </w:r>
    </w:p>
    <w:p>
      <w:pPr>
        <w:spacing w:after="0" w:line="1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11" w:name="page112"/>
    <w:bookmarkEnd w:id="111"/>
    <w:p>
      <w:pPr>
        <w:jc w:val="both"/>
        <w:ind w:firstLine="644"/>
        <w:spacing w:after="0" w:line="253" w:lineRule="auto"/>
        <w:tabs>
          <w:tab w:leader="none" w:pos="89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the Pre-Funded Warrants and the Pre-Funded Warrant Shares shall be issued free of legends.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best efforts to keep a registration statement (including the Registration Statement) registering the issuance or resale of the Pre-Funded Warrant Shares effective during the term of the Pre-Funded Warrants.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66" w:lineRule="auto"/>
        <w:tabs>
          <w:tab w:leader="none" w:pos="89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12" w:name="page113"/>
    <w:bookmarkEnd w:id="112"/>
    <w:p>
      <w:pPr>
        <w:jc w:val="both"/>
        <w:ind w:left="660" w:firstLine="644"/>
        <w:spacing w:after="0" w:line="253" w:lineRule="auto"/>
        <w:tabs>
          <w:tab w:leader="none" w:pos="156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from the six (6) month anniversary of the date hereof and ending at such time that all of the Preferred Investment Option Shares (assuming cashless exercise)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Preferred Investment Option Shares, an amount in cash equal to two percent (2.0%) of the</w:t>
      </w:r>
    </w:p>
    <w:p>
      <w:pPr>
        <w:spacing w:after="0" w:line="3"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8"/>
          <w:szCs w:val="18"/>
          <w:color w:val="auto"/>
        </w:rPr>
        <w:t>aggregate Exercise Price of such Purchaser’s Preferred Investment Options on the day of a Public Information Failure and on every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(pro rated for periods totaling less than thirty days) thereafter until the earlier of (a) the date such Public Information Failure is cured and (b) such time that such public information is no longer required for the Purchasers to transfer the Preferred Investment Option Shares pursuant to Rule</w:t>
      </w:r>
    </w:p>
    <w:p>
      <w:pPr>
        <w:jc w:val="both"/>
        <w:ind w:left="660" w:hanging="4"/>
        <w:spacing w:after="0" w:line="250" w:lineRule="auto"/>
        <w:tabs>
          <w:tab w:leader="none" w:pos="103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to which a Purchaser shall be entitled pursuant to this Section 4.2(b) are referred to herein as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Public Information Failure Payments shall be paid on the earlier of (i) the last day of the calendar month during which such Public</w:t>
      </w:r>
    </w:p>
    <w:p>
      <w:pPr>
        <w:spacing w:after="0" w:line="1" w:lineRule="exact"/>
        <w:rPr>
          <w:sz w:val="20"/>
          <w:szCs w:val="20"/>
          <w:color w:val="auto"/>
        </w:rPr>
      </w:pPr>
    </w:p>
    <w:p>
      <w:pPr>
        <w:jc w:val="both"/>
        <w:ind w:left="660"/>
        <w:spacing w:after="0" w:line="231" w:lineRule="auto"/>
        <w:rPr>
          <w:sz w:val="20"/>
          <w:szCs w:val="20"/>
          <w:color w:val="auto"/>
        </w:rPr>
      </w:pPr>
      <w:r>
        <w:rPr>
          <w:rFonts w:ascii="Times New Roman" w:cs="Times New Roman" w:eastAsia="Times New Roman" w:hAnsi="Times New Roman"/>
          <w:sz w:val="18"/>
          <w:szCs w:val="18"/>
          <w:color w:val="auto"/>
        </w:rPr>
        <w:t>Information Failure Payments are incurred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Preferred Investment Options or Preferred Investment Option Shares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with the exception of the Lock-Up Agreements,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3" w:name="page114"/>
    <w:bookmarkEnd w:id="1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4" w:name="page115"/>
    <w:bookmarkEnd w:id="11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and general corporate purposes and shall not use such proceeds: (a) for the satisfaction of any portion of the Company’s debt (other than payment of trade payables in the ordinary course of the Company’s business and prior practices); or (b) for the redemption of any Common Stock or Common Stock Equivalents.</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Preferred Investment Option Shares issued and issuable upon exercise of the Preferred Investment Options,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5" w:name="page116"/>
    <w:bookmarkEnd w:id="1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1" w:lineRule="auto"/>
        <w:tabs>
          <w:tab w:leader="none" w:pos="157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45 days after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the Prospectus Supplement and filing a registration statement on Form S-8 in connection with any employee benefit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6" w:name="page117"/>
    <w:bookmarkEnd w:id="116"/>
    <w:p>
      <w:pPr>
        <w:jc w:val="both"/>
        <w:ind w:left="660" w:firstLine="644"/>
        <w:spacing w:after="0" w:line="253" w:lineRule="auto"/>
        <w:tabs>
          <w:tab w:leader="none" w:pos="157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one year anniversary of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six months following the Closing Date, the issuance of shares of Common Stock in an “at the market” offering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15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 except that no Variable Rate Transaction shall be an Exempt Issuance.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7" w:name="page118"/>
    <w:bookmarkEnd w:id="11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Preferred Investment Options and Preferred Investment Option Shares as required under Regulation D and to provide a copy thereof, promptly upon request of any Purchaser. The Company shall take such action as the Company shall reasonably determine is necessary in order to obtain an exemption for, or to qualify the Preferred Investment Options and Preferred Investment Option Shares for, sale to the Purchasers at the Closing under applicable securities or “Blue Sky” laws of the states of the United States, and shall provide evidence of such actions promptly upon request of any Purchaser.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attached 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9" w:name="page120"/>
    <w:bookmarkEnd w:id="11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0" w:name="page121"/>
    <w:bookmarkEnd w:id="120"/>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by any other electronic means, such signature shall create a valid and binding obligation of the party executing (or on whose behalf such signature is executed) with the same force and effect as if such “.pdf” or electronic signature page were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1" w:name="page122"/>
    <w:bookmarkEnd w:id="12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2" w:name="page123"/>
    <w:bookmarkEnd w:id="12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3" w:name="page124"/>
    <w:bookmarkEnd w:id="12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5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MICROBOT MEDICAL INC.</w:t>
      </w:r>
      <w:r>
        <w:rPr>
          <w:sz w:val="20"/>
          <w:szCs w:val="20"/>
          <w:color w:val="auto"/>
        </w:rPr>
        <w:tab/>
      </w:r>
      <w:r>
        <w:rPr>
          <w:rFonts w:ascii="Times New Roman" w:cs="Times New Roman" w:eastAsia="Times New Roman" w:hAnsi="Times New Roman"/>
          <w:sz w:val="17"/>
          <w:szCs w:val="17"/>
          <w:u w:val="single" w:color="auto"/>
          <w:color w:val="auto"/>
        </w:rPr>
        <w:t>Address for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21437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PAGES TO MBOT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19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Warrants: 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Series A Preferred Investment Options: 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Series B Preferred Investment Options: 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$5 Million Registered Direct Offering Priced At-The-Market under Nasdaq Rules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HINGHAM, Mass., Oct. 21, 2022 </w:t>
      </w:r>
      <w:r>
        <w:rPr>
          <w:rFonts w:ascii="Times New Roman" w:cs="Times New Roman" w:eastAsia="Times New Roman" w:hAnsi="Times New Roman"/>
          <w:sz w:val="18"/>
          <w:szCs w:val="18"/>
          <w:color w:val="auto"/>
        </w:rPr>
        <w:t>— Microbot Medical Inc. (Nasdaq: MBOT) today announced that it has entered into a definitive agreement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single institutional investor for the purchase and sale of 1,022,495 shares of the Company’s common stock (which includes pre-funded warrants to purchase 240,000 shares of common stock) at a purchase price of $4.89 per share of common stock (or $4.8899 per pre-funded warrant, which represents the per share offering price for the common stock less the $0.0001 per share exercise price for each pre-funded warrant) in a registered direct offering priced at-the-market under Nasdaq rules. In addition, in a concurrent private placement, the Company will issue to the investor unregistered series A preferred investment options and series B preferred investment options. The series A preferred investment options to purchase up to 1,022,495 shares of common stock have an exercise price of $4.64 per share and are immediately exercisable for a period of five years following issuance. The series B preferred investment options to purchase up to 1,022,495 shares of common stock have an exercise price of $4.64 per share and are immediately exercisable for a period of two years following issuance. The closing of the registered direct offering and the concurrent private placement is expected to occur on or about October 25, 2022, subject to the satisfaction of customary closing conditions.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gross proceeds to the Company from these offerings are expected to be approximately $5 million, before deducting the placement agent’s fees and other offering expenses payable by the Company. The Company intends to use the net proceeds from these offerings for the continued development,</w:t>
      </w: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commercialization and regulatory activities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shares of common stock and pre-funded warrants described above are being offered by the Company pursuant to a “shelf” registration statement on Form S-3 (File No. 333-250966) previously filed with the Securities and Exchange Commission (the “SEC”) and declared effective by the SEC on December 4, 2020. The offering of the shares of common stock and pre-funded warrants is made only by means of a prospectus, including a prospectus supplement, forming a part of the effective registration statement. A final prospectus supplement and accompanying prospectus relating to the registered direct offering will be filed with the SEC. Electronic copies of the final prospectus supplement and accompanying prospectus may be obtained, when available, on the SEC’s website at http://www.sec.gov or by contacting H.C. Wainwright &amp; Co., LLC at 430 Park Avenue, 3rd Floor, New York, NY 10022, by phone at (212) 865-5711 or e-mail at placements@hcwco.com.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6" w:name="page127"/>
    <w:bookmarkEnd w:id="126"/>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preferred investment options and series B preferred investment options described above are being issued in a concurrent private placement under Section 4(a)(2) of the Securities Act of 1933, as amended (the “Securities Act”), and Regulation D promulgated thereunder and, along with the shares of common stock underlying the series A preferred investment options and the series B preferred investment options, have not been registered under the Securities Act, or applicable state securities laws. Accordingly, the series A preferred investment options and the series B preferred investment options and underlying shares of common stock may not be offered or sold in the United States except pursuant to an effective registration statement or an applicable exemption from the registration requirements of the Securities Act and such applicable state securities laws.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completion of the offerings, the satisfaction of customary closing conditions related to the offerings, the intended use of proceeds from the offerings, market conditions, risks inherent in the development and/or commercialization of potential products, including LIBERTY, the outcome of its studies to evaluate LIBERTY and other existing and future technologies, any failure or inability to recruit physicians and clinicians to serve as primary investigators to conduct the first-in-human clinical trial of LIBERTY, which could adversely affect or delay such trial, uncertainty in the results of pre-clinical studies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156845</wp:posOffset>
            </wp:positionV>
            <wp:extent cx="1928495" cy="7454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Closing of $5 Million Registered Direct Offering Priced At-The-Market under Nasdaq Rules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HINGHAM, Mass., Oct. 25, 2022 (GLOBE NEWSWIRE) — Microbot Medical Inc. (Nasdaq: MBOT) today announced that it has closed its previously announced registered direct offering with a single institutional investor for the purchase and sale of 1,022,495 shares of the Company’s common stock (which includes pre-funded warrants to purchase 240,000 shares of common stock) at a purchase price of $4.89 per share of common stock (or $4.8899 per pre-funded warrant, which represents the per share offering price for the common stock less the $0.0001 per share exercise price for each pre-funded warrant) priced at-the-market under Nasdaq rules. In addition, in a concurrent private placement, the Company issued to the investor unregistered series A preferred investment options and series B preferred investment options. The series A preferred investment options to purchase up to 1,022,495 shares of common stock have an exercise price of $4.64 per share and are immediately exercisable for a period of five years following issuance. The series B preferred investment options to purchase up to 1,022,495 shares of common stock have an exercise price of $4.64 per share and are immediately exercisable for a period of two years following issuance.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acted as the exclusive placement agent for the offerings.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gross proceeds to the Company from these offerings were approximately $5 million, before deducting the placement agent’s fees and other offering expenses payable by the Company. The Company intends to use the net proceeds from these offerings for the continued development, commercialization</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and regulatory activities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shares of common stock and pre-funded warrants described above were offered by the Company pursuant to a “shelf” registration statement on Form S-3 (File No. 333-250966) previously filed with the Securities and Exchange Commission (the “SEC”) and declared effective by the SEC on December 4, 2020. The offering of the shares of common stock and pre-funded warrants was made only by means of a prospectus, including a prospectus supplement, forming a part of the effective registration statement. A final prospectus supplement and accompanying prospectus relating to the registered direct offering was filed with the SEC. Electronic copies of the final prospectus supplement and accompanying prospectus may be obtained on the SEC’s website at http://www.sec.gov or by contacting H.C. Wainwright &amp; Co., LLC at 430 Park Avenue, 3rd Floor, New York, NY 10022, by phone at (212) 865-5711 or e-mail at placements@hcwco.com.</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preferred investment options and series B preferred investment options described above were issued in a concurrent private placement under Section 4(a)(2) of the Securities Act of 1933, as amended (the “Securities Act”), and Regulation D promulgated thereunder and, along with the shares of common stock underlying the series A preferred investment options and the series B preferred investment options, have not been registered under the Securities Act, or applicable state securities laws. Accordingly, the series A preferred investment options and the series B preferred investment options and underlying shares of common stock may not be offered or sold in the United States except pursuant to an effective registration statement or an applicable exemption from the registration requirements of the Securities Act and such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8" w:name="page129"/>
    <w:bookmarkEnd w:id="128"/>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intended use of proceeds from the offerings, market conditions, risks inherent in the development and/or commercialization of potential products, including LIBERTY, the outcome of its studies to evaluate LIBERTY and other existing and future technologies, any failure or inability to recruit physicians and clinicians to serve as primary investigators to conduct the first-in-human clinical trial of LIBERTY, which could adversely affect or delay such trial, uncertainty in the results of pre-clinical studies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amp;"/>
      <w:numFmt w:val="bullet"/>
      <w:start w:val="1"/>
    </w:lvl>
  </w:abstractNum>
  <w:abstractNum w:abstractNumId="2">
    <w:nsid w:val="5FF87E05"/>
    <w:multiLevelType w:val="hybridMultilevel"/>
    <w:lvl w:ilvl="0">
      <w:lvlJc w:val="left"/>
      <w:lvlText w:val="%1)"/>
      <w:numFmt w:val="lowerLetter"/>
      <w:start w:val="1"/>
    </w:lvl>
  </w:abstractNum>
  <w:abstractNum w:abstractNumId="3">
    <w:nsid w:val="2F305DEF"/>
    <w:multiLevelType w:val="hybridMultilevel"/>
    <w:lvl w:ilvl="0">
      <w:lvlJc w:val="left"/>
      <w:lvlText w:val="%1)"/>
      <w:numFmt w:val="lowerLetter"/>
      <w:start w:val="2"/>
    </w:lvl>
  </w:abstractNum>
  <w:abstractNum w:abstractNumId="4">
    <w:nsid w:val="25A70BF7"/>
    <w:multiLevelType w:val="hybridMultilevel"/>
    <w:lvl w:ilvl="0">
      <w:lvlJc w:val="left"/>
      <w:lvlText w:val="(%1)"/>
      <w:numFmt w:val="upperLetter"/>
      <w:start w:val="1"/>
    </w:lvl>
    <w:lvl w:ilvl="1">
      <w:lvlJc w:val="left"/>
      <w:lvlText w:val="(%2)"/>
      <w:numFmt w:val="lowerLetter"/>
      <w:start w:val="26"/>
    </w:lvl>
  </w:abstractNum>
  <w:abstractNum w:abstractNumId="5">
    <w:nsid w:val="1DBABF00"/>
    <w:multiLevelType w:val="hybridMultilevel"/>
    <w:lvl w:ilvl="0">
      <w:lvlJc w:val="left"/>
      <w:lvlText w:val="(%1)"/>
      <w:numFmt w:val="upperLetter"/>
      <w:start w:val="24"/>
    </w:lvl>
  </w:abstractNum>
  <w:abstractNum w:abstractNumId="6">
    <w:nsid w:val="4AD084E9"/>
    <w:multiLevelType w:val="hybridMultilevel"/>
    <w:lvl w:ilvl="0">
      <w:lvlJc w:val="left"/>
      <w:lvlText w:val="%1)"/>
      <w:numFmt w:val="lowerLetter"/>
      <w:start w:val="4"/>
    </w:lvl>
    <w:lvl w:ilvl="1">
      <w:lvlJc w:val="left"/>
      <w:lvlText w:val="%2."/>
      <w:numFmt w:val="lowerRoman"/>
      <w:start w:val="1"/>
    </w:lvl>
  </w:abstractNum>
  <w:abstractNum w:abstractNumId="7">
    <w:nsid w:val="1F48EAA1"/>
    <w:multiLevelType w:val="hybridMultilevel"/>
    <w:lvl w:ilvl="0">
      <w:lvlJc w:val="left"/>
      <w:lvlText w:val="%1."/>
      <w:numFmt w:val="lowerRoman"/>
      <w:start w:val="2"/>
    </w:lvl>
  </w:abstractNum>
  <w:abstractNum w:abstractNumId="8">
    <w:nsid w:val="1381823A"/>
    <w:multiLevelType w:val="hybridMultilevel"/>
    <w:lvl w:ilvl="0">
      <w:lvlJc w:val="left"/>
      <w:lvlText w:val="%1."/>
      <w:numFmt w:val="lowerRoman"/>
      <w:start w:val="6"/>
    </w:lvl>
  </w:abstractNum>
  <w:abstractNum w:abstractNumId="9">
    <w:nsid w:val="5DB70AE5"/>
    <w:multiLevelType w:val="hybridMultilevel"/>
    <w:lvl w:ilvl="0">
      <w:lvlJc w:val="left"/>
      <w:lvlText w:val="%1)"/>
      <w:numFmt w:val="lowerLetter"/>
      <w:start w:val="5"/>
    </w:lvl>
  </w:abstractNum>
  <w:abstractNum w:abstractNumId="10">
    <w:nsid w:val="100F8FCA"/>
    <w:multiLevelType w:val="hybridMultilevel"/>
    <w:lvl w:ilvl="0">
      <w:lvlJc w:val="left"/>
      <w:lvlText w:val="%1)"/>
      <w:numFmt w:val="lowerLetter"/>
      <w:start w:val="1"/>
    </w:lvl>
  </w:abstractNum>
  <w:abstractNum w:abstractNumId="11">
    <w:nsid w:val="6590700B"/>
    <w:multiLevelType w:val="hybridMultilevel"/>
    <w:lvl w:ilvl="0">
      <w:lvlJc w:val="left"/>
      <w:lvlText w:val="%1)"/>
      <w:numFmt w:val="lowerLetter"/>
      <w:start w:val="3"/>
    </w:lvl>
  </w:abstractNum>
  <w:abstractNum w:abstractNumId="12">
    <w:nsid w:val="15014ACB"/>
    <w:multiLevelType w:val="hybridMultilevel"/>
    <w:lvl w:ilvl="0">
      <w:lvlJc w:val="left"/>
      <w:lvlText w:val="%1)"/>
      <w:numFmt w:val="lowerLetter"/>
      <w:start w:val="4"/>
    </w:lvl>
  </w:abstractNum>
  <w:abstractNum w:abstractNumId="13">
    <w:nsid w:val="5F5E7FD0"/>
    <w:multiLevelType w:val="hybridMultilevel"/>
    <w:lvl w:ilvl="0">
      <w:lvlJc w:val="left"/>
      <w:lvlText w:val="%1)"/>
      <w:numFmt w:val="lowerLetter"/>
      <w:start w:val="6"/>
    </w:lvl>
    <w:lvl w:ilvl="1">
      <w:lvlJc w:val="left"/>
      <w:lvlText w:val="%2."/>
      <w:numFmt w:val="lowerRoman"/>
      <w:start w:val="1"/>
    </w:lvl>
  </w:abstractNum>
  <w:abstractNum w:abstractNumId="14">
    <w:nsid w:val="98A3148"/>
    <w:multiLevelType w:val="hybridMultilevel"/>
    <w:lvl w:ilvl="0">
      <w:lvlJc w:val="left"/>
      <w:lvlText w:val="%1)"/>
      <w:numFmt w:val="lowerLetter"/>
      <w:start w:val="1"/>
    </w:lvl>
  </w:abstractNum>
  <w:abstractNum w:abstractNumId="15">
    <w:nsid w:val="799D0247"/>
    <w:multiLevelType w:val="hybridMultilevel"/>
    <w:lvl w:ilvl="0">
      <w:lvlJc w:val="left"/>
      <w:lvlText w:val="%1)"/>
      <w:numFmt w:val="lowerLetter"/>
      <w:start w:val="2"/>
    </w:lvl>
  </w:abstractNum>
  <w:abstractNum w:abstractNumId="16">
    <w:nsid w:val="6B94764"/>
    <w:multiLevelType w:val="hybridMultilevel"/>
    <w:lvl w:ilvl="0">
      <w:lvlJc w:val="left"/>
      <w:lvlText w:val="%1)"/>
      <w:numFmt w:val="lowerLetter"/>
      <w:start w:val="1"/>
    </w:lvl>
  </w:abstractNum>
  <w:abstractNum w:abstractNumId="17">
    <w:nsid w:val="42C296BD"/>
    <w:multiLevelType w:val="hybridMultilevel"/>
    <w:lvl w:ilvl="0">
      <w:lvlJc w:val="left"/>
      <w:lvlText w:val="%1)"/>
      <w:numFmt w:val="lowerLetter"/>
      <w:start w:val="3"/>
    </w:lvl>
  </w:abstractNum>
  <w:abstractNum w:abstractNumId="18">
    <w:nsid w:val="168E121F"/>
    <w:multiLevelType w:val="hybridMultilevel"/>
    <w:lvl w:ilvl="0">
      <w:lvlJc w:val="left"/>
      <w:lvlText w:val="%1)"/>
      <w:numFmt w:val="lowerLetter"/>
      <w:start w:val="5"/>
    </w:lvl>
  </w:abstractNum>
  <w:abstractNum w:abstractNumId="19">
    <w:nsid w:val="1EBA5D23"/>
    <w:multiLevelType w:val="hybridMultilevel"/>
    <w:lvl w:ilvl="0">
      <w:lvlJc w:val="left"/>
      <w:lvlText w:val="(%1)"/>
      <w:numFmt w:val="decimal"/>
      <w:start w:val="1"/>
    </w:lvl>
    <w:lvl w:ilvl="1">
      <w:lvlJc w:val="left"/>
      <w:lvlText w:val="☐"/>
      <w:numFmt w:val="bullet"/>
      <w:start w:val="1"/>
    </w:lvl>
  </w:abstractNum>
  <w:abstractNum w:abstractNumId="20">
    <w:nsid w:val="661E3F1E"/>
    <w:multiLevelType w:val="hybridMultilevel"/>
    <w:lvl w:ilvl="0">
      <w:lvlJc w:val="left"/>
      <w:lvlText w:val="1"/>
      <w:numFmt w:val="bullet"/>
      <w:start w:val="1"/>
    </w:lvl>
  </w:abstractNum>
  <w:abstractNum w:abstractNumId="21">
    <w:nsid w:val="5DC79EA8"/>
    <w:multiLevelType w:val="hybridMultilevel"/>
    <w:lvl w:ilvl="0">
      <w:lvlJc w:val="left"/>
      <w:lvlText w:val="%1)"/>
      <w:numFmt w:val="lowerLetter"/>
      <w:start w:val="1"/>
    </w:lvl>
  </w:abstractNum>
  <w:abstractNum w:abstractNumId="22">
    <w:nsid w:val="540A471C"/>
    <w:multiLevelType w:val="hybridMultilevel"/>
    <w:lvl w:ilvl="0">
      <w:lvlJc w:val="left"/>
      <w:lvlText w:val="%1)"/>
      <w:numFmt w:val="lowerLetter"/>
      <w:start w:val="3"/>
    </w:lvl>
  </w:abstractNum>
  <w:abstractNum w:abstractNumId="23">
    <w:nsid w:val="7BD3EE7B"/>
    <w:multiLevelType w:val="hybridMultilevel"/>
    <w:lvl w:ilvl="0">
      <w:lvlJc w:val="left"/>
      <w:lvlText w:val="(%1)"/>
      <w:numFmt w:val="upperLetter"/>
      <w:start w:val="1"/>
    </w:lvl>
    <w:lvl w:ilvl="1">
      <w:lvlJc w:val="left"/>
      <w:lvlText w:val="(%2)"/>
      <w:numFmt w:val="lowerLetter"/>
      <w:start w:val="26"/>
    </w:lvl>
  </w:abstractNum>
  <w:abstractNum w:abstractNumId="24">
    <w:nsid w:val="51D9C564"/>
    <w:multiLevelType w:val="hybridMultilevel"/>
    <w:lvl w:ilvl="0">
      <w:lvlJc w:val="left"/>
      <w:lvlText w:val="(%1)"/>
      <w:numFmt w:val="upperLetter"/>
      <w:start w:val="24"/>
    </w:lvl>
  </w:abstractNum>
  <w:abstractNum w:abstractNumId="25">
    <w:nsid w:val="613EFDC5"/>
    <w:multiLevelType w:val="hybridMultilevel"/>
    <w:lvl w:ilvl="0">
      <w:lvlJc w:val="left"/>
      <w:lvlText w:val="%1)"/>
      <w:numFmt w:val="lowerLetter"/>
      <w:start w:val="4"/>
    </w:lvl>
    <w:lvl w:ilvl="1">
      <w:lvlJc w:val="left"/>
      <w:lvlText w:val="%2."/>
      <w:numFmt w:val="lowerRoman"/>
      <w:start w:val="1"/>
    </w:lvl>
  </w:abstractNum>
  <w:abstractNum w:abstractNumId="26">
    <w:nsid w:val="BF72B14"/>
    <w:multiLevelType w:val="hybridMultilevel"/>
    <w:lvl w:ilvl="0">
      <w:lvlJc w:val="left"/>
      <w:lvlText w:val="%1"/>
      <w:numFmt w:val="lowerRoman"/>
      <w:start w:val="1"/>
    </w:lvl>
    <w:lvl w:ilvl="1">
      <w:lvlJc w:val="left"/>
      <w:lvlText w:val="%2."/>
      <w:numFmt w:val="lowerRoman"/>
      <w:start w:val="3"/>
    </w:lvl>
  </w:abstractNum>
  <w:abstractNum w:abstractNumId="27">
    <w:nsid w:val="11447B73"/>
    <w:multiLevelType w:val="hybridMultilevel"/>
    <w:lvl w:ilvl="0">
      <w:lvlJc w:val="left"/>
      <w:lvlText w:val="(%1)"/>
      <w:numFmt w:val="lowerRoman"/>
      <w:start w:val="10"/>
    </w:lvl>
    <w:lvl w:ilvl="1">
      <w:lvlJc w:val="left"/>
      <w:lvlText w:val="%2"/>
      <w:numFmt w:val="lowerRoman"/>
      <w:start w:val="1"/>
    </w:lvl>
  </w:abstractNum>
  <w:abstractNum w:abstractNumId="28">
    <w:nsid w:val="42963E5A"/>
    <w:multiLevelType w:val="hybridMultilevel"/>
    <w:lvl w:ilvl="0">
      <w:lvlJc w:val="left"/>
      <w:lvlText w:val="%1."/>
      <w:numFmt w:val="lowerRoman"/>
      <w:start w:val="6"/>
    </w:lvl>
  </w:abstractNum>
  <w:abstractNum w:abstractNumId="29">
    <w:nsid w:val="A0382C5"/>
    <w:multiLevelType w:val="hybridMultilevel"/>
    <w:lvl w:ilvl="0">
      <w:lvlJc w:val="left"/>
      <w:lvlText w:val="%1)"/>
      <w:numFmt w:val="lowerLetter"/>
      <w:start w:val="5"/>
    </w:lvl>
  </w:abstractNum>
  <w:abstractNum w:abstractNumId="30">
    <w:nsid w:val="8F2B15E"/>
    <w:multiLevelType w:val="hybridMultilevel"/>
    <w:lvl w:ilvl="0">
      <w:lvlJc w:val="left"/>
      <w:lvlText w:val="%1)"/>
      <w:numFmt w:val="lowerLetter"/>
      <w:start w:val="1"/>
    </w:lvl>
  </w:abstractNum>
  <w:abstractNum w:abstractNumId="31">
    <w:nsid w:val="1A32234B"/>
    <w:multiLevelType w:val="hybridMultilevel"/>
    <w:lvl w:ilvl="0">
      <w:lvlJc w:val="left"/>
      <w:lvlText w:val="%1)"/>
      <w:numFmt w:val="lowerLetter"/>
      <w:start w:val="3"/>
    </w:lvl>
  </w:abstractNum>
  <w:abstractNum w:abstractNumId="32">
    <w:nsid w:val="3B0FD379"/>
    <w:multiLevelType w:val="hybridMultilevel"/>
    <w:lvl w:ilvl="0">
      <w:lvlJc w:val="left"/>
      <w:lvlText w:val="%1)"/>
      <w:numFmt w:val="lowerLetter"/>
      <w:start w:val="4"/>
    </w:lvl>
  </w:abstractNum>
  <w:abstractNum w:abstractNumId="33">
    <w:nsid w:val="68EB2F63"/>
    <w:multiLevelType w:val="hybridMultilevel"/>
    <w:lvl w:ilvl="0">
      <w:lvlJc w:val="left"/>
      <w:lvlText w:val="%1)"/>
      <w:numFmt w:val="lowerLetter"/>
      <w:start w:val="5"/>
    </w:lvl>
    <w:lvl w:ilvl="1">
      <w:lvlJc w:val="left"/>
      <w:lvlText w:val="%2."/>
      <w:numFmt w:val="lowerRoman"/>
      <w:start w:val="1"/>
    </w:lvl>
  </w:abstractNum>
  <w:abstractNum w:abstractNumId="34">
    <w:nsid w:val="4962813B"/>
    <w:multiLevelType w:val="hybridMultilevel"/>
    <w:lvl w:ilvl="0">
      <w:lvlJc w:val="left"/>
      <w:lvlText w:val="%1)"/>
      <w:numFmt w:val="lowerLetter"/>
      <w:start w:val="7"/>
    </w:lvl>
  </w:abstractNum>
  <w:abstractNum w:abstractNumId="35">
    <w:nsid w:val="60B6DF70"/>
    <w:multiLevelType w:val="hybridMultilevel"/>
    <w:lvl w:ilvl="0">
      <w:lvlJc w:val="left"/>
      <w:lvlText w:val="%1)"/>
      <w:numFmt w:val="lowerLetter"/>
      <w:start w:val="1"/>
    </w:lvl>
  </w:abstractNum>
  <w:abstractNum w:abstractNumId="36">
    <w:nsid w:val="6A5EE64"/>
    <w:multiLevelType w:val="hybridMultilevel"/>
    <w:lvl w:ilvl="0">
      <w:lvlJc w:val="left"/>
      <w:lvlText w:val="%1)"/>
      <w:numFmt w:val="lowerLetter"/>
      <w:start w:val="3"/>
    </w:lvl>
  </w:abstractNum>
  <w:abstractNum w:abstractNumId="37">
    <w:nsid w:val="14330624"/>
    <w:multiLevelType w:val="hybridMultilevel"/>
    <w:lvl w:ilvl="0">
      <w:lvlJc w:val="left"/>
      <w:lvlText w:val="%1)"/>
      <w:numFmt w:val="lowerLetter"/>
      <w:start w:val="1"/>
    </w:lvl>
  </w:abstractNum>
  <w:abstractNum w:abstractNumId="38">
    <w:nsid w:val="7FFFCA11"/>
    <w:multiLevelType w:val="hybridMultilevel"/>
    <w:lvl w:ilvl="0">
      <w:lvlJc w:val="left"/>
      <w:lvlText w:val="%1)"/>
      <w:numFmt w:val="lowerLetter"/>
      <w:start w:val="3"/>
    </w:lvl>
  </w:abstractNum>
  <w:abstractNum w:abstractNumId="39">
    <w:nsid w:val="1A27709E"/>
    <w:multiLevelType w:val="hybridMultilevel"/>
    <w:lvl w:ilvl="0">
      <w:lvlJc w:val="left"/>
      <w:lvlText w:val="%1)"/>
      <w:numFmt w:val="lowerLetter"/>
      <w:start w:val="5"/>
    </w:lvl>
  </w:abstractNum>
  <w:abstractNum w:abstractNumId="40">
    <w:nsid w:val="71EA1109"/>
    <w:multiLevelType w:val="hybridMultilevel"/>
    <w:lvl w:ilvl="0">
      <w:lvlJc w:val="left"/>
      <w:lvlText w:val="%1)"/>
      <w:numFmt w:val="lowerLetter"/>
      <w:start w:val="11"/>
    </w:lvl>
  </w:abstractNum>
  <w:abstractNum w:abstractNumId="41">
    <w:nsid w:val="100F59DC"/>
    <w:multiLevelType w:val="hybridMultilevel"/>
    <w:lvl w:ilvl="0">
      <w:lvlJc w:val="left"/>
      <w:lvlText w:val="(%1)"/>
      <w:numFmt w:val="decimal"/>
      <w:start w:val="1"/>
    </w:lvl>
    <w:lvl w:ilvl="1">
      <w:lvlJc w:val="left"/>
      <w:lvlText w:val="☐"/>
      <w:numFmt w:val="bullet"/>
      <w:start w:val="1"/>
    </w:lvl>
  </w:abstractNum>
  <w:abstractNum w:abstractNumId="42">
    <w:nsid w:val="7FB7E0AA"/>
    <w:multiLevelType w:val="hybridMultilevel"/>
    <w:lvl w:ilvl="0">
      <w:lvlJc w:val="left"/>
      <w:lvlText w:val="(%1)"/>
      <w:numFmt w:val="decimal"/>
      <w:start w:val="4"/>
    </w:lvl>
  </w:abstractNum>
  <w:abstractNum w:abstractNumId="43">
    <w:nsid w:val="6EB5BD4"/>
    <w:multiLevelType w:val="hybridMultilevel"/>
    <w:lvl w:ilvl="0">
      <w:lvlJc w:val="left"/>
      <w:lvlText w:val="1"/>
      <w:numFmt w:val="bullet"/>
      <w:start w:val="1"/>
    </w:lvl>
  </w:abstractNum>
  <w:abstractNum w:abstractNumId="44">
    <w:nsid w:val="6F6DD9AC"/>
    <w:multiLevelType w:val="hybridMultilevel"/>
    <w:lvl w:ilvl="0">
      <w:lvlJc w:val="left"/>
      <w:lvlText w:val="%1)"/>
      <w:numFmt w:val="lowerLetter"/>
      <w:start w:val="1"/>
    </w:lvl>
  </w:abstractNum>
  <w:abstractNum w:abstractNumId="45">
    <w:nsid w:val="94211F2"/>
    <w:multiLevelType w:val="hybridMultilevel"/>
    <w:lvl w:ilvl="0">
      <w:lvlJc w:val="left"/>
      <w:lvlText w:val="(%1)"/>
      <w:numFmt w:val="upperLetter"/>
      <w:start w:val="1"/>
    </w:lvl>
    <w:lvl w:ilvl="1">
      <w:lvlJc w:val="left"/>
      <w:lvlText w:val="(%2)"/>
      <w:numFmt w:val="lowerLetter"/>
      <w:start w:val="26"/>
    </w:lvl>
  </w:abstractNum>
  <w:abstractNum w:abstractNumId="46">
    <w:nsid w:val="885E1B"/>
    <w:multiLevelType w:val="hybridMultilevel"/>
    <w:lvl w:ilvl="0">
      <w:lvlJc w:val="left"/>
      <w:lvlText w:val="(%1)"/>
      <w:numFmt w:val="upperLetter"/>
      <w:start w:val="24"/>
    </w:lvl>
  </w:abstractNum>
  <w:abstractNum w:abstractNumId="47">
    <w:nsid w:val="76272110"/>
    <w:multiLevelType w:val="hybridMultilevel"/>
    <w:lvl w:ilvl="0">
      <w:lvlJc w:val="left"/>
      <w:lvlText w:val="%1)"/>
      <w:numFmt w:val="lowerLetter"/>
      <w:start w:val="4"/>
    </w:lvl>
    <w:lvl w:ilvl="1">
      <w:lvlJc w:val="left"/>
      <w:lvlText w:val="%2."/>
      <w:numFmt w:val="lowerRoman"/>
      <w:start w:val="1"/>
    </w:lvl>
  </w:abstractNum>
  <w:abstractNum w:abstractNumId="48">
    <w:nsid w:val="4C04A8AF"/>
    <w:multiLevelType w:val="hybridMultilevel"/>
    <w:lvl w:ilvl="0">
      <w:lvlJc w:val="left"/>
      <w:lvlText w:val="%1"/>
      <w:numFmt w:val="lowerRoman"/>
      <w:start w:val="1"/>
    </w:lvl>
    <w:lvl w:ilvl="1">
      <w:lvlJc w:val="left"/>
      <w:lvlText w:val="%2."/>
      <w:numFmt w:val="lowerRoman"/>
      <w:start w:val="3"/>
    </w:lvl>
  </w:abstractNum>
  <w:abstractNum w:abstractNumId="49">
    <w:nsid w:val="1716703B"/>
    <w:multiLevelType w:val="hybridMultilevel"/>
    <w:lvl w:ilvl="0">
      <w:lvlJc w:val="left"/>
      <w:lvlText w:val="(%1)"/>
      <w:numFmt w:val="lowerRoman"/>
      <w:start w:val="10"/>
    </w:lvl>
    <w:lvl w:ilvl="1">
      <w:lvlJc w:val="left"/>
      <w:lvlText w:val="%2"/>
      <w:numFmt w:val="lowerRoman"/>
      <w:start w:val="1"/>
    </w:lvl>
  </w:abstractNum>
  <w:abstractNum w:abstractNumId="50">
    <w:nsid w:val="14E17E33"/>
    <w:multiLevelType w:val="hybridMultilevel"/>
    <w:lvl w:ilvl="0">
      <w:lvlJc w:val="left"/>
      <w:lvlText w:val="%1."/>
      <w:numFmt w:val="lowerRoman"/>
      <w:start w:val="6"/>
    </w:lvl>
  </w:abstractNum>
  <w:abstractNum w:abstractNumId="51">
    <w:nsid w:val="3222E7CD"/>
    <w:multiLevelType w:val="hybridMultilevel"/>
    <w:lvl w:ilvl="0">
      <w:lvlJc w:val="left"/>
      <w:lvlText w:val="%1)"/>
      <w:numFmt w:val="lowerLetter"/>
      <w:start w:val="5"/>
    </w:lvl>
  </w:abstractNum>
  <w:abstractNum w:abstractNumId="52">
    <w:nsid w:val="74DE0EE3"/>
    <w:multiLevelType w:val="hybridMultilevel"/>
    <w:lvl w:ilvl="0">
      <w:lvlJc w:val="left"/>
      <w:lvlText w:val="%1)"/>
      <w:numFmt w:val="lowerLetter"/>
      <w:start w:val="1"/>
    </w:lvl>
  </w:abstractNum>
  <w:abstractNum w:abstractNumId="53">
    <w:nsid w:val="68EBC550"/>
    <w:multiLevelType w:val="hybridMultilevel"/>
    <w:lvl w:ilvl="0">
      <w:lvlJc w:val="left"/>
      <w:lvlText w:val="%1)"/>
      <w:numFmt w:val="lowerLetter"/>
      <w:start w:val="3"/>
    </w:lvl>
  </w:abstractNum>
  <w:abstractNum w:abstractNumId="54">
    <w:nsid w:val="2DF6D648"/>
    <w:multiLevelType w:val="hybridMultilevel"/>
    <w:lvl w:ilvl="0">
      <w:lvlJc w:val="left"/>
      <w:lvlText w:val="%1)"/>
      <w:numFmt w:val="lowerLetter"/>
      <w:start w:val="4"/>
    </w:lvl>
  </w:abstractNum>
  <w:abstractNum w:abstractNumId="55">
    <w:nsid w:val="46B7D447"/>
    <w:multiLevelType w:val="hybridMultilevel"/>
    <w:lvl w:ilvl="0">
      <w:lvlJc w:val="left"/>
      <w:lvlText w:val="%1)"/>
      <w:numFmt w:val="lowerLetter"/>
      <w:start w:val="5"/>
    </w:lvl>
    <w:lvl w:ilvl="1">
      <w:lvlJc w:val="left"/>
      <w:lvlText w:val="%2."/>
      <w:numFmt w:val="lowerRoman"/>
      <w:start w:val="1"/>
    </w:lvl>
  </w:abstractNum>
  <w:abstractNum w:abstractNumId="56">
    <w:nsid w:val="4A2AC315"/>
    <w:multiLevelType w:val="hybridMultilevel"/>
    <w:lvl w:ilvl="0">
      <w:lvlJc w:val="left"/>
      <w:lvlText w:val="%1)"/>
      <w:numFmt w:val="lowerLetter"/>
      <w:start w:val="7"/>
    </w:lvl>
  </w:abstractNum>
  <w:abstractNum w:abstractNumId="57">
    <w:nsid w:val="39EE015C"/>
    <w:multiLevelType w:val="hybridMultilevel"/>
    <w:lvl w:ilvl="0">
      <w:lvlJc w:val="left"/>
      <w:lvlText w:val="%1)"/>
      <w:numFmt w:val="lowerLetter"/>
      <w:start w:val="1"/>
    </w:lvl>
  </w:abstractNum>
  <w:abstractNum w:abstractNumId="58">
    <w:nsid w:val="57FC4FBB"/>
    <w:multiLevelType w:val="hybridMultilevel"/>
    <w:lvl w:ilvl="0">
      <w:lvlJc w:val="left"/>
      <w:lvlText w:val="%1)"/>
      <w:numFmt w:val="lowerLetter"/>
      <w:start w:val="3"/>
    </w:lvl>
  </w:abstractNum>
  <w:abstractNum w:abstractNumId="59">
    <w:nsid w:val="CC1016F"/>
    <w:multiLevelType w:val="hybridMultilevel"/>
    <w:lvl w:ilvl="0">
      <w:lvlJc w:val="left"/>
      <w:lvlText w:val="%1)"/>
      <w:numFmt w:val="lowerLetter"/>
      <w:start w:val="1"/>
    </w:lvl>
  </w:abstractNum>
  <w:abstractNum w:abstractNumId="60">
    <w:nsid w:val="43F18422"/>
    <w:multiLevelType w:val="hybridMultilevel"/>
    <w:lvl w:ilvl="0">
      <w:lvlJc w:val="left"/>
      <w:lvlText w:val="%1)"/>
      <w:numFmt w:val="lowerLetter"/>
      <w:start w:val="3"/>
    </w:lvl>
  </w:abstractNum>
  <w:abstractNum w:abstractNumId="61">
    <w:nsid w:val="60EF0119"/>
    <w:multiLevelType w:val="hybridMultilevel"/>
    <w:lvl w:ilvl="0">
      <w:lvlJc w:val="left"/>
      <w:lvlText w:val="%1)"/>
      <w:numFmt w:val="lowerLetter"/>
      <w:start w:val="5"/>
    </w:lvl>
  </w:abstractNum>
  <w:abstractNum w:abstractNumId="62">
    <w:nsid w:val="26F324BA"/>
    <w:multiLevelType w:val="hybridMultilevel"/>
    <w:lvl w:ilvl="0">
      <w:lvlJc w:val="left"/>
      <w:lvlText w:val="%1)"/>
      <w:numFmt w:val="lowerLetter"/>
      <w:start w:val="11"/>
    </w:lvl>
  </w:abstractNum>
  <w:abstractNum w:abstractNumId="63">
    <w:nsid w:val="7F01579B"/>
    <w:multiLevelType w:val="hybridMultilevel"/>
    <w:lvl w:ilvl="0">
      <w:lvlJc w:val="left"/>
      <w:lvlText w:val="(%1)"/>
      <w:numFmt w:val="decimal"/>
      <w:start w:val="1"/>
    </w:lvl>
    <w:lvl w:ilvl="1">
      <w:lvlJc w:val="left"/>
      <w:lvlText w:val="☐"/>
      <w:numFmt w:val="bullet"/>
      <w:start w:val="1"/>
    </w:lvl>
  </w:abstractNum>
  <w:abstractNum w:abstractNumId="64">
    <w:nsid w:val="49DA307D"/>
    <w:multiLevelType w:val="hybridMultilevel"/>
    <w:lvl w:ilvl="0">
      <w:lvlJc w:val="left"/>
      <w:lvlText w:val="(%1)"/>
      <w:numFmt w:val="decimal"/>
      <w:start w:val="4"/>
    </w:lvl>
  </w:abstractNum>
  <w:abstractNum w:abstractNumId="65">
    <w:nsid w:val="7055A5F5"/>
    <w:multiLevelType w:val="hybridMultilevel"/>
    <w:lvl w:ilvl="0">
      <w:lvlJc w:val="left"/>
      <w:lvlText w:val="%1)"/>
      <w:numFmt w:val="lowerLetter"/>
      <w:start w:val="1"/>
    </w:lvl>
  </w:abstractNum>
  <w:abstractNum w:abstractNumId="66">
    <w:nsid w:val="5FB8370B"/>
    <w:multiLevelType w:val="hybridMultilevel"/>
    <w:lvl w:ilvl="0">
      <w:lvlJc w:val="left"/>
      <w:lvlText w:val="(%1)"/>
      <w:numFmt w:val="upperLetter"/>
      <w:start w:val="1"/>
    </w:lvl>
  </w:abstractNum>
  <w:abstractNum w:abstractNumId="67">
    <w:nsid w:val="50801EE1"/>
    <w:multiLevelType w:val="hybridMultilevel"/>
    <w:lvl w:ilvl="0">
      <w:lvlJc w:val="left"/>
      <w:lvlText w:val="(%1)"/>
      <w:numFmt w:val="upperLetter"/>
      <w:start w:val="24"/>
    </w:lvl>
  </w:abstractNum>
  <w:abstractNum w:abstractNumId="68">
    <w:nsid w:val="488AC1A"/>
    <w:multiLevelType w:val="hybridMultilevel"/>
    <w:lvl w:ilvl="0">
      <w:lvlJc w:val="left"/>
      <w:lvlText w:val="%1)"/>
      <w:numFmt w:val="lowerLetter"/>
      <w:start w:val="4"/>
    </w:lvl>
    <w:lvl w:ilvl="1">
      <w:lvlJc w:val="left"/>
      <w:lvlText w:val="%2."/>
      <w:numFmt w:val="lowerRoman"/>
      <w:start w:val="1"/>
    </w:lvl>
  </w:abstractNum>
  <w:abstractNum w:abstractNumId="69">
    <w:nsid w:val="5FB8011C"/>
    <w:multiLevelType w:val="hybridMultilevel"/>
    <w:lvl w:ilvl="0">
      <w:lvlJc w:val="left"/>
      <w:lvlText w:val="%1"/>
      <w:numFmt w:val="lowerRoman"/>
      <w:start w:val="1"/>
    </w:lvl>
    <w:lvl w:ilvl="1">
      <w:lvlJc w:val="left"/>
      <w:lvlText w:val="%2."/>
      <w:numFmt w:val="lowerRoman"/>
      <w:start w:val="2"/>
    </w:lvl>
  </w:abstractNum>
  <w:abstractNum w:abstractNumId="70">
    <w:nsid w:val="6AA78F7F"/>
    <w:multiLevelType w:val="hybridMultilevel"/>
    <w:lvl w:ilvl="0">
      <w:lvlJc w:val="left"/>
      <w:lvlText w:val="(%1)"/>
      <w:numFmt w:val="lowerRoman"/>
      <w:start w:val="10"/>
    </w:lvl>
    <w:lvl w:ilvl="1">
      <w:lvlJc w:val="left"/>
      <w:lvlText w:val="%2."/>
      <w:numFmt w:val="lowerRoman"/>
      <w:start w:val="5"/>
    </w:lvl>
  </w:abstractNum>
  <w:abstractNum w:abstractNumId="71">
    <w:nsid w:val="7672BD23"/>
    <w:multiLevelType w:val="hybridMultilevel"/>
    <w:lvl w:ilvl="0">
      <w:lvlJc w:val="left"/>
      <w:lvlText w:val="%1"/>
      <w:numFmt w:val="lowerLetter"/>
      <w:start w:val="1"/>
    </w:lvl>
    <w:lvl w:ilvl="1">
      <w:lvlJc w:val="left"/>
      <w:lvlText w:val="%2."/>
      <w:numFmt w:val="lowerRoman"/>
      <w:start w:val="6"/>
    </w:lvl>
  </w:abstractNum>
  <w:abstractNum w:abstractNumId="72">
    <w:nsid w:val="6FC75AF8"/>
    <w:multiLevelType w:val="hybridMultilevel"/>
    <w:lvl w:ilvl="0">
      <w:lvlJc w:val="left"/>
      <w:lvlText w:val="%1)"/>
      <w:numFmt w:val="lowerLetter"/>
      <w:start w:val="5"/>
    </w:lvl>
    <w:lvl w:ilvl="1">
      <w:lvlJc w:val="left"/>
      <w:lvlText w:val="%2"/>
      <w:numFmt w:val="lowerRoman"/>
      <w:start w:val="1"/>
    </w:lvl>
  </w:abstractNum>
  <w:abstractNum w:abstractNumId="73">
    <w:nsid w:val="6A5F7029"/>
    <w:multiLevelType w:val="hybridMultilevel"/>
    <w:lvl w:ilvl="0">
      <w:lvlJc w:val="left"/>
      <w:lvlText w:val="%1)"/>
      <w:numFmt w:val="lowerLetter"/>
      <w:start w:val="1"/>
    </w:lvl>
  </w:abstractNum>
  <w:abstractNum w:abstractNumId="74">
    <w:nsid w:val="7D5E18F8"/>
    <w:multiLevelType w:val="hybridMultilevel"/>
    <w:lvl w:ilvl="0">
      <w:lvlJc w:val="left"/>
      <w:lvlText w:val="%1)"/>
      <w:numFmt w:val="lowerLetter"/>
      <w:start w:val="4"/>
    </w:lvl>
  </w:abstractNum>
  <w:abstractNum w:abstractNumId="75">
    <w:nsid w:val="5F3534A4"/>
    <w:multiLevelType w:val="hybridMultilevel"/>
    <w:lvl w:ilvl="0">
      <w:lvlJc w:val="left"/>
      <w:lvlText w:val="%1)"/>
      <w:numFmt w:val="lowerLetter"/>
      <w:start w:val="5"/>
    </w:lvl>
    <w:lvl w:ilvl="1">
      <w:lvlJc w:val="left"/>
      <w:lvlText w:val="%2."/>
      <w:numFmt w:val="lowerRoman"/>
      <w:start w:val="1"/>
    </w:lvl>
  </w:abstractNum>
  <w:abstractNum w:abstractNumId="76">
    <w:nsid w:val="73A1821B"/>
    <w:multiLevelType w:val="hybridMultilevel"/>
    <w:lvl w:ilvl="0">
      <w:lvlJc w:val="left"/>
      <w:lvlText w:val="%1)"/>
      <w:numFmt w:val="lowerLetter"/>
      <w:start w:val="7"/>
    </w:lvl>
  </w:abstractNum>
  <w:abstractNum w:abstractNumId="77">
    <w:nsid w:val="7DE67713"/>
    <w:multiLevelType w:val="hybridMultilevel"/>
    <w:lvl w:ilvl="0">
      <w:lvlJc w:val="left"/>
      <w:lvlText w:val="%1)"/>
      <w:numFmt w:val="lowerLetter"/>
      <w:start w:val="1"/>
    </w:lvl>
  </w:abstractNum>
  <w:abstractNum w:abstractNumId="78">
    <w:nsid w:val="555C55B5"/>
    <w:multiLevelType w:val="hybridMultilevel"/>
    <w:lvl w:ilvl="0">
      <w:lvlJc w:val="left"/>
      <w:lvlText w:val="%1)"/>
      <w:numFmt w:val="lowerLetter"/>
      <w:start w:val="4"/>
    </w:lvl>
  </w:abstractNum>
  <w:abstractNum w:abstractNumId="79">
    <w:nsid w:val="3FA62ACA"/>
    <w:multiLevelType w:val="hybridMultilevel"/>
    <w:lvl w:ilvl="0">
      <w:lvlJc w:val="left"/>
      <w:lvlText w:val="%1)"/>
      <w:numFmt w:val="lowerLetter"/>
      <w:start w:val="1"/>
    </w:lvl>
  </w:abstractNum>
  <w:abstractNum w:abstractNumId="80">
    <w:nsid w:val="14FCE74E"/>
    <w:multiLevelType w:val="hybridMultilevel"/>
    <w:lvl w:ilvl="0">
      <w:lvlJc w:val="left"/>
      <w:lvlText w:val="%1)"/>
      <w:numFmt w:val="lowerLetter"/>
      <w:start w:val="3"/>
    </w:lvl>
  </w:abstractNum>
  <w:abstractNum w:abstractNumId="81">
    <w:nsid w:val="6A3DD3E8"/>
    <w:multiLevelType w:val="hybridMultilevel"/>
    <w:lvl w:ilvl="0">
      <w:lvlJc w:val="left"/>
      <w:lvlText w:val="%1)"/>
      <w:numFmt w:val="lowerLetter"/>
      <w:start w:val="5"/>
    </w:lvl>
  </w:abstractNum>
  <w:abstractNum w:abstractNumId="82">
    <w:nsid w:val="71C91298"/>
    <w:multiLevelType w:val="hybridMultilevel"/>
    <w:lvl w:ilvl="0">
      <w:lvlJc w:val="left"/>
      <w:lvlText w:val="%1)"/>
      <w:numFmt w:val="lowerLetter"/>
      <w:start w:val="11"/>
    </w:lvl>
  </w:abstractNum>
  <w:abstractNum w:abstractNumId="83">
    <w:nsid w:val="9DAF632"/>
    <w:multiLevelType w:val="hybridMultilevel"/>
    <w:lvl w:ilvl="0">
      <w:lvlJc w:val="left"/>
      <w:lvlText w:val="(%1)"/>
      <w:numFmt w:val="decimal"/>
      <w:start w:val="1"/>
    </w:lvl>
  </w:abstractNum>
  <w:abstractNum w:abstractNumId="84">
    <w:nsid w:val="53299938"/>
    <w:multiLevelType w:val="hybridMultilevel"/>
    <w:lvl w:ilvl="0">
      <w:lvlJc w:val="left"/>
      <w:lvlText w:val="(%1)"/>
      <w:numFmt w:val="decimal"/>
      <w:start w:val="2"/>
    </w:lvl>
    <w:lvl w:ilvl="1">
      <w:lvlJc w:val="left"/>
      <w:lvlText w:val="["/>
      <w:numFmt w:val="bullet"/>
      <w:start w:val="1"/>
    </w:lvl>
  </w:abstractNum>
  <w:abstractNum w:abstractNumId="85">
    <w:nsid w:val="1FBFE8E0"/>
    <w:multiLevelType w:val="hybridMultilevel"/>
    <w:lvl w:ilvl="0">
      <w:lvlJc w:val="left"/>
      <w:lvlText w:val="(%1)"/>
      <w:numFmt w:val="decimal"/>
      <w:start w:val="4"/>
    </w:lvl>
  </w:abstractNum>
  <w:abstractNum w:abstractNumId="86">
    <w:nsid w:val="5092CA79"/>
    <w:multiLevelType w:val="hybridMultilevel"/>
    <w:lvl w:ilvl="0">
      <w:lvlJc w:val="left"/>
      <w:lvlText w:val="(%1)"/>
      <w:numFmt w:val="lowerLetter"/>
      <w:start w:val="2"/>
    </w:lvl>
  </w:abstractNum>
  <w:abstractNum w:abstractNumId="87">
    <w:nsid w:val="1D545C4D"/>
    <w:multiLevelType w:val="hybridMultilevel"/>
    <w:lvl w:ilvl="0">
      <w:lvlJc w:val="left"/>
      <w:lvlText w:val="(%1)"/>
      <w:numFmt w:val="lowerRoman"/>
      <w:start w:val="1"/>
    </w:lvl>
  </w:abstractNum>
  <w:abstractNum w:abstractNumId="88">
    <w:nsid w:val="59ADEA3D"/>
    <w:multiLevelType w:val="hybridMultilevel"/>
    <w:lvl w:ilvl="0">
      <w:lvlJc w:val="left"/>
      <w:lvlText w:val="(%1)"/>
      <w:numFmt w:val="lowerLetter"/>
      <w:start w:val="1"/>
    </w:lvl>
    <w:lvl w:ilvl="1">
      <w:lvlJc w:val="left"/>
      <w:lvlText w:val="(%2)"/>
      <w:numFmt w:val="lowerLetter"/>
      <w:start w:val="9"/>
    </w:lvl>
  </w:abstractNum>
  <w:abstractNum w:abstractNumId="89">
    <w:nsid w:val="288F1A34"/>
    <w:multiLevelType w:val="hybridMultilevel"/>
    <w:lvl w:ilvl="0">
      <w:lvlJc w:val="left"/>
      <w:lvlText w:val="%1"/>
      <w:numFmt w:val="lowerLetter"/>
      <w:start w:val="1"/>
    </w:lvl>
    <w:lvl w:ilvl="1">
      <w:lvlJc w:val="left"/>
      <w:lvlText w:val="(%2)"/>
      <w:numFmt w:val="lowerRoman"/>
      <w:start w:val="2"/>
    </w:lvl>
  </w:abstractNum>
  <w:abstractNum w:abstractNumId="90">
    <w:nsid w:val="2A155DBC"/>
    <w:multiLevelType w:val="hybridMultilevel"/>
    <w:lvl w:ilvl="0">
      <w:lvlJc w:val="left"/>
      <w:lvlText w:val="(%1)"/>
      <w:numFmt w:val="lowerLetter"/>
      <w:start w:val="2"/>
    </w:lvl>
    <w:lvl w:ilvl="1">
      <w:lvlJc w:val="left"/>
      <w:lvlText w:val="(%2)"/>
      <w:numFmt w:val="lowerRoman"/>
      <w:start w:val="1"/>
    </w:lvl>
  </w:abstractNum>
  <w:abstractNum w:abstractNumId="91">
    <w:nsid w:val="1D9F6E5F"/>
    <w:multiLevelType w:val="hybridMultilevel"/>
    <w:lvl w:ilvl="0">
      <w:lvlJc w:val="left"/>
      <w:lvlText w:val="(%1)"/>
      <w:numFmt w:val="lowerLetter"/>
      <w:start w:val="1"/>
    </w:lvl>
  </w:abstractNum>
  <w:abstractNum w:abstractNumId="92">
    <w:nsid w:val="97E1B4E"/>
    <w:multiLevelType w:val="hybridMultilevel"/>
    <w:lvl w:ilvl="0">
      <w:lvlJc w:val="left"/>
      <w:lvlText w:val="%1"/>
      <w:numFmt w:val="lowerLetter"/>
      <w:start w:val="1"/>
    </w:lvl>
    <w:lvl w:ilvl="1">
      <w:lvlJc w:val="left"/>
      <w:lvlText w:val="(%2)"/>
      <w:numFmt w:val="lowerRoman"/>
      <w:start w:val="1"/>
    </w:lvl>
  </w:abstractNum>
  <w:abstractNum w:abstractNumId="93">
    <w:nsid w:val="51088277"/>
    <w:multiLevelType w:val="hybridMultilevel"/>
    <w:lvl w:ilvl="0">
      <w:lvlJc w:val="left"/>
      <w:lvlText w:val="(%1)"/>
      <w:numFmt w:val="lowerLetter"/>
      <w:start w:val="2"/>
    </w:lvl>
    <w:lvl w:ilvl="1">
      <w:lvlJc w:val="left"/>
      <w:lvlText w:val="%2"/>
      <w:numFmt w:val="lowerRoman"/>
      <w:start w:val="1"/>
    </w:lvl>
  </w:abstractNum>
  <w:abstractNum w:abstractNumId="94">
    <w:nsid w:val="1CA0C5FA"/>
    <w:multiLevelType w:val="hybridMultilevel"/>
    <w:lvl w:ilvl="0">
      <w:lvlJc w:val="left"/>
      <w:lvlText w:val="(%1)"/>
      <w:numFmt w:val="lowerRoman"/>
      <w:start w:val="1"/>
    </w:lvl>
  </w:abstractNum>
  <w:abstractNum w:abstractNumId="95">
    <w:nsid w:val="53584BCB"/>
    <w:multiLevelType w:val="hybridMultilevel"/>
    <w:lvl w:ilvl="0">
      <w:lvlJc w:val="left"/>
      <w:lvlText w:val="(%1)"/>
      <w:numFmt w:val="lowerLetter"/>
      <w:start w:val="1"/>
    </w:lvl>
  </w:abstractNum>
  <w:abstractNum w:abstractNumId="96">
    <w:nsid w:val="415E286C"/>
    <w:multiLevelType w:val="hybridMultilevel"/>
    <w:lvl w:ilvl="0">
      <w:lvlJc w:val="left"/>
      <w:lvlText w:val="(%1)"/>
      <w:numFmt w:val="lowerLetter"/>
      <w:start w:val="4"/>
    </w:lvl>
  </w:abstractNum>
  <w:abstractNum w:abstractNumId="97">
    <w:nsid w:val="7C58FD05"/>
    <w:multiLevelType w:val="hybridMultilevel"/>
    <w:lvl w:ilvl="0">
      <w:lvlJc w:val="left"/>
      <w:lvlText w:val="(%1)"/>
      <w:numFmt w:val="lowerLetter"/>
      <w:start w:val="6"/>
    </w:lvl>
  </w:abstractNum>
  <w:abstractNum w:abstractNumId="98">
    <w:nsid w:val="23D86AAC"/>
    <w:multiLevelType w:val="hybridMultilevel"/>
    <w:lvl w:ilvl="0">
      <w:lvlJc w:val="left"/>
      <w:lvlText w:val="(%1)"/>
      <w:numFmt w:val="lowerLetter"/>
      <w:start w:val="7"/>
    </w:lvl>
  </w:abstractNum>
  <w:abstractNum w:abstractNumId="99">
    <w:nsid w:val="45E6D486"/>
    <w:multiLevelType w:val="hybridMultilevel"/>
    <w:lvl w:ilvl="0">
      <w:lvlJc w:val="left"/>
      <w:lvlText w:val="%1"/>
      <w:numFmt w:val="upperLetter"/>
      <w:start w:val="1"/>
    </w:lvl>
    <w:lvl w:ilvl="1">
      <w:lvlJc w:val="left"/>
      <w:lvlText w:val="(%2)"/>
      <w:numFmt w:val="lowerLetter"/>
      <w:start w:val="8"/>
    </w:lvl>
  </w:abstractNum>
  <w:abstractNum w:abstractNumId="100">
    <w:nsid w:val="5C10FE21"/>
    <w:multiLevelType w:val="hybridMultilevel"/>
    <w:lvl w:ilvl="0">
      <w:lvlJc w:val="left"/>
      <w:lvlText w:val="(%1)"/>
      <w:numFmt w:val="upperLetter"/>
      <w:start w:val="1"/>
    </w:lvl>
    <w:lvl w:ilvl="1">
      <w:lvlJc w:val="left"/>
      <w:lvlText w:val="%2"/>
      <w:numFmt w:val="lowerLetter"/>
      <w:start w:val="1"/>
    </w:lvl>
  </w:abstractNum>
  <w:abstractNum w:abstractNumId="101">
    <w:nsid w:val="E7FFA2B"/>
    <w:multiLevelType w:val="hybridMultilevel"/>
    <w:lvl w:ilvl="0">
      <w:lvlJc w:val="left"/>
      <w:lvlText w:val="(%1)"/>
      <w:numFmt w:val="lowerLetter"/>
      <w:start w:val="10"/>
    </w:lvl>
  </w:abstractNum>
  <w:abstractNum w:abstractNumId="102">
    <w:nsid w:val="3C5991AA"/>
    <w:multiLevelType w:val="hybridMultilevel"/>
    <w:lvl w:ilvl="0">
      <w:lvlJc w:val="left"/>
      <w:lvlText w:val="(%1)"/>
      <w:numFmt w:val="lowerLetter"/>
      <w:start w:val="12"/>
    </w:lvl>
  </w:abstractNum>
  <w:abstractNum w:abstractNumId="103">
    <w:nsid w:val="4BD8591A"/>
    <w:multiLevelType w:val="hybridMultilevel"/>
    <w:lvl w:ilvl="0">
      <w:lvlJc w:val="left"/>
      <w:lvlText w:val="(%1)"/>
      <w:numFmt w:val="lowerLetter"/>
      <w:start w:val="15"/>
    </w:lvl>
  </w:abstractNum>
  <w:abstractNum w:abstractNumId="104">
    <w:nsid w:val="78DF6A55"/>
    <w:multiLevelType w:val="hybridMultilevel"/>
    <w:lvl w:ilvl="0">
      <w:lvlJc w:val="left"/>
      <w:lvlText w:val="(%1)"/>
      <w:numFmt w:val="lowerLetter"/>
      <w:start w:val="18"/>
    </w:lvl>
  </w:abstractNum>
  <w:abstractNum w:abstractNumId="105">
    <w:nsid w:val="39B7AAA2"/>
    <w:multiLevelType w:val="hybridMultilevel"/>
    <w:lvl w:ilvl="0">
      <w:lvlJc w:val="left"/>
      <w:lvlText w:val="(%1)"/>
      <w:numFmt w:val="lowerLetter"/>
      <w:start w:val="21"/>
    </w:lvl>
  </w:abstractNum>
  <w:abstractNum w:abstractNumId="106">
    <w:nsid w:val="2B0D8DBE"/>
    <w:multiLevelType w:val="hybridMultilevel"/>
    <w:lvl w:ilvl="0">
      <w:lvlJc w:val="left"/>
      <w:lvlText w:val="(%1)"/>
      <w:numFmt w:val="lowerLetter"/>
      <w:start w:val="26"/>
    </w:lvl>
  </w:abstractNum>
  <w:abstractNum w:abstractNumId="107">
    <w:nsid w:val="6C80EC70"/>
    <w:multiLevelType w:val="hybridMultilevel"/>
    <w:lvl w:ilvl="0">
      <w:lvlJc w:val="left"/>
      <w:lvlText w:val="(%1)"/>
      <w:numFmt w:val="lowerLetter"/>
      <w:start w:val="27"/>
    </w:lvl>
  </w:abstractNum>
  <w:abstractNum w:abstractNumId="108">
    <w:nsid w:val="379E21B5"/>
    <w:multiLevelType w:val="hybridMultilevel"/>
    <w:lvl w:ilvl="0">
      <w:lvlJc w:val="left"/>
      <w:lvlText w:val="%1"/>
      <w:numFmt w:val="lowerLetter"/>
      <w:start w:val="1"/>
    </w:lvl>
    <w:lvl w:ilvl="1">
      <w:lvlJc w:val="left"/>
      <w:lvlText w:val="(%2)"/>
      <w:numFmt w:val="lowerLetter"/>
      <w:start w:val="28"/>
    </w:lvl>
  </w:abstractNum>
  <w:abstractNum w:abstractNumId="109">
    <w:nsid w:val="69E373"/>
    <w:multiLevelType w:val="hybridMultilevel"/>
    <w:lvl w:ilvl="0">
      <w:lvlJc w:val="left"/>
      <w:lvlText w:val="(%1)"/>
      <w:numFmt w:val="lowerLetter"/>
      <w:start w:val="61"/>
    </w:lvl>
    <w:lvl w:ilvl="1">
      <w:lvlJc w:val="left"/>
      <w:lvlText w:val="(%2)"/>
      <w:numFmt w:val="lowerLetter"/>
      <w:start w:val="29"/>
    </w:lvl>
  </w:abstractNum>
  <w:abstractNum w:abstractNumId="110">
    <w:nsid w:val="2C27173B"/>
    <w:multiLevelType w:val="hybridMultilevel"/>
    <w:lvl w:ilvl="0">
      <w:lvlJc w:val="left"/>
      <w:lvlText w:val="%1"/>
      <w:numFmt w:val="lowerLetter"/>
      <w:start w:val="1"/>
    </w:lvl>
    <w:lvl w:ilvl="1">
      <w:lvlJc w:val="left"/>
      <w:lvlText w:val="(%2)"/>
      <w:numFmt w:val="lowerLetter"/>
      <w:start w:val="32"/>
    </w:lvl>
  </w:abstractNum>
  <w:abstractNum w:abstractNumId="111">
    <w:nsid w:val="4C9B0904"/>
    <w:multiLevelType w:val="hybridMultilevel"/>
    <w:lvl w:ilvl="0">
      <w:lvlJc w:val="left"/>
      <w:lvlText w:val="(%1)"/>
      <w:numFmt w:val="lowerLetter"/>
      <w:start w:val="61"/>
    </w:lvl>
    <w:lvl w:ilvl="1">
      <w:lvlJc w:val="left"/>
      <w:lvlText w:val="(%2)"/>
      <w:numFmt w:val="lowerLetter"/>
      <w:start w:val="34"/>
    </w:lvl>
  </w:abstractNum>
  <w:abstractNum w:abstractNumId="112">
    <w:nsid w:val="6AA7B75C"/>
    <w:multiLevelType w:val="hybridMultilevel"/>
    <w:lvl w:ilvl="0">
      <w:lvlJc w:val="left"/>
      <w:lvlText w:val="(%1)"/>
      <w:numFmt w:val="lowerLetter"/>
      <w:start w:val="35"/>
    </w:lvl>
  </w:abstractNum>
  <w:abstractNum w:abstractNumId="113">
    <w:nsid w:val="1DF029D3"/>
    <w:multiLevelType w:val="hybridMultilevel"/>
    <w:lvl w:ilvl="0">
      <w:lvlJc w:val="left"/>
      <w:lvlText w:val="(%1)"/>
      <w:numFmt w:val="lowerLetter"/>
      <w:start w:val="37"/>
    </w:lvl>
  </w:abstractNum>
  <w:abstractNum w:abstractNumId="114">
    <w:nsid w:val="5675FF36"/>
    <w:multiLevelType w:val="hybridMultilevel"/>
    <w:lvl w:ilvl="0">
      <w:lvlJc w:val="left"/>
      <w:lvlText w:val="(%1)"/>
      <w:numFmt w:val="lowerLetter"/>
      <w:start w:val="43"/>
    </w:lvl>
  </w:abstractNum>
  <w:abstractNum w:abstractNumId="115">
    <w:nsid w:val="3DD15094"/>
    <w:multiLevelType w:val="hybridMultilevel"/>
    <w:lvl w:ilvl="0">
      <w:lvlJc w:val="left"/>
      <w:lvlText w:val="(%1)"/>
      <w:numFmt w:val="lowerLetter"/>
      <w:start w:val="1"/>
    </w:lvl>
  </w:abstractNum>
  <w:abstractNum w:abstractNumId="116">
    <w:nsid w:val="3DB012B3"/>
    <w:multiLevelType w:val="hybridMultilevel"/>
    <w:lvl w:ilvl="0">
      <w:lvlJc w:val="left"/>
      <w:lvlText w:val="(%1)"/>
      <w:numFmt w:val="lowerLetter"/>
      <w:start w:val="2"/>
    </w:lvl>
  </w:abstractNum>
  <w:abstractNum w:abstractNumId="117">
    <w:nsid w:val="2708C9AF"/>
    <w:multiLevelType w:val="hybridMultilevel"/>
    <w:lvl w:ilvl="0">
      <w:lvlJc w:val="left"/>
      <w:lvlText w:val="(%1)"/>
      <w:numFmt w:val="lowerLetter"/>
      <w:start w:val="6"/>
    </w:lvl>
  </w:abstractNum>
  <w:abstractNum w:abstractNumId="118">
    <w:nsid w:val="5B25ACE2"/>
    <w:multiLevelType w:val="hybridMultilevel"/>
    <w:lvl w:ilvl="0">
      <w:lvlJc w:val="left"/>
      <w:lvlText w:val="(%1)"/>
      <w:numFmt w:val="lowerLetter"/>
      <w:start w:val="1"/>
    </w:lvl>
  </w:abstractNum>
  <w:abstractNum w:abstractNumId="119">
    <w:nsid w:val="175DFCF0"/>
    <w:multiLevelType w:val="hybridMultilevel"/>
    <w:lvl w:ilvl="0">
      <w:lvlJc w:val="left"/>
      <w:lvlText w:val="(%1)"/>
      <w:numFmt w:val="lowerLetter"/>
      <w:start w:val="3"/>
    </w:lvl>
  </w:abstractNum>
  <w:abstractNum w:abstractNumId="120">
    <w:nsid w:val="4F97E3E4"/>
    <w:multiLevelType w:val="hybridMultilevel"/>
    <w:lvl w:ilvl="0">
      <w:lvlJc w:val="left"/>
      <w:lvlText w:val="(%1)"/>
      <w:numFmt w:val="lowerLetter"/>
      <w:start w:val="5"/>
    </w:lvl>
  </w:abstractNum>
  <w:abstractNum w:abstractNumId="121">
    <w:nsid w:val="53B0A9E"/>
    <w:multiLevelType w:val="hybridMultilevel"/>
    <w:lvl w:ilvl="0">
      <w:lvlJc w:val="left"/>
      <w:lvlText w:val="(%1)"/>
      <w:numFmt w:val="lowerLetter"/>
      <w:start w:val="1"/>
    </w:lvl>
  </w:abstractNum>
  <w:abstractNum w:abstractNumId="122">
    <w:nsid w:val="34FD6B4F"/>
    <w:multiLevelType w:val="hybridMultilevel"/>
    <w:lvl w:ilvl="0">
      <w:lvlJc w:val="left"/>
      <w:lvlText w:val="(%1)"/>
      <w:numFmt w:val="lowerLetter"/>
      <w:start w:val="2"/>
    </w:lvl>
  </w:abstractNum>
  <w:abstractNum w:abstractNumId="123">
    <w:nsid w:val="5915FF32"/>
    <w:multiLevelType w:val="hybridMultilevel"/>
    <w:lvl w:ilvl="0">
      <w:lvlJc w:val="left"/>
      <w:lvlText w:val="%1."/>
      <w:numFmt w:val="decimal"/>
      <w:start w:val="144"/>
    </w:lvl>
  </w:abstractNum>
  <w:abstractNum w:abstractNumId="124">
    <w:nsid w:val="56438D15"/>
    <w:multiLevelType w:val="hybridMultilevel"/>
    <w:lvl w:ilvl="0">
      <w:lvlJc w:val="left"/>
      <w:lvlText w:val="(%1)"/>
      <w:numFmt w:val="lowerLetter"/>
      <w:start w:val="1"/>
    </w:lvl>
  </w:abstractNum>
  <w:abstractNum w:abstractNumId="125">
    <w:nsid w:val="519E314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2022-10-25T16:08:33Z</dcterms:created>
  <dcterms:modified xsi:type="dcterms:W3CDTF">2022-10-25T16:08:33Z</dcterms:modified>
</cp:coreProperties>
</file>