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w:t>
      </w:r>
    </w:p>
    <w:p>
      <w:pPr>
        <w:sectPr>
          <w:pgSz w:w="11900" w:h="16838" w:orient="portrait"/>
          <w:cols w:equalWidth="0" w:num="1">
            <w:col w:w="11240"/>
          </w:cols>
          <w:pgMar w:left="320" w:top="441" w:right="339" w:bottom="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April 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1,005,965 shares of our common stock, $0.01 par value per share, representing shares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27, 2024, the last reported closing price of our common stock on the Nasdaq Capital Market was $1.15.</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5"/>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2160" w:type="dxa"/>
            <w:vAlign w:val="bottom"/>
            <w:tcBorders>
              <w:top w:val="single" w:sz="8" w:color="0000EE"/>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1660" w:type="dxa"/>
            <w:vAlign w:val="bottom"/>
            <w:tcBorders>
              <w:top w:val="single" w:sz="8" w:color="0000EE"/>
            </w:tcBorders>
            <w:gridSpan w:val="7"/>
          </w:tcPr>
          <w:p>
            <w:pPr>
              <w:spacing w:after="0"/>
              <w:rPr>
                <w:sz w:val="15"/>
                <w:szCs w:val="15"/>
                <w:color w:val="auto"/>
              </w:rPr>
            </w:pPr>
          </w:p>
        </w:tc>
        <w:tc>
          <w:tcPr>
            <w:tcW w:w="67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204"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as of the date of this prospectus, we are continuing our interaction with the FDA regarding our IDE submission process. See “Business–Government Regulation–U.S. Regulation–Description of the IDE process”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“–Government Regulation–U.S. Regulation–Description of the IDE process” below.</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described above,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1,005,965 shares of our common stock, issued to the Plaintiffs pursuant to the settlement of the Empery/Hudson Bay Lawsuit. See “ Prospectus Summary–Recent Developments–Settlement of Lawsuit”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1,005,965 shares</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14,398,964 shares</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w:t>
            </w:r>
          </w:p>
        </w:tc>
        <w:tc>
          <w:tcPr>
            <w:tcW w:w="43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14,398,964 shares</w:t>
            </w:r>
          </w:p>
        </w:tc>
      </w:t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MBOT</w:t>
            </w:r>
          </w:p>
        </w:tc>
      </w:tr>
      <w:tr>
        <w:trPr>
          <w:trHeight w:val="205"/>
        </w:trPr>
        <w:tc>
          <w:tcPr>
            <w:tcW w:w="2820" w:type="dxa"/>
            <w:vAlign w:val="bottom"/>
            <w:tcBorders>
              <w:bottom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Based on the number of shares outstanding as of March 27, 2024.</w:t>
            </w:r>
          </w:p>
        </w:tc>
        <w:tc>
          <w:tcPr>
            <w:tcW w:w="43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December 31, 2023, the Company had unrestricted cash, cash equivalents and marketable securities of approximately $6.4 million. This does not include the approximately $2.4 million in net proceeds we received in our warrant reset transaction that closed on January 3,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93"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27, 2024, there were approximately 97 holders of record of our common stock, and the closing price of our common stock as reported on the NASDAQ Capital Market was $1.15.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31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(5,724)</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(7,736)</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(4,131)</w:t>
            </w:r>
          </w:p>
        </w:tc>
        <w:tc>
          <w:tcPr>
            <w:tcW w:w="8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(5,545)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228</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(1,111)</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net. </w:t>
      </w:r>
      <w:r>
        <w:rPr>
          <w:rFonts w:ascii="Times New Roman" w:cs="Times New Roman" w:eastAsia="Times New Roman" w:hAnsi="Times New Roman"/>
          <w:sz w:val="18"/>
          <w:szCs w:val="18"/>
          <w:color w:val="auto"/>
        </w:rPr>
        <w:t>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December 31, 2023, Microbot had a net working capital of approximately $4.1 million, consisting primarily of cash and cash equivalents and marketable securities. This compares to net working capital of approximately $6.7 million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December 31, 2023, Microbot has raised cash proceeds of approximately $66.0 million and incurred a total cumulative loss of approximately $79.5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434" w:gutter="0" w:footer="0" w:header="0"/>
        </w:sectPr>
      </w:pPr>
    </w:p>
    <w:bookmarkStart w:id="35" w:name="page36"/>
    <w:bookmarkEnd w:id="35"/>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December 31, 2023 in the total amount of approximately $1.8 million. This amount includes amounts received in 2023 of approximately $304,000, which are a portion of an additional grant from the IIA in the amount of approximately NIS 1.6 million (approximately $447,000) approved by the IIA on June 1,</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annual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69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7"/>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w:t>
      </w:r>
    </w:p>
    <w:p>
      <w:pPr>
        <w:jc w:val="both"/>
        <w:spacing w:after="0" w:line="236"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“–Government Regulation–U.S. Regulation–Description of the IDE process” below.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described below,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as of the date of this prospectus, we are continuing our interaction with the FDA regarding our IDE submission process. See “–Government Regulation–U.S. Regulation–Description of the IDE process”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660" w:hanging="328"/>
        <w:spacing w:after="0" w:line="25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3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 Foundation Ltd., or TRDF. The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w:t>
      </w: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received approximately $27,000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Description of the IDE process</w:t>
      </w:r>
      <w:r>
        <w:rPr>
          <w:rFonts w:ascii="Times New Roman" w:cs="Times New Roman" w:eastAsia="Times New Roman" w:hAnsi="Times New Roman"/>
          <w:sz w:val="18"/>
          <w:szCs w:val="18"/>
          <w:color w:val="auto"/>
        </w:rPr>
        <w:t>. 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left="6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656"/>
        <w:spacing w:after="0" w:line="258" w:lineRule="auto"/>
        <w:tabs>
          <w:tab w:leader="none" w:pos="8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5540" w:right="5300" w:hanging="5208"/>
        <w:spacing w:after="0" w:line="409" w:lineRule="auto"/>
        <w:tabs>
          <w:tab w:leader="none" w:pos="6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and address of the manufacturer, and of the importer as applicable;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with the Plaintiffs. Pursuant to the Settlement Agreement, we paid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Plaintiffs are expected to file a stipulation discontinuing the Empery/Hudson Bay Lawsuit with prejudice.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we are filing a registration statement on Form S-1, of which this prospectus forms a part, covering the resale of the 1,005,965 shares, and we agreed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2024, we have 22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March 27,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March 27,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top w:val="single" w:sz="8" w:color="auto"/>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46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2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6</w:t>
            </w: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1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1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1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88"/>
              </w:rPr>
              <w:t>5</w:t>
            </w:r>
          </w:p>
        </w:tc>
        <w:tc>
          <w:tcPr>
            <w:tcW w:w="22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1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439"/>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March 27, 2024.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74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7"/>
                <w:szCs w:val="17"/>
                <w:color w:val="auto"/>
              </w:rPr>
            </w:pPr>
          </w:p>
        </w:tc>
        <w:tc>
          <w:tcPr>
            <w:tcW w:w="7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Rachel Vaknin, has served as the Company’s Chief Financial Officer since April 2022 and before that was its VP Finance since January 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Simon Sharon, has served as the Company’s Chief Technology Officer since April 2018 and as the General Manager 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Dr. Juan Diaz-Cartelle, has served as the Company’s Chief Medical Officer since December 1, 2023. As CMO, Dr. Diaz-Cartelle will lead the development 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Reports</w:t>
      </w:r>
    </w:p>
    <w:p>
      <w:pPr>
        <w:sectPr>
          <w:pgSz w:w="11900" w:h="16838" w:orient="portrait"/>
          <w:cols w:equalWidth="0" w:num="1">
            <w:col w:w="11240"/>
          </w:cols>
          <w:pgMar w:left="320" w:top="661" w:right="339" w:bottom="222"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6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120,847</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9,375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5,250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6.16</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02/29/2024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02/29/2024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3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cash</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60,998</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60,998</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60,998</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60,998</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64,386</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63,701</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340" w:hanging="332"/>
        <w:spacing w:after="0" w:line="26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45"/>
        </w:trPr>
        <w:tc>
          <w:tcPr>
            <w:tcW w:w="6420" w:type="dxa"/>
            <w:vAlign w:val="bottom"/>
          </w:tcPr>
          <w:p>
            <w:pPr>
              <w:spacing w:after="0"/>
              <w:rPr>
                <w:sz w:val="21"/>
                <w:szCs w:val="21"/>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40" w:type="dxa"/>
            <w:vAlign w:val="bottom"/>
          </w:tcPr>
          <w:p>
            <w:pPr>
              <w:spacing w:after="0"/>
              <w:rPr>
                <w:sz w:val="21"/>
                <w:szCs w:val="21"/>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131,585</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556,846</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64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688,431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March 27,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27, 2024. We calculated percentage ownership in accordance with the rules of the SEC. The percentage of common stock beneficially owned is based on 14,398,964 shares outstanding as of March 27, 2024. In addition, shares issuable pursuant to options or other convertible securities that may be acquired within 60 days of March 27,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1,031,273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292,854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50,826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50,826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50,826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45,730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83,357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44,139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51,112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1,700,943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816,580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50,826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For additional information regarding the issuances of those shares of common stock, see “Litigation Settlement” above. We are registering the shares of common stock in order to permit the selling shareholders to offer the shares for resale from time to time. Except for the ownership of the shares of common stock and as described in “Litigation Settlement” described above, the selling shareholders have not had any material relationship with us within the past three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the referenced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the number of shares of common stock issued to the selling shareholders in “Litigation Settlement” described above. The fourth column assumes the sale of all of the shares offered by the selling shareholders pursuant 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sell all, some or none of their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Sold Pursuant</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ame of Selling Stockholder</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r>
      <w:tr>
        <w:trPr>
          <w:trHeight w:val="257"/>
        </w:trPr>
        <w:tc>
          <w:tcPr>
            <w:tcW w:w="3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Empery Asset Master, Ltd.</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280,574</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280,574</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Empery Tax Efficient, LP</w:t>
            </w:r>
            <w:r>
              <w:rPr>
                <w:rFonts w:ascii="Times New Roman" w:cs="Times New Roman" w:eastAsia="Times New Roman" w:hAnsi="Times New Roman"/>
                <w:sz w:val="29"/>
                <w:szCs w:val="29"/>
                <w:color w:val="auto"/>
                <w:vertAlign w:val="superscript"/>
              </w:rPr>
              <w:t>(2)</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140,999</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140,999</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Empery Tax Efficient III, LP </w:t>
            </w:r>
            <w:r>
              <w:rPr>
                <w:rFonts w:ascii="Times New Roman" w:cs="Times New Roman" w:eastAsia="Times New Roman" w:hAnsi="Times New Roman"/>
                <w:sz w:val="29"/>
                <w:szCs w:val="29"/>
                <w:color w:val="auto"/>
                <w:vertAlign w:val="superscript"/>
              </w:rPr>
              <w:t>(3)</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182,006</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182,006</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Hudson Bay Master Fund Ltd.</w:t>
            </w:r>
            <w:r>
              <w:rPr>
                <w:rFonts w:ascii="Times New Roman" w:cs="Times New Roman" w:eastAsia="Times New Roman" w:hAnsi="Times New Roman"/>
                <w:sz w:val="29"/>
                <w:szCs w:val="29"/>
                <w:color w:val="auto"/>
                <w:vertAlign w:val="superscript"/>
              </w:rPr>
              <w:t>(4)</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402,386</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6)</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402,386</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1,005,965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1,005,965</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Tax Efficient III, LP (“ETE III”), has discretionary authority to vote and dispose of the shares held by ETE III and may be deemed to be the beneficial owner of these shares. Martin Hoe and Ryan Lane, in their capacity as investment managers of Empery Asset Management LP, may also be deemed to have investment discretion and voting power over the shares held by ETE III. ETE III,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address of Hudson Bay Capital Management LP is 28 Havemeyer Place, 2nd Floor, Greenwich CT 06830.</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8,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9,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136"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(the “Selling Stockholders”)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purchasers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285"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14,398,964 shares were issued and outstanding as of March 27,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w:t>
      </w:r>
    </w:p>
    <w:p>
      <w:pPr>
        <w:spacing w:after="0" w:line="225"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2,070,362 shares of our common stock issuable upon the exercise of outstanding stock options granted to employees, directors and consultants, with exercise prices ranging from approximately $0.005 to $15.75 and having a weighted-average exercise price of $5.56 per share;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581,846 shares of our common stock reserved for future grant under our 2020 Omnibus Performance Award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2024, we had outstanding:</w:t>
      </w:r>
    </w:p>
    <w:p>
      <w:pPr>
        <w:spacing w:after="0" w:line="225"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684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F-34</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6" w:name="page77"/>
    <w:bookmarkEnd w:id="7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57400" cy="454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5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7"/>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5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6"/>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3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5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15,000.00*</w:t>
            </w:r>
          </w:p>
        </w:tc>
      </w:tr>
      <w:tr>
        <w:trPr>
          <w:trHeight w:val="23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2,818.86*</w:t>
            </w:r>
          </w:p>
        </w:tc>
      </w:tr>
      <w:tr>
        <w:trPr>
          <w:trHeight w:val="203"/>
        </w:trPr>
        <w:tc>
          <w:tcPr>
            <w:tcW w:w="92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29,000.00</w:t>
            </w:r>
          </w:p>
        </w:tc>
        <w:tc>
          <w:tcPr>
            <w:tcW w:w="140" w:type="dxa"/>
            <w:vAlign w:val="bottom"/>
            <w:tcBorders>
              <w:top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8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26">
              <w:r>
                <w:rPr>
                  <w:rFonts w:ascii="Times New Roman" w:cs="Times New Roman" w:eastAsia="Times New Roman" w:hAnsi="Times New Roman"/>
                  <w:sz w:val="18"/>
                  <w:szCs w:val="18"/>
                  <w:color w:val="0000EE"/>
                  <w:w w:val="90"/>
                </w:rPr>
                <w:t>2016).</w:t>
              </w:r>
            </w:hyperlink>
          </w:p>
        </w:tc>
        <w:tc>
          <w:tcPr>
            <w:tcW w:w="1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Report on Form 8-K filed on May 3, 2021).</w:t>
              </w:r>
            </w:hyperlink>
          </w:p>
        </w:tc>
        <w:tc>
          <w:tcPr>
            <w:tcW w:w="700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ended December 31, 2019).</w:t>
              </w:r>
            </w:hyperlink>
          </w:p>
        </w:tc>
        <w:tc>
          <w:tcPr>
            <w:tcW w:w="814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0" w:type="dxa"/>
            <w:vAlign w:val="bottom"/>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36">
        <w:r>
          <w:rPr>
            <w:rFonts w:ascii="Times New Roman" w:cs="Times New Roman" w:eastAsia="Times New Roman" w:hAnsi="Times New Roman"/>
            <w:sz w:val="17"/>
            <w:szCs w:val="17"/>
            <w:u w:val="single" w:color="auto"/>
            <w:color w:val="0000EE"/>
          </w:rPr>
          <w:t>Form of Warrant Amendment Agreement (incorporated by reference to the Registrant’s Current Report on Form 8-K filed on May 24, 2023)</w:t>
        </w:r>
      </w:hyperlink>
    </w:p>
    <w:p>
      <w:pPr>
        <w:spacing w:after="0" w:line="27"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37">
        <w:r>
          <w:rPr>
            <w:rFonts w:ascii="Times New Roman" w:cs="Times New Roman" w:eastAsia="Times New Roman" w:hAnsi="Times New Roman"/>
            <w:sz w:val="17"/>
            <w:szCs w:val="17"/>
            <w:u w:val="single" w:color="auto"/>
            <w:color w:val="0000EE"/>
          </w:rPr>
          <w:t>Form of Series C Warrant (incorporated by reference to the Registrant’s Current Report on Form 8-K filed on June 6, 2023)</w:t>
        </w:r>
      </w:hyperlink>
    </w:p>
    <w:p>
      <w:pPr>
        <w:spacing w:after="0" w:line="9"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38">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6, 2023)</w:t>
        </w:r>
      </w:hyperlink>
    </w:p>
    <w:p>
      <w:pPr>
        <w:spacing w:after="0" w:line="9"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39">
        <w:r>
          <w:rPr>
            <w:rFonts w:ascii="Times New Roman" w:cs="Times New Roman" w:eastAsia="Times New Roman" w:hAnsi="Times New Roman"/>
            <w:sz w:val="17"/>
            <w:szCs w:val="17"/>
            <w:u w:val="single" w:color="auto"/>
            <w:color w:val="0000EE"/>
          </w:rPr>
          <w:t>Form of Series D Warrant (incorporated by reference to the Registrant’s Current Report on Form 8-K filed on June 28, 2023)</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40">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28, 2023)</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41">
        <w:r>
          <w:rPr>
            <w:rFonts w:ascii="Times New Roman" w:cs="Times New Roman" w:eastAsia="Times New Roman" w:hAnsi="Times New Roman"/>
            <w:sz w:val="17"/>
            <w:szCs w:val="17"/>
            <w:u w:val="single" w:color="auto"/>
            <w:color w:val="0000EE"/>
          </w:rPr>
          <w:t>Form of Inducement Investment Option (incorporated by reference to the Registrant’s Current Report on Form 8-K filed on January 2, 2024)</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142">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2,</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143">
        <w:r>
          <w:rPr>
            <w:rFonts w:ascii="Times New Roman" w:cs="Times New Roman" w:eastAsia="Times New Roman" w:hAnsi="Times New Roman"/>
            <w:sz w:val="17"/>
            <w:szCs w:val="17"/>
            <w:u w:val="single" w:color="auto"/>
            <w:color w:val="0000EE"/>
          </w:rPr>
          <w:t>Opinion of Ruskin Moscou Faltischek, PC</w:t>
        </w:r>
      </w:hyperlink>
    </w:p>
    <w:p>
      <w:pPr>
        <w:spacing w:after="0" w:line="9" w:lineRule="exact"/>
        <w:rPr>
          <w:sz w:val="20"/>
          <w:szCs w:val="20"/>
          <w:color w:val="auto"/>
        </w:rPr>
      </w:pPr>
    </w:p>
    <w:p>
      <w:pPr>
        <w:jc w:val="both"/>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44">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Company’s Current Report on Form 8-K filed on November 29, 2016).</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45">
        <w:r>
          <w:rPr>
            <w:rFonts w:ascii="Times New Roman" w:cs="Times New Roman" w:eastAsia="Times New Roman" w:hAnsi="Times New Roman"/>
            <w:sz w:val="18"/>
            <w:szCs w:val="18"/>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jc w:val="both"/>
        <w:ind w:left="86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46">
        <w:r>
          <w:rPr>
            <w:rFonts w:ascii="Times New Roman" w:cs="Times New Roman" w:eastAsia="Times New Roman" w:hAnsi="Times New Roman"/>
            <w:sz w:val="18"/>
            <w:szCs w:val="18"/>
            <w:u w:val="single" w:color="auto"/>
            <w:color w:val="0000EE"/>
          </w:rPr>
          <w:t>License Agreement, dated June 20, 2012, by and between Technion Research and Development Foundation, and Microbot Medical Ltd.</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2016 and filed on March</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21, 2017).</w:t>
        </w:r>
      </w:hyperlink>
    </w:p>
    <w:p>
      <w:pPr>
        <w:spacing w:after="0" w:line="1" w:lineRule="exact"/>
        <w:rPr>
          <w:rFonts w:ascii="Times New Roman" w:cs="Times New Roman" w:eastAsia="Times New Roman" w:hAnsi="Times New Roman"/>
          <w:sz w:val="18"/>
          <w:szCs w:val="18"/>
          <w:u w:val="single" w:color="auto"/>
          <w:color w:val="0000EE"/>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47">
        <w:r>
          <w:rPr>
            <w:rFonts w:ascii="Times New Roman" w:cs="Times New Roman" w:eastAsia="Times New Roman" w:hAnsi="Times New Roman"/>
            <w:sz w:val="18"/>
            <w:szCs w:val="18"/>
            <w:u w:val="single" w:color="auto"/>
            <w:color w:val="0000EE"/>
          </w:rPr>
          <w:t>Form of Stock Option Agreement under the Microbot Medical Inc. 2017 Equity Incentive Plan (incorporated by reference to the Company’s</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48">
        <w:r>
          <w:rPr>
            <w:rFonts w:ascii="Times New Roman" w:cs="Times New Roman" w:eastAsia="Times New Roman" w:hAnsi="Times New Roman"/>
            <w:sz w:val="18"/>
            <w:szCs w:val="18"/>
            <w:u w:val="single" w:color="auto"/>
            <w:color w:val="0000EE"/>
          </w:rPr>
          <w:t>Agreement, dated January 4, 2018, by and between CardioSert Ltd. and Microbot Medical Ltd. (incorporated by reference to the Company’s</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Current Report on Form 8-K filed on January 8, 2018).</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49">
        <w:r>
          <w:rPr>
            <w:rFonts w:ascii="Times New Roman" w:cs="Times New Roman" w:eastAsia="Times New Roman" w:hAnsi="Times New Roman"/>
            <w:sz w:val="18"/>
            <w:szCs w:val="18"/>
            <w:u w:val="single" w:color="auto"/>
            <w:color w:val="0000EE"/>
          </w:rPr>
          <w:t>Employment Agreement with Dr. Eyal Morag (incorporated by reference to the Registrant’s Annual Report on Form 10-K for the fiscal year</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ended December 31, 2019 filed on April 14, 2020).</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50">
        <w:r>
          <w:rPr>
            <w:rFonts w:ascii="Times New Roman" w:cs="Times New Roman" w:eastAsia="Times New Roman" w:hAnsi="Times New Roman"/>
            <w:sz w:val="18"/>
            <w:szCs w:val="18"/>
            <w:u w:val="single" w:color="auto"/>
            <w:color w:val="0000EE"/>
          </w:rPr>
          <w:t>Microbot Medical Inc. 2017 Equity Incentive Plan (incorporated by reference to Exhibit A of the Company’s Definitive Proxy Statement on</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Schedule 14A filed on August 11, 2017).</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51">
        <w:r>
          <w:rPr>
            <w:rFonts w:ascii="Times New Roman" w:cs="Times New Roman" w:eastAsia="Times New Roman" w:hAnsi="Times New Roman"/>
            <w:sz w:val="18"/>
            <w:szCs w:val="18"/>
            <w:u w:val="single" w:color="auto"/>
            <w:color w:val="0000EE"/>
          </w:rPr>
          <w:t>Microbot Medical Inc. 2020 Omnibus Performance Award Plan (incorporated by reference to Exhibit A of the Company’s definitive Proxy</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Statement on Schedule 14A filed on July 31, 2020)</w:t>
        </w:r>
      </w:hyperlink>
    </w:p>
    <w:p>
      <w:pPr>
        <w:spacing w:after="0" w:line="1" w:lineRule="exact"/>
        <w:rPr>
          <w:sz w:val="20"/>
          <w:szCs w:val="20"/>
          <w:color w:val="auto"/>
        </w:rPr>
      </w:pPr>
    </w:p>
    <w:p>
      <w:pPr>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52">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spacing w:after="0" w:line="1" w:lineRule="exact"/>
        <w:rPr>
          <w:sz w:val="20"/>
          <w:szCs w:val="20"/>
          <w:color w:val="auto"/>
        </w:rPr>
      </w:pPr>
    </w:p>
    <w:p>
      <w:pPr>
        <w:ind w:left="860" w:right="2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53">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860" w:hanging="850"/>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54">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55">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56">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57">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860" w:hanging="854"/>
        <w:spacing w:after="0" w:line="26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58">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the Company’s Form 8-K filed on April 22, 2021)</w:t>
        </w:r>
      </w:hyperlink>
    </w:p>
    <w:p>
      <w:pPr>
        <w:spacing w:after="0" w:line="18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60" w:top="688" w:right="339" w:bottom="1440" w:gutter="0" w:footer="0" w:header="0"/>
        </w:sectPr>
      </w:pPr>
    </w:p>
    <w:bookmarkStart w:id="113" w:name="page114"/>
    <w:bookmarkEnd w:id="113"/>
    <w:p>
      <w:pPr>
        <w:jc w:val="both"/>
        <w:ind w:left="1100" w:right="2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60">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61">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62">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63">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64">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64">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65">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66">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67">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68">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69">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70">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71">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72">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73">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74">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75">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76">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77">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78">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79">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143">
        <w:r>
          <w:rPr>
            <w:rFonts w:ascii="Times New Roman" w:cs="Times New Roman" w:eastAsia="Times New Roman" w:hAnsi="Times New Roman"/>
            <w:sz w:val="17"/>
            <w:szCs w:val="17"/>
            <w:u w:val="single" w:color="auto"/>
            <w:color w:val="0000EE"/>
          </w:rPr>
          <w:t>Consent of Ruskin Moscou Faltischek PC (included in Exhibit 5.1)</w:t>
        </w:r>
      </w:hyperlink>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180">
        <w:r>
          <w:rPr>
            <w:rFonts w:ascii="Times New Roman" w:cs="Times New Roman" w:eastAsia="Times New Roman" w:hAnsi="Times New Roman"/>
            <w:sz w:val="18"/>
            <w:szCs w:val="18"/>
            <w:u w:val="single" w:color="auto"/>
            <w:color w:val="0000EE"/>
          </w:rPr>
          <w:t>Power of Attorney (included on signature page)</w:t>
        </w:r>
      </w:hyperlink>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81">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82">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sz w:val="20"/>
          <w:szCs w:val="20"/>
          <w:color w:val="auto"/>
        </w:rPr>
      </w:pPr>
    </w:p>
    <w:p>
      <w:pPr>
        <w:ind w:left="340" w:right="2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Certain identified information has been excluded from this exhibit because it is both (i) not material and (ii) would be competitively harmful if publicly disclosed.</w:t>
      </w:r>
    </w:p>
    <w:p>
      <w:pPr>
        <w:spacing w:after="0" w:line="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April 1,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58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r>
      <w:tr>
        <w:trPr>
          <w:trHeight w:val="439"/>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40" w:type="dxa"/>
            <w:vAlign w:val="bottom"/>
          </w:tcPr>
          <w:p>
            <w:pPr>
              <w:spacing w:after="0"/>
              <w:rPr>
                <w:sz w:val="20"/>
                <w:szCs w:val="20"/>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1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40" w:type="dxa"/>
            <w:vAlign w:val="bottom"/>
          </w:tcPr>
          <w:p>
            <w:pPr>
              <w:spacing w:after="0"/>
              <w:rPr>
                <w:sz w:val="20"/>
                <w:szCs w:val="20"/>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0"/>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10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3"/>
          </w:tcPr>
          <w:p>
            <w:pPr>
              <w:ind w:left="2540"/>
              <w:spacing w:after="0"/>
              <w:rPr>
                <w:sz w:val="20"/>
                <w:szCs w:val="20"/>
                <w:color w:val="auto"/>
              </w:rPr>
            </w:pPr>
            <w:r>
              <w:rPr>
                <w:rFonts w:ascii="Times New Roman" w:cs="Times New Roman" w:eastAsia="Times New Roman" w:hAnsi="Times New Roman"/>
                <w:sz w:val="18"/>
                <w:szCs w:val="18"/>
                <w:color w:val="auto"/>
              </w:rPr>
              <w:t>II-7</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Amendment No. 1 to Registration Statement on Form S-1 (Registration No.: 333-277190) of our report dated March 27, 2024, relating to the financial statements of Microbot Medical Inc. We also consent to the reference to us under the heading “Experts” in such Registration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4"/>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5"/>
    </w:lvl>
  </w:abstractNum>
  <w:abstractNum w:abstractNumId="37">
    <w:nsid w:val="579478FE"/>
    <w:multiLevelType w:val="hybridMultilevel"/>
    <w:lvl w:ilvl="0">
      <w:lvlJc w:val="left"/>
      <w:lvlText w:val="(%1)"/>
      <w:numFmt w:val="lowerRoman"/>
      <w:start w:val="2"/>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lowerRoman"/>
      <w:start w:val="2"/>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decimal"/>
      <w:start w:val="2"/>
    </w:lvl>
  </w:abstractNum>
  <w:abstractNum w:abstractNumId="58">
    <w:nsid w:val="741226BB"/>
    <w:multiLevelType w:val="hybridMultilevel"/>
    <w:lvl w:ilvl="0">
      <w:lvlJc w:val="left"/>
      <w:lvlText w:val="(%1)"/>
      <w:numFmt w:val="decimal"/>
      <w:start w:val="5"/>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5" Type="http://schemas.openxmlformats.org/officeDocument/2006/relationships/image" Target="media/image115.png"/><Relationship Id="rId159"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22" Type="http://schemas.openxmlformats.org/officeDocument/2006/relationships/hyperlink" Target="https://www.sec.gov/Archives/edgar/data/883975/000119312516682077/d161430dex21.htm" TargetMode="External"/><Relationship Id="rId123" Type="http://schemas.openxmlformats.org/officeDocument/2006/relationships/hyperlink" Target="https://www.sec.gov/Archives/edgar/data/883975/000095013407005808/f27726exv3w1.htm" TargetMode="External"/><Relationship Id="rId124" Type="http://schemas.openxmlformats.org/officeDocument/2006/relationships/hyperlink" Target="https://www.sec.gov/Archives/edgar/data/883975/000119312516779597/d296933dex31.htm" TargetMode="External"/><Relationship Id="rId125" Type="http://schemas.openxmlformats.org/officeDocument/2006/relationships/hyperlink" Target="https://www.sec.gov/Archives/edgar/data/883975/000149315218012872/ex3-1.htm" TargetMode="External"/><Relationship Id="rId126" Type="http://schemas.openxmlformats.org/officeDocument/2006/relationships/hyperlink" Target="https://www.sec.gov/Archives/edgar/data/883975/000129993316002374/exhibit1.htm" TargetMode="External"/><Relationship Id="rId127" Type="http://schemas.openxmlformats.org/officeDocument/2006/relationships/hyperlink" Target="https://www.sec.gov/Archives/edgar/data/883975/000149315218017395/ex3-1.htm" TargetMode="External"/><Relationship Id="rId128" Type="http://schemas.openxmlformats.org/officeDocument/2006/relationships/hyperlink" Target="https://www.sec.gov/Archives/edgar/data/883975/000149315219013998/ex3-1.htm" TargetMode="External"/><Relationship Id="rId129" Type="http://schemas.openxmlformats.org/officeDocument/2006/relationships/hyperlink" Target="https://www.sec.gov/Archives/edgar/data/883975/000149315221010347/ex3-1.htm" TargetMode="External"/><Relationship Id="rId130" Type="http://schemas.openxmlformats.org/officeDocument/2006/relationships/hyperlink" Target="https://www.sec.gov/Archives/edgar/data/883975/000149315220006338/ex4-10.htm" TargetMode="External"/><Relationship Id="rId131" Type="http://schemas.openxmlformats.org/officeDocument/2006/relationships/hyperlink" Target="https://www.sec.gov/Archives/edgar/data/883975/000149315222029541/ex4-2.htm" TargetMode="External"/><Relationship Id="rId132" Type="http://schemas.openxmlformats.org/officeDocument/2006/relationships/hyperlink" Target="https://www.sec.gov/Archives/edgar/data/883975/000149315222029541/ex4-4.htm" TargetMode="External"/><Relationship Id="rId133" Type="http://schemas.openxmlformats.org/officeDocument/2006/relationships/hyperlink" Target="https://www.sec.gov/Archives/edgar/data/883975/000149315223018718/ex4-1.htm" TargetMode="External"/><Relationship Id="rId134" Type="http://schemas.openxmlformats.org/officeDocument/2006/relationships/hyperlink" Target="https://www.sec.gov/Archives/edgar/data/883975/000149315223018932/ex4-2.htm" TargetMode="External"/><Relationship Id="rId136" Type="http://schemas.openxmlformats.org/officeDocument/2006/relationships/hyperlink" Target="https://www.sec.gov/Archives/edgar/data/883975/000149315223018932/ex10-2.htm" TargetMode="External"/><Relationship Id="rId137" Type="http://schemas.openxmlformats.org/officeDocument/2006/relationships/hyperlink" Target="https://www.sec.gov/Archives/edgar/data/883975/000149315223020309/ex4-1.htm" TargetMode="External"/><Relationship Id="rId138" Type="http://schemas.openxmlformats.org/officeDocument/2006/relationships/hyperlink" Target="https://www.sec.gov/Archives/edgar/data/883975/000149315223020309/ex4-2.htm" TargetMode="External"/><Relationship Id="rId139" Type="http://schemas.openxmlformats.org/officeDocument/2006/relationships/hyperlink" Target="https://www.sec.gov/Archives/edgar/data/883975/000149315223022814/ex4-1.htm" TargetMode="External"/><Relationship Id="rId140" Type="http://schemas.openxmlformats.org/officeDocument/2006/relationships/hyperlink" Target="https://www.sec.gov/Archives/edgar/data/883975/000149315223022814/ex4-2.htm" TargetMode="External"/><Relationship Id="rId141" Type="http://schemas.openxmlformats.org/officeDocument/2006/relationships/hyperlink" Target="https://www.sec.gov/Archives/edgar/data/883975/000149315224000109/ex4-1.htm" TargetMode="External"/><Relationship Id="rId142" Type="http://schemas.openxmlformats.org/officeDocument/2006/relationships/hyperlink" Target="https://www.sec.gov/Archives/edgar/data/883975/000149315224000109/ex4-2.htm" TargetMode="External"/><Relationship Id="rId143" Type="http://schemas.openxmlformats.org/officeDocument/2006/relationships/hyperlink" Target="https://www.sec.gov/Archives/edgar/data/883975/000149315224007226/ex5-1.htm" TargetMode="External"/><Relationship Id="rId144" Type="http://schemas.openxmlformats.org/officeDocument/2006/relationships/hyperlink" Target="https://www.sec.gov/Archives/edgar/data/883975/000119312516779729/d296933dex104.htm" TargetMode="External"/><Relationship Id="rId145" Type="http://schemas.openxmlformats.org/officeDocument/2006/relationships/hyperlink" Target="https://www.sec.gov/Archives/edgar/data/883975/000119312516779729/d296933dex105.htm" TargetMode="External"/><Relationship Id="rId146" Type="http://schemas.openxmlformats.org/officeDocument/2006/relationships/hyperlink" Target="https://www.sec.gov/Archives/edgar/data/883975/000149315217002678/ex10-14.htm" TargetMode="External"/><Relationship Id="rId147" Type="http://schemas.openxmlformats.org/officeDocument/2006/relationships/hyperlink" Target="https://www.sec.gov/Archives/edgar/data/883975/000149315217013222/ex10-1.htm" TargetMode="External"/><Relationship Id="rId148" Type="http://schemas.openxmlformats.org/officeDocument/2006/relationships/hyperlink" Target="https://www.sec.gov/Archives/edgar/data/883975/000149315218000286/ex10-1.htm" TargetMode="External"/><Relationship Id="rId149" Type="http://schemas.openxmlformats.org/officeDocument/2006/relationships/hyperlink" Target="https://www.sec.gov/Archives/edgar/data/883975/000149315220006338/ex10-9.htm" TargetMode="External"/><Relationship Id="rId150" Type="http://schemas.openxmlformats.org/officeDocument/2006/relationships/hyperlink" Target="https://www.sec.gov/Archives/edgar/data/883975/000149315217008987/def14a.htm" TargetMode="External"/><Relationship Id="rId151" Type="http://schemas.openxmlformats.org/officeDocument/2006/relationships/hyperlink" Target="https://www.sec.gov/Archives/edgar/data/883975/000149315220014354/def14a.htm" TargetMode="External"/><Relationship Id="rId152" Type="http://schemas.openxmlformats.org/officeDocument/2006/relationships/hyperlink" Target="https://www.sec.gov/Archives/edgar/data/883975/000149315220022543/ex4-2.htm" TargetMode="External"/><Relationship Id="rId153" Type="http://schemas.openxmlformats.org/officeDocument/2006/relationships/hyperlink" Target="https://www.sec.gov/Archives/edgar/data/883975/000149315220022543/ex4-3.htm" TargetMode="External"/><Relationship Id="rId154" Type="http://schemas.openxmlformats.org/officeDocument/2006/relationships/hyperlink" Target="https://www.sec.gov/Archives/edgar/data/883975/000149315220022543/ex4-4.htm" TargetMode="External"/><Relationship Id="rId155" Type="http://schemas.openxmlformats.org/officeDocument/2006/relationships/hyperlink" Target="https://www.sec.gov/Archives/edgar/data/883975/000149315220022543/ex4-5.htm" TargetMode="External"/><Relationship Id="rId156" Type="http://schemas.openxmlformats.org/officeDocument/2006/relationships/hyperlink" Target="https://www.sec.gov/Archives/edgar/data/883975/000149315220022543/ex4-6.htm" TargetMode="External"/><Relationship Id="rId157" Type="http://schemas.openxmlformats.org/officeDocument/2006/relationships/hyperlink" Target="https://www.sec.gov/Archives/edgar/data/883975/000149315221008148/ex10-1.htm" TargetMode="External"/><Relationship Id="rId158" Type="http://schemas.openxmlformats.org/officeDocument/2006/relationships/hyperlink" Target="https://www.sec.gov/Archives/edgar/data/883975/000149315221009469/ex10-1.htm" TargetMode="External"/><Relationship Id="rId160" Type="http://schemas.openxmlformats.org/officeDocument/2006/relationships/hyperlink" Target="https://www.sec.gov/Archives/edgar/data/883975/000149315221014052/ex10-1.htm" TargetMode="External"/><Relationship Id="rId161" Type="http://schemas.openxmlformats.org/officeDocument/2006/relationships/hyperlink" Target="https://www.sec.gov/Archives/edgar/data/883975/000149315221032474/ex10-1.htm" TargetMode="External"/><Relationship Id="rId162" Type="http://schemas.openxmlformats.org/officeDocument/2006/relationships/hyperlink" Target="https://www.sec.gov/Archives/edgar/data/883975/000149315222027872/ex10-1.htm" TargetMode="External"/><Relationship Id="rId163" Type="http://schemas.openxmlformats.org/officeDocument/2006/relationships/hyperlink" Target="https://www.sec.gov/Archives/edgar/data/883975/000149315222009272/ex10-1.htm" TargetMode="External"/><Relationship Id="rId164" Type="http://schemas.openxmlformats.org/officeDocument/2006/relationships/hyperlink" Target="https://www.sec.gov/Archives/edgar/data/883975/000149315222002881/ex10-1.htm" TargetMode="External"/><Relationship Id="rId165" Type="http://schemas.openxmlformats.org/officeDocument/2006/relationships/hyperlink" Target="https://www.sec.gov/Archives/edgar/data/883975/000149315223010223/ex10-21.htm" TargetMode="External"/><Relationship Id="rId166" Type="http://schemas.openxmlformats.org/officeDocument/2006/relationships/hyperlink" Target="https://www.sec.gov/Archives/edgar/data/883975/000149315222029541/ex10-1.htm" TargetMode="External"/><Relationship Id="rId167" Type="http://schemas.openxmlformats.org/officeDocument/2006/relationships/hyperlink" Target="https://www.sec.gov/Archives/edgar/data/883975/000149315223018456/ex10-1.htm" TargetMode="External"/><Relationship Id="rId168" Type="http://schemas.openxmlformats.org/officeDocument/2006/relationships/hyperlink" Target="https://www.sec.gov/Archives/edgar/data/883975/000149315223018456/ex10-2.htm" TargetMode="External"/><Relationship Id="rId169" Type="http://schemas.openxmlformats.org/officeDocument/2006/relationships/hyperlink" Target="https://www.sec.gov/Archives/edgar/data/883975/000149315223018456/ex10-3.htm" TargetMode="External"/><Relationship Id="rId170" Type="http://schemas.openxmlformats.org/officeDocument/2006/relationships/hyperlink" Target="https://www.sec.gov/Archives/edgar/data/883975/000149315223018456/ex10-4.htm" TargetMode="External"/><Relationship Id="rId171" Type="http://schemas.openxmlformats.org/officeDocument/2006/relationships/hyperlink" Target="https://www.sec.gov/Archives/edgar/data/883975/000149315223018718/ex10-1.htm" TargetMode="External"/><Relationship Id="rId172" Type="http://schemas.openxmlformats.org/officeDocument/2006/relationships/hyperlink" Target="https://www.sec.gov/Archives/edgar/data/883975/000149315223018932/ex10-1.htm" TargetMode="External"/><Relationship Id="rId173" Type="http://schemas.openxmlformats.org/officeDocument/2006/relationships/hyperlink" Target="https://www.sec.gov/Archives/edgar/data/883975/000149315223020309/ex10-1.htm" TargetMode="External"/><Relationship Id="rId174" Type="http://schemas.openxmlformats.org/officeDocument/2006/relationships/hyperlink" Target="https://www.sec.gov/Archives/edgar/data/883975/000149315223022814/ex10-1.htm" TargetMode="External"/><Relationship Id="rId175" Type="http://schemas.openxmlformats.org/officeDocument/2006/relationships/hyperlink" Target="https://www.sec.gov/Archives/edgar/data/883975/000149315223042204/ex10-1.htm" TargetMode="External"/><Relationship Id="rId176" Type="http://schemas.openxmlformats.org/officeDocument/2006/relationships/hyperlink" Target="https://www.sec.gov/Archives/edgar/data/883975/000149315224000109/ex10-1.htm" TargetMode="External"/><Relationship Id="rId177" Type="http://schemas.openxmlformats.org/officeDocument/2006/relationships/hyperlink" Target="https://www.sec.gov/Archives/edgar/data/883975/000149315224004231/ex10-1.htm" TargetMode="External"/><Relationship Id="rId178" Type="http://schemas.openxmlformats.org/officeDocument/2006/relationships/hyperlink" Target="https://www.sec.gov/Archives/edgar/data/883975/000149315224004231/ex10-2.htm" TargetMode="External"/><Relationship Id="rId179" Type="http://schemas.openxmlformats.org/officeDocument/2006/relationships/hyperlink" Target="https://www.sec.gov/Archives/edgar/data/883975/000149315217002678/ex21-1.htm" TargetMode="External"/><Relationship Id="rId180" Type="http://schemas.openxmlformats.org/officeDocument/2006/relationships/hyperlink" Target="https://www.sec.gov/Archives/edgar/data/883975/000149315224007226/forms-1.htm#poa_001" TargetMode="External"/><Relationship Id="rId181" Type="http://schemas.openxmlformats.org/officeDocument/2006/relationships/hyperlink" Target="https://www.sec.gov/Archives/edgar/data/883975/000149315224011521/ex97-1.htm" TargetMode="External"/><Relationship Id="rId182" Type="http://schemas.openxmlformats.org/officeDocument/2006/relationships/hyperlink" Target="https://www.sec.gov/Archives/edgar/data/883975/000149315224007226/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2024-04-01T11:08:00Z</dcterms:created>
  <dcterms:modified xsi:type="dcterms:W3CDTF">2024-04-01T11:08:00Z</dcterms:modified>
</cp:coreProperties>
</file>