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133350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520" w:right="1720" w:hanging="4151"/>
        <w:spacing w:after="0" w:line="492" w:lineRule="auto"/>
        <w:tabs>
          <w:tab w:leader="none" w:pos="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2018</w:t>
      </w:r>
    </w:p>
    <w:p>
      <w:pPr>
        <w:spacing w:after="0" w:line="1" w:lineRule="exact"/>
        <w:rPr>
          <w:sz w:val="24"/>
          <w:szCs w:val="24"/>
          <w:color w:val="auto"/>
        </w:rPr>
      </w:pPr>
    </w:p>
    <w:p>
      <w:pPr>
        <w:ind w:left="380"/>
        <w:spacing w:after="0"/>
        <w:tabs>
          <w:tab w:leader="none" w:pos="9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225"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For the transition period from ____ to 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1-16525</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of Registrant in Its Charter)</w:t>
      </w:r>
    </w:p>
    <w:p>
      <w:pPr>
        <w:sectPr>
          <w:pgSz w:w="11900" w:h="16838" w:orient="portrait"/>
          <w:cols w:equalWidth="0" w:num="1">
            <w:col w:w="11420"/>
          </w:cols>
          <w:pgMar w:left="240" w:top="747" w:right="239" w:bottom="1440" w:gutter="0" w:footer="0" w:header="0"/>
        </w:sectPr>
      </w:pPr>
    </w:p>
    <w:p>
      <w:pPr>
        <w:spacing w:after="0" w:line="221"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State or Other Jurisdiction of</w:t>
      </w:r>
    </w:p>
    <w:p>
      <w:pPr>
        <w:spacing w:after="0" w:line="32" w:lineRule="exact"/>
        <w:rPr>
          <w:sz w:val="24"/>
          <w:szCs w:val="24"/>
          <w:color w:val="auto"/>
        </w:rPr>
      </w:pPr>
    </w:p>
    <w:p>
      <w:pPr>
        <w:jc w:val="center"/>
        <w:ind w:right="1440"/>
        <w:spacing w:after="0"/>
        <w:rPr>
          <w:sz w:val="20"/>
          <w:szCs w:val="20"/>
          <w:color w:val="auto"/>
        </w:rPr>
      </w:pPr>
      <w:r>
        <w:rPr>
          <w:rFonts w:ascii="Arial" w:cs="Arial" w:eastAsia="Arial" w:hAnsi="Arial"/>
          <w:sz w:val="16"/>
          <w:szCs w:val="16"/>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i w:val="1"/>
          <w:iCs w:val="1"/>
          <w:color w:val="auto"/>
        </w:rPr>
        <w:t>(I.R.S. Employer</w:t>
      </w:r>
    </w:p>
    <w:p>
      <w:pPr>
        <w:spacing w:after="0" w:line="21"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160" w:space="720"/>
            <w:col w:w="354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20"/>
          </w:cols>
          <w:pgMar w:left="240" w:top="747" w:right="239" w:bottom="1440" w:gutter="0" w:footer="0" w:header="0"/>
          <w:type w:val="continuous"/>
        </w:sect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jc w:val="both"/>
        <w:ind w:firstLine="189"/>
        <w:spacing w:after="0" w:line="26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ind w:firstLine="18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ind w:right="20" w:firstLine="189"/>
        <w:spacing w:after="0" w:line="264"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47" w:right="239" w:bottom="1440" w:gutter="0" w:footer="0" w:header="0"/>
          <w:type w:val="continuous"/>
        </w:sectPr>
      </w:pPr>
    </w:p>
    <w:p>
      <w:pPr>
        <w:spacing w:after="0" w:line="181" w:lineRule="exact"/>
        <w:rPr>
          <w:sz w:val="24"/>
          <w:szCs w:val="24"/>
          <w:color w:val="auto"/>
        </w:rPr>
      </w:pPr>
    </w:p>
    <w:p>
      <w:pPr>
        <w:ind w:left="200"/>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0" w:lineRule="exact"/>
        <w:rPr>
          <w:sz w:val="24"/>
          <w:szCs w:val="24"/>
          <w:color w:val="auto"/>
        </w:rPr>
      </w:pPr>
    </w:p>
    <w:p>
      <w:pPr>
        <w:sectPr>
          <w:pgSz w:w="11900" w:h="16838" w:orient="portrait"/>
          <w:cols w:equalWidth="0" w:num="2">
            <w:col w:w="2980" w:space="720"/>
            <w:col w:w="7720"/>
          </w:cols>
          <w:pgMar w:left="240" w:top="747" w:right="239" w:bottom="1440" w:gutter="0" w:footer="0" w:header="0"/>
          <w:type w:val="continuous"/>
        </w:sectPr>
      </w:pPr>
    </w:p>
    <w:p>
      <w:pPr>
        <w:spacing w:after="0" w:line="37" w:lineRule="exact"/>
        <w:rPr>
          <w:sz w:val="24"/>
          <w:szCs w:val="24"/>
          <w:color w:val="auto"/>
        </w:rPr>
      </w:pPr>
    </w:p>
    <w:p>
      <w:pPr>
        <w:ind w:left="200"/>
        <w:spacing w:after="0"/>
        <w:rPr>
          <w:sz w:val="20"/>
          <w:szCs w:val="20"/>
          <w:color w:val="auto"/>
        </w:rPr>
      </w:pPr>
      <w:r>
        <w:rPr>
          <w:rFonts w:ascii="Arial" w:cs="Arial" w:eastAsia="Arial" w:hAnsi="Arial"/>
          <w:sz w:val="17"/>
          <w:szCs w:val="17"/>
          <w:color w:val="auto"/>
        </w:rPr>
        <w:t>Non-accelerated filer [ ]</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4"/>
          <w:szCs w:val="24"/>
          <w:color w:val="auto"/>
        </w:rPr>
      </w:pPr>
    </w:p>
    <w:p>
      <w:pPr>
        <w:sectPr>
          <w:pgSz w:w="11900" w:h="16838" w:orient="portrait"/>
          <w:cols w:equalWidth="0" w:num="3">
            <w:col w:w="2980" w:space="720"/>
            <w:col w:w="2680" w:space="720"/>
            <w:col w:w="4320"/>
          </w:cols>
          <w:pgMar w:left="240" w:top="747" w:right="239" w:bottom="1440" w:gutter="0" w:footer="0" w:header="0"/>
          <w:type w:val="continuous"/>
        </w:sectPr>
      </w:pPr>
    </w:p>
    <w:p>
      <w:pPr>
        <w:spacing w:after="0" w:line="37" w:lineRule="exact"/>
        <w:rPr>
          <w:sz w:val="24"/>
          <w:szCs w:val="24"/>
          <w:color w:val="auto"/>
        </w:rPr>
      </w:pPr>
    </w:p>
    <w:p>
      <w:pPr>
        <w:ind w:right="160" w:firstLine="18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right="140" w:firstLine="189"/>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42,120,427 shares of Common Stock, $0.01 par value at May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40" w:type="dxa"/>
            <w:vAlign w:val="bottom"/>
            <w:gridSpan w:val="9"/>
          </w:tcPr>
          <w:p>
            <w:pPr>
              <w:jc w:val="center"/>
              <w:ind w:right="1680"/>
              <w:spacing w:after="0"/>
              <w:rPr>
                <w:sz w:val="20"/>
                <w:szCs w:val="20"/>
                <w:color w:val="auto"/>
              </w:rPr>
            </w:pPr>
            <w:r>
              <w:rPr>
                <w:rFonts w:ascii="Arial" w:cs="Arial" w:eastAsia="Arial" w:hAnsi="Arial"/>
                <w:sz w:val="18"/>
                <w:szCs w:val="18"/>
                <w:b w:val="1"/>
                <w:bCs w:val="1"/>
                <w:color w:val="auto"/>
              </w:rPr>
              <w:t>MICROBOT MEDICAL INC. AND SUBSIDIARIES</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6"/>
          </w:tcPr>
          <w:p>
            <w:pPr>
              <w:jc w:val="center"/>
              <w:ind w:right="3720"/>
              <w:spacing w:after="0"/>
              <w:rPr>
                <w:sz w:val="20"/>
                <w:szCs w:val="20"/>
                <w:color w:val="auto"/>
              </w:rPr>
            </w:pPr>
            <w:r>
              <w:rPr>
                <w:rFonts w:ascii="Arial" w:cs="Arial" w:eastAsia="Arial" w:hAnsi="Arial"/>
                <w:sz w:val="18"/>
                <w:szCs w:val="18"/>
                <w:color w:val="auto"/>
                <w:w w:val="95"/>
              </w:rPr>
              <w:t>Index</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Item 1 - Financial Statements</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94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Interim Consolidated Balance Sheets as of March 31, 2018 (unaudited) and December 31, 2017 (audited)</w:t>
              </w:r>
            </w:hyperlink>
          </w:p>
        </w:tc>
        <w:tc>
          <w:tcPr>
            <w:tcW w:w="130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40" w:type="dxa"/>
            <w:vAlign w:val="bottom"/>
            <w:gridSpan w:val="17"/>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Interim Consolidated Statements of Comprehensive Loss for the Three Months Ended March 31, 2018 and 2017 (unaudited)</w:t>
              </w:r>
            </w:hyperlink>
          </w:p>
        </w:tc>
        <w:tc>
          <w:tcPr>
            <w:tcW w:w="130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940" w:type="dxa"/>
            <w:vAlign w:val="bottom"/>
            <w:gridSpan w:val="17"/>
            <w:shd w:val="clear" w:color="auto" w:fill="CCEEFF"/>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Interim Consolidated Statements of Shareholders’ Equity as of March 31, 2018 (unaudited) and December 31, 2017 (audited)</w:t>
              </w:r>
            </w:hyperlink>
          </w:p>
        </w:tc>
        <w:tc>
          <w:tcPr>
            <w:tcW w:w="130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040" w:type="dxa"/>
            <w:vAlign w:val="bottom"/>
            <w:tcBorders>
              <w:top w:val="single" w:sz="8" w:color="0000EE"/>
            </w:tcBorders>
            <w:gridSpan w:val="16"/>
          </w:tcPr>
          <w:p>
            <w:pPr>
              <w:spacing w:after="0" w:line="17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Interim Consolidated Statements of Cash Flows for the Three Months Ended March 31, 2018 and 2017 (unaudited)</w:t>
              </w:r>
            </w:hyperlink>
          </w:p>
        </w:tc>
        <w:tc>
          <w:tcPr>
            <w:tcW w:w="90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jc w:val="center"/>
              <w:ind w:left="57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940" w:type="dxa"/>
            <w:vAlign w:val="bottom"/>
            <w:gridSpan w:val="1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interim consolidated Financial Statements</w:t>
              </w:r>
            </w:hyperlink>
          </w:p>
        </w:tc>
        <w:tc>
          <w:tcPr>
            <w:tcW w:w="130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100" w:type="dxa"/>
            <w:vAlign w:val="bottom"/>
            <w:gridSpan w:val="18"/>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2 - Management’s Discussion and Analysis of Financial Condition and Results of Operations</w:t>
              </w:r>
            </w:hyperlink>
          </w:p>
        </w:tc>
        <w:tc>
          <w:tcPr>
            <w:tcW w:w="130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Item 3 – Quantitative and Qualitative Disclosures About Market Risk</w:t>
              </w:r>
            </w:hyperlink>
          </w:p>
        </w:tc>
        <w:tc>
          <w:tcPr>
            <w:tcW w:w="5100" w:type="dxa"/>
            <w:vAlign w:val="bottom"/>
            <w:tcBorders>
              <w:bottom w:val="single" w:sz="8" w:color="CCEEFF"/>
            </w:tcBorders>
            <w:gridSpan w:val="6"/>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100" w:type="dxa"/>
            <w:vAlign w:val="bottom"/>
            <w:gridSpan w:val="18"/>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4 - Controls and Procedures</w:t>
              </w:r>
            </w:hyperlink>
          </w:p>
        </w:tc>
        <w:tc>
          <w:tcPr>
            <w:tcW w:w="130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100" w:type="dxa"/>
            <w:vAlign w:val="bottom"/>
            <w:gridSpan w:val="18"/>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100" w:type="dxa"/>
            <w:vAlign w:val="bottom"/>
            <w:gridSpan w:val="18"/>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1 - Legal Proceedings</w:t>
              </w:r>
            </w:hyperlink>
          </w:p>
        </w:tc>
        <w:tc>
          <w:tcPr>
            <w:tcW w:w="130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100" w:type="dxa"/>
            <w:vAlign w:val="bottom"/>
            <w:gridSpan w:val="18"/>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2 – Unregistered Sales of Equity Securities and Use of Proceeds</w:t>
              </w:r>
            </w:hyperlink>
          </w:p>
        </w:tc>
        <w:tc>
          <w:tcPr>
            <w:tcW w:w="1300" w:type="dxa"/>
            <w:vAlign w:val="bottom"/>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3 – Defaults Upon Senior Securities</w:t>
              </w:r>
            </w:hyperlink>
          </w:p>
        </w:tc>
        <w:tc>
          <w:tcPr>
            <w:tcW w:w="5120" w:type="dxa"/>
            <w:vAlign w:val="bottom"/>
            <w:tcBorders>
              <w:top w:val="single" w:sz="8" w:color="CCEEFF"/>
            </w:tcBorders>
            <w:gridSpan w:val="7"/>
          </w:tcPr>
          <w:p>
            <w:pPr>
              <w:spacing w:after="0"/>
              <w:rPr>
                <w:sz w:val="15"/>
                <w:szCs w:val="15"/>
                <w:color w:val="auto"/>
              </w:rPr>
            </w:pPr>
          </w:p>
        </w:tc>
        <w:tc>
          <w:tcPr>
            <w:tcW w:w="1300" w:type="dxa"/>
            <w:vAlign w:val="bottom"/>
            <w:tcBorders>
              <w:top w:val="single" w:sz="8" w:color="CCEEFF"/>
            </w:tcBorders>
          </w:tcPr>
          <w:p>
            <w:pPr>
              <w:jc w:val="center"/>
              <w:ind w:left="55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100" w:type="dxa"/>
            <w:vAlign w:val="bottom"/>
            <w:gridSpan w:val="18"/>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4 – Mine Safety Disclosures</w:t>
              </w:r>
            </w:hyperlink>
          </w:p>
        </w:tc>
        <w:tc>
          <w:tcPr>
            <w:tcW w:w="1300" w:type="dxa"/>
            <w:vAlign w:val="bottom"/>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5 - Other Information</w:t>
              </w:r>
            </w:hyperlink>
          </w:p>
        </w:tc>
        <w:tc>
          <w:tcPr>
            <w:tcW w:w="7700" w:type="dxa"/>
            <w:vAlign w:val="bottom"/>
            <w:tcBorders>
              <w:top w:val="single" w:sz="8" w:color="CCEEFF"/>
            </w:tcBorders>
            <w:gridSpan w:val="10"/>
          </w:tcPr>
          <w:p>
            <w:pPr>
              <w:spacing w:after="0"/>
              <w:rPr>
                <w:sz w:val="15"/>
                <w:szCs w:val="15"/>
                <w:color w:val="auto"/>
              </w:rPr>
            </w:pPr>
          </w:p>
        </w:tc>
        <w:tc>
          <w:tcPr>
            <w:tcW w:w="1300" w:type="dxa"/>
            <w:vAlign w:val="bottom"/>
            <w:tcBorders>
              <w:top w:val="single" w:sz="8" w:color="CCEEFF"/>
            </w:tcBorders>
          </w:tcPr>
          <w:p>
            <w:pPr>
              <w:jc w:val="center"/>
              <w:ind w:left="55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100" w:type="dxa"/>
            <w:vAlign w:val="bottom"/>
            <w:gridSpan w:val="18"/>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6 – Exhibits</w:t>
              </w:r>
            </w:hyperlink>
          </w:p>
        </w:tc>
        <w:tc>
          <w:tcPr>
            <w:tcW w:w="1300" w:type="dxa"/>
            <w:vAlign w:val="bottom"/>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1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1300" w:type="dxa"/>
            <w:vAlign w:val="bottom"/>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100" w:type="dxa"/>
            <w:vAlign w:val="bottom"/>
            <w:tcBorders>
              <w:top w:val="single" w:sz="8" w:color="CCEEFF"/>
              <w:bottom w:val="single" w:sz="8" w:color="auto"/>
            </w:tcBorders>
            <w:gridSpan w:val="6"/>
          </w:tcPr>
          <w:p>
            <w:pPr>
              <w:jc w:val="center"/>
              <w:ind w:right="3700"/>
              <w:spacing w:after="0"/>
              <w:rPr>
                <w:sz w:val="20"/>
                <w:szCs w:val="20"/>
                <w:color w:val="auto"/>
              </w:rPr>
            </w:pPr>
            <w:r>
              <w:rPr>
                <w:rFonts w:ascii="Arial" w:cs="Arial" w:eastAsia="Arial" w:hAnsi="Arial"/>
                <w:sz w:val="18"/>
                <w:szCs w:val="18"/>
                <w:color w:val="auto"/>
                <w:w w:val="98"/>
              </w:rPr>
              <w:t>i</w:t>
            </w:r>
          </w:p>
        </w:tc>
        <w:tc>
          <w:tcPr>
            <w:tcW w:w="13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8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Note</w:t>
            </w:r>
          </w:p>
        </w:tc>
        <w:tc>
          <w:tcPr>
            <w:tcW w:w="19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 2018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gridSpan w:val="2"/>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9,460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10,787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4"/>
          </w:tcPr>
          <w:p>
            <w:pPr>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9,894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gridSpan w:val="2"/>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4"/>
          </w:tcPr>
          <w:p>
            <w:pPr>
              <w:spacing w:after="0"/>
              <w:rPr>
                <w:sz w:val="20"/>
                <w:szCs w:val="20"/>
                <w:color w:val="auto"/>
              </w:rPr>
            </w:pPr>
            <w:r>
              <w:rPr>
                <w:rFonts w:ascii="Arial" w:cs="Arial" w:eastAsia="Arial" w:hAnsi="Arial"/>
                <w:sz w:val="18"/>
                <w:szCs w:val="18"/>
                <w:color w:val="auto"/>
              </w:rPr>
              <w:t>Trade payables</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gridSpan w:val="4"/>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7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468</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40" w:type="dxa"/>
            <w:vAlign w:val="bottom"/>
            <w:gridSpan w:val="4"/>
          </w:tcPr>
          <w:p>
            <w:pPr>
              <w:spacing w:after="0"/>
              <w:rPr>
                <w:sz w:val="20"/>
                <w:szCs w:val="20"/>
                <w:color w:val="auto"/>
              </w:rPr>
            </w:pPr>
            <w:r>
              <w:rPr>
                <w:rFonts w:ascii="Arial" w:cs="Arial" w:eastAsia="Arial" w:hAnsi="Arial"/>
                <w:sz w:val="18"/>
                <w:szCs w:val="18"/>
                <w:b w:val="1"/>
                <w:bCs w:val="1"/>
                <w:color w:val="auto"/>
              </w:rPr>
              <w:t>Derivative warrant liability</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4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4"/>
          </w:tcPr>
          <w:p>
            <w:pPr>
              <w:spacing w:after="0"/>
              <w:rPr>
                <w:sz w:val="20"/>
                <w:szCs w:val="20"/>
                <w:color w:val="auto"/>
              </w:rPr>
            </w:pPr>
            <w:r>
              <w:rPr>
                <w:rFonts w:ascii="Arial" w:cs="Arial" w:eastAsia="Arial" w:hAnsi="Arial"/>
                <w:sz w:val="18"/>
                <w:szCs w:val="18"/>
                <w:b w:val="1"/>
                <w:bCs w:val="1"/>
                <w:color w:val="auto"/>
              </w:rPr>
              <w:t>Commitments and contingencies</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4"/>
          </w:tcPr>
          <w:p>
            <w:pPr>
              <w:spacing w:after="0"/>
              <w:rPr>
                <w:sz w:val="20"/>
                <w:szCs w:val="20"/>
                <w:color w:val="auto"/>
              </w:rPr>
            </w:pPr>
            <w:r>
              <w:rPr>
                <w:rFonts w:ascii="Arial" w:cs="Arial" w:eastAsia="Arial" w:hAnsi="Arial"/>
                <w:sz w:val="18"/>
                <w:szCs w:val="18"/>
                <w:b w:val="1"/>
                <w:bCs w:val="1"/>
                <w:color w:val="auto"/>
              </w:rPr>
              <w:t>Temporary equity:</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Common stock of $0.01 par value;</w:t>
            </w: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issued and outstanding: 10,702,838 shares as of March 31, 2018 and December</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31, 2017</w:t>
            </w:r>
          </w:p>
        </w:tc>
        <w:tc>
          <w:tcPr>
            <w:tcW w:w="324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gridSpan w:val="4"/>
          </w:tcPr>
          <w:p>
            <w:pPr>
              <w:spacing w:after="0" w:line="201" w:lineRule="exact"/>
              <w:rPr>
                <w:sz w:val="20"/>
                <w:szCs w:val="20"/>
                <w:color w:val="auto"/>
              </w:rPr>
            </w:pPr>
            <w:r>
              <w:rPr>
                <w:rFonts w:ascii="Arial" w:cs="Arial" w:eastAsia="Arial" w:hAnsi="Arial"/>
                <w:sz w:val="18"/>
                <w:szCs w:val="18"/>
                <w:color w:val="auto"/>
              </w:rPr>
              <w:t>Preferred stock of $0.01 par value;</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5"/>
          </w:tcPr>
          <w:p>
            <w:pPr>
              <w:spacing w:after="0"/>
              <w:rPr>
                <w:sz w:val="20"/>
                <w:szCs w:val="20"/>
                <w:color w:val="auto"/>
              </w:rPr>
            </w:pPr>
            <w:r>
              <w:rPr>
                <w:rFonts w:ascii="Arial" w:cs="Arial" w:eastAsia="Arial" w:hAnsi="Arial"/>
                <w:sz w:val="18"/>
                <w:szCs w:val="18"/>
                <w:color w:val="auto"/>
                <w:w w:val="98"/>
              </w:rPr>
              <w:t>Authorized: 1,000,000 shares as of March 31, 2018 and December 31, 2017;</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5"/>
          </w:tcPr>
          <w:p>
            <w:pPr>
              <w:spacing w:after="0"/>
              <w:rPr>
                <w:sz w:val="20"/>
                <w:szCs w:val="20"/>
                <w:color w:val="auto"/>
              </w:rPr>
            </w:pPr>
            <w:r>
              <w:rPr>
                <w:rFonts w:ascii="Arial" w:cs="Arial" w:eastAsia="Arial" w:hAnsi="Arial"/>
                <w:sz w:val="18"/>
                <w:szCs w:val="18"/>
                <w:color w:val="auto"/>
              </w:rPr>
              <w:t>issued and outstanding: 2,464 and 4,001 shares as of March 31, 2018 and</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gridSpan w:val="5"/>
          </w:tcPr>
          <w:p>
            <w:pPr>
              <w:spacing w:after="0"/>
              <w:rPr>
                <w:sz w:val="20"/>
                <w:szCs w:val="20"/>
                <w:color w:val="auto"/>
              </w:rPr>
            </w:pPr>
            <w:r>
              <w:rPr>
                <w:rFonts w:ascii="Arial" w:cs="Arial" w:eastAsia="Arial" w:hAnsi="Arial"/>
                <w:sz w:val="18"/>
                <w:szCs w:val="18"/>
                <w:color w:val="auto"/>
              </w:rPr>
              <w:t>December 31, 2017, respectively</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Common stock of $0.01 par value;</w:t>
            </w: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Authorized: 220,000,000 as of March 31, 2018 and December 31, 2017; issued</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and outstanding: 31,417,589 and 29,880,289 shares as of March 31, 2018, and</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31, 2017, respectively</w:t>
            </w: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4"/>
          </w:tcPr>
          <w:p>
            <w:pPr>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30,583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30,182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(22,093)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214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8,911</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9,964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9,894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11,020</w:t>
            </w:r>
          </w:p>
        </w:tc>
        <w:tc>
          <w:tcPr>
            <w:tcW w:w="0" w:type="dxa"/>
            <w:vAlign w:val="bottom"/>
          </w:tcPr>
          <w:p>
            <w:pPr>
              <w:spacing w:after="0"/>
              <w:rPr>
                <w:sz w:val="1"/>
                <w:szCs w:val="1"/>
                <w:color w:val="auto"/>
              </w:rPr>
            </w:pPr>
          </w:p>
        </w:tc>
      </w:tr>
      <w:tr>
        <w:trPr>
          <w:trHeight w:val="20"/>
        </w:trPr>
        <w:tc>
          <w:tcPr>
            <w:tcW w:w="3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5680" w:type="dxa"/>
            <w:vAlign w:val="bottom"/>
            <w:gridSpan w:val="3"/>
            <w:vMerge w:val="restart"/>
          </w:tcPr>
          <w:p>
            <w:pPr>
              <w:ind w:left="160"/>
              <w:spacing w:after="0"/>
              <w:rPr>
                <w:sz w:val="20"/>
                <w:szCs w:val="20"/>
                <w:color w:val="auto"/>
              </w:rPr>
            </w:pPr>
            <w:r>
              <w:rPr>
                <w:rFonts w:ascii="Arial" w:cs="Arial" w:eastAsia="Arial" w:hAnsi="Arial"/>
                <w:sz w:val="18"/>
                <w:szCs w:val="18"/>
                <w:color w:val="auto"/>
              </w:rPr>
              <w:t>Less than 1</w:t>
            </w: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gridSpan w:val="2"/>
            <w:vMerge w:val="continue"/>
          </w:tcPr>
          <w:p>
            <w:pPr>
              <w:spacing w:after="0"/>
              <w:rPr>
                <w:sz w:val="24"/>
                <w:szCs w:val="24"/>
                <w:color w:val="auto"/>
              </w:rPr>
            </w:pPr>
          </w:p>
        </w:tc>
        <w:tc>
          <w:tcPr>
            <w:tcW w:w="568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6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Note</w:t>
            </w: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1,132</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(1,469)</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common shares outstanding, basic and diluted</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41,453,603</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27,212,149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7"/>
              </w:rPr>
              <w:t>The accompanying notes are an integral part of these interim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4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9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2</w:t>
            </w: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w w:val="99"/>
              </w:rPr>
              <w:t>Preferred A Shares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6"/>
          </w:tcPr>
          <w:p>
            <w:pPr>
              <w:jc w:val="right"/>
              <w:ind w:right="600"/>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paid-</w:t>
            </w:r>
          </w:p>
        </w:tc>
        <w:tc>
          <w:tcPr>
            <w:tcW w:w="1200" w:type="dxa"/>
            <w:vAlign w:val="bottom"/>
            <w:gridSpan w:val="4"/>
          </w:tcPr>
          <w:p>
            <w:pPr>
              <w:ind w:left="8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shareholders’</w:t>
            </w:r>
          </w:p>
        </w:tc>
        <w:tc>
          <w:tcPr>
            <w:tcW w:w="900" w:type="dxa"/>
            <w:vAlign w:val="bottom"/>
            <w:gridSpan w:val="3"/>
          </w:tcPr>
          <w:p>
            <w:pPr>
              <w:ind w:left="20"/>
              <w:spacing w:after="0"/>
              <w:rPr>
                <w:sz w:val="20"/>
                <w:szCs w:val="20"/>
                <w:color w:val="auto"/>
              </w:rPr>
            </w:pPr>
            <w:r>
              <w:rPr>
                <w:rFonts w:ascii="Arial" w:cs="Arial" w:eastAsia="Arial" w:hAnsi="Arial"/>
                <w:sz w:val="16"/>
                <w:szCs w:val="16"/>
                <w:b w:val="1"/>
                <w:bCs w:val="1"/>
                <w:color w:val="auto"/>
              </w:rPr>
              <w:t>Temporary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auto"/>
              </w:rPr>
              <w:t>Number</w:t>
            </w:r>
          </w:p>
        </w:tc>
        <w:tc>
          <w:tcPr>
            <w:tcW w:w="8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Number</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in capital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equity</w:t>
            </w:r>
          </w:p>
        </w:tc>
        <w:tc>
          <w:tcPr>
            <w:tcW w:w="14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2016</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9,736</w:t>
            </w: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b w:val="1"/>
                <w:bCs w:val="1"/>
                <w:color w:val="auto"/>
                <w:w w:val="99"/>
              </w:rPr>
              <w:t>$</w:t>
            </w:r>
          </w:p>
        </w:tc>
        <w:tc>
          <w:tcPr>
            <w:tcW w:w="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8"/>
                <w:szCs w:val="18"/>
                <w:b w:val="1"/>
                <w:bCs w:val="1"/>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**26,550,974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14,465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(13,035)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1,696</w:t>
            </w:r>
          </w:p>
        </w:tc>
        <w:tc>
          <w:tcPr>
            <w:tcW w:w="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4,450,000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12,657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12,702</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120,000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479</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Exercise of options</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471,794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Cashless exercise of warrants</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w w:val="97"/>
              </w:rPr>
              <w:t>Extinguishment of convertible notes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w w:val="98"/>
              </w:rPr>
              <w:t>and issuance of preferred A shares</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3,255</w:t>
            </w: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2,676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Arial" w:cs="Arial" w:eastAsia="Arial" w:hAnsi="Arial"/>
                <w:sz w:val="16"/>
                <w:szCs w:val="16"/>
                <w:color w:val="auto"/>
                <w:w w:val="97"/>
              </w:rPr>
              <w:t>Conversion of preferred A shares to</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0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(8,990)</w:t>
            </w:r>
          </w:p>
        </w:tc>
        <w:tc>
          <w:tcPr>
            <w:tcW w:w="620" w:type="dxa"/>
            <w:vAlign w:val="bottom"/>
          </w:tcPr>
          <w:p>
            <w:pPr>
              <w:spacing w:after="0"/>
              <w:rPr>
                <w:sz w:val="17"/>
                <w:szCs w:val="17"/>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8,990,000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(7,589)</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(7,589)</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December 31, 2017</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4,001</w:t>
            </w: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b w:val="1"/>
                <w:bCs w:val="1"/>
                <w:color w:val="auto"/>
                <w:w w:val="99"/>
              </w:rPr>
              <w:t>$</w:t>
            </w:r>
          </w:p>
        </w:tc>
        <w:tc>
          <w:tcPr>
            <w:tcW w:w="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**40,583,127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406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30,182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(20,624)</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9,964</w:t>
            </w:r>
          </w:p>
        </w:tc>
        <w:tc>
          <w:tcPr>
            <w:tcW w:w="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416</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w w:val="97"/>
              </w:rPr>
              <w:t>Conversion of preferred A shares to</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common stock</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(1,537)</w:t>
            </w: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1,537,300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(1,469)</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(1,469)</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480" w:type="dxa"/>
            <w:vAlign w:val="bottom"/>
          </w:tcPr>
          <w:p>
            <w:pPr>
              <w:spacing w:after="0"/>
              <w:rPr>
                <w:sz w:val="20"/>
                <w:szCs w:val="20"/>
                <w:color w:val="auto"/>
              </w:rPr>
            </w:pPr>
            <w:r>
              <w:rPr>
                <w:rFonts w:ascii="Arial" w:cs="Arial" w:eastAsia="Arial" w:hAnsi="Arial"/>
                <w:sz w:val="16"/>
                <w:szCs w:val="16"/>
                <w:b w:val="1"/>
                <w:bCs w:val="1"/>
                <w:color w:val="auto"/>
              </w:rPr>
              <w:t>Balances, March 31, 2018</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2,464</w:t>
            </w:r>
          </w:p>
        </w:tc>
        <w:tc>
          <w:tcPr>
            <w:tcW w:w="620" w:type="dxa"/>
            <w:vAlign w:val="bottom"/>
          </w:tcPr>
          <w:p>
            <w:pPr>
              <w:jc w:val="right"/>
              <w:ind w:right="412"/>
              <w:spacing w:after="0"/>
              <w:rPr>
                <w:sz w:val="20"/>
                <w:szCs w:val="20"/>
                <w:color w:val="auto"/>
              </w:rPr>
            </w:pPr>
            <w:r>
              <w:rPr>
                <w:rFonts w:ascii="Arial" w:cs="Arial" w:eastAsia="Arial" w:hAnsi="Arial"/>
                <w:sz w:val="18"/>
                <w:szCs w:val="18"/>
                <w:b w:val="1"/>
                <w:bCs w:val="1"/>
                <w:color w:val="auto"/>
                <w:w w:val="99"/>
              </w:rPr>
              <w:t>$</w:t>
            </w:r>
          </w:p>
        </w:tc>
        <w:tc>
          <w:tcPr>
            <w:tcW w:w="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8"/>
                <w:szCs w:val="18"/>
                <w:b w:val="1"/>
                <w:bCs w:val="1"/>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**42,120,427</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421</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30,583</w:t>
            </w:r>
          </w:p>
        </w:tc>
        <w:tc>
          <w:tcPr>
            <w:tcW w:w="24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(22,093)</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8,911</w:t>
            </w: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Includes 10,702,838 common stock classified as temporary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20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b w:val="1"/>
                <w:bCs w:val="1"/>
                <w:color w:val="auto"/>
                <w:w w:val="94"/>
              </w:rPr>
              <w:t>Three months ended March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140" w:type="dxa"/>
            <w:vAlign w:val="bottom"/>
          </w:tcPr>
          <w:p>
            <w:pPr>
              <w:ind w:left="68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5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OPERATING ACTIVITIES</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(1,469)</w:t>
            </w:r>
          </w:p>
        </w:tc>
        <w:tc>
          <w:tcPr>
            <w:tcW w:w="1260" w:type="dxa"/>
            <w:vAlign w:val="bottom"/>
            <w:gridSpan w:val="2"/>
            <w:shd w:val="clear" w:color="auto" w:fill="CCEEFF"/>
          </w:tcPr>
          <w:p>
            <w:pPr>
              <w:jc w:val="right"/>
              <w:ind w:right="96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6"/>
          </w:tcPr>
          <w:p>
            <w:pPr>
              <w:ind w:left="160"/>
              <w:spacing w:after="0"/>
              <w:rPr>
                <w:sz w:val="20"/>
                <w:szCs w:val="20"/>
                <w:color w:val="auto"/>
              </w:rPr>
            </w:pPr>
            <w:r>
              <w:rPr>
                <w:rFonts w:ascii="Arial" w:cs="Arial" w:eastAsia="Arial" w:hAnsi="Arial"/>
                <w:sz w:val="18"/>
                <w:szCs w:val="18"/>
                <w:color w:val="auto"/>
              </w:rPr>
              <w:t>Depreciation</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Interest and revaluation of convertible notes, net</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6"/>
          </w:tcPr>
          <w:p>
            <w:pPr>
              <w:ind w:left="160"/>
              <w:spacing w:after="0"/>
              <w:rPr>
                <w:sz w:val="20"/>
                <w:szCs w:val="20"/>
                <w:color w:val="auto"/>
              </w:rPr>
            </w:pPr>
            <w:r>
              <w:rPr>
                <w:rFonts w:ascii="Arial" w:cs="Arial" w:eastAsia="Arial" w:hAnsi="Arial"/>
                <w:sz w:val="18"/>
                <w:szCs w:val="18"/>
                <w:color w:val="auto"/>
              </w:rPr>
              <w:t>Changes in fair value of derivative warrant liability</w:t>
            </w:r>
          </w:p>
        </w:tc>
        <w:tc>
          <w:tcPr>
            <w:tcW w:w="1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6"/>
          </w:tcPr>
          <w:p>
            <w:pPr>
              <w:ind w:left="160"/>
              <w:spacing w:after="0"/>
              <w:rPr>
                <w:sz w:val="20"/>
                <w:szCs w:val="20"/>
                <w:color w:val="auto"/>
              </w:rPr>
            </w:pPr>
            <w:r>
              <w:rPr>
                <w:rFonts w:ascii="Arial" w:cs="Arial" w:eastAsia="Arial" w:hAnsi="Arial"/>
                <w:sz w:val="18"/>
                <w:szCs w:val="18"/>
                <w:color w:val="auto"/>
              </w:rPr>
              <w:t>Changes in assets and liabilities:</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gridSpan w:val="6"/>
          </w:tcPr>
          <w:p>
            <w:pPr>
              <w:ind w:left="340"/>
              <w:spacing w:after="0"/>
              <w:rPr>
                <w:sz w:val="20"/>
                <w:szCs w:val="20"/>
                <w:color w:val="auto"/>
              </w:rPr>
            </w:pPr>
            <w:r>
              <w:rPr>
                <w:rFonts w:ascii="Arial" w:cs="Arial" w:eastAsia="Arial" w:hAnsi="Arial"/>
                <w:sz w:val="18"/>
                <w:szCs w:val="18"/>
                <w:color w:val="auto"/>
              </w:rPr>
              <w:t>Other payables and accrued liabilities</w:t>
            </w:r>
          </w:p>
        </w:tc>
        <w:tc>
          <w:tcPr>
            <w:tcW w:w="11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520" w:type="dxa"/>
            <w:vAlign w:val="bottom"/>
            <w:gridSpan w:val="6"/>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1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(1,194)</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52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INVESTMENT ACTIVITIES</w:t>
            </w: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520" w:type="dxa"/>
            <w:vAlign w:val="bottom"/>
            <w:gridSpan w:val="6"/>
          </w:tcPr>
          <w:p>
            <w:pPr>
              <w:spacing w:after="0"/>
              <w:rPr>
                <w:sz w:val="20"/>
                <w:szCs w:val="20"/>
                <w:color w:val="auto"/>
              </w:rPr>
            </w:pPr>
            <w:r>
              <w:rPr>
                <w:rFonts w:ascii="Arial" w:cs="Arial" w:eastAsia="Arial" w:hAnsi="Arial"/>
                <w:sz w:val="18"/>
                <w:szCs w:val="18"/>
                <w:color w:val="auto"/>
              </w:rPr>
              <w:t>Purchase of property and equipment</w:t>
            </w:r>
          </w:p>
        </w:tc>
        <w:tc>
          <w:tcPr>
            <w:tcW w:w="11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6"/>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52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6"/>
          </w:tcPr>
          <w:p>
            <w:pPr>
              <w:spacing w:after="0"/>
              <w:rPr>
                <w:sz w:val="20"/>
                <w:szCs w:val="20"/>
                <w:color w:val="auto"/>
              </w:rPr>
            </w:pPr>
            <w:r>
              <w:rPr>
                <w:rFonts w:ascii="Arial" w:cs="Arial" w:eastAsia="Arial" w:hAnsi="Arial"/>
                <w:sz w:val="18"/>
                <w:szCs w:val="18"/>
                <w:color w:val="auto"/>
                <w:w w:val="99"/>
              </w:rPr>
              <w:t>Outflow in connection with current assets and liabilities acquired in reverse recapitalization, net</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5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 and restricted cash</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(1,327)</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5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at the beginning of the period</w:t>
            </w:r>
          </w:p>
        </w:tc>
        <w:tc>
          <w:tcPr>
            <w:tcW w:w="1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10,814</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at the end of the period</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96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384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Supplemental disclosure of cash flow information:</w:t>
            </w:r>
          </w:p>
        </w:tc>
        <w:tc>
          <w:tcPr>
            <w:tcW w:w="36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20" w:type="dxa"/>
            <w:vAlign w:val="bottom"/>
            <w:tcBorders>
              <w:bottom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Non-cash financing transactions:</w:t>
            </w:r>
          </w:p>
        </w:tc>
        <w:tc>
          <w:tcPr>
            <w:tcW w:w="5000" w:type="dxa"/>
            <w:vAlign w:val="bottom"/>
            <w:tcBorders>
              <w:bottom w:val="single" w:sz="8" w:color="CCEEFF"/>
            </w:tcBorders>
            <w:gridSpan w:val="2"/>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20" w:type="dxa"/>
            <w:vAlign w:val="bottom"/>
            <w:gridSpan w:val="6"/>
          </w:tcPr>
          <w:p>
            <w:pPr>
              <w:spacing w:after="0"/>
              <w:rPr>
                <w:sz w:val="20"/>
                <w:szCs w:val="20"/>
                <w:color w:val="auto"/>
              </w:rPr>
            </w:pPr>
            <w:r>
              <w:rPr>
                <w:rFonts w:ascii="Arial" w:cs="Arial" w:eastAsia="Arial" w:hAnsi="Arial"/>
                <w:sz w:val="18"/>
                <w:szCs w:val="18"/>
                <w:color w:val="auto"/>
              </w:rPr>
              <w:t>Cashless exercise of warrants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60" w:type="dxa"/>
            <w:vAlign w:val="bottom"/>
            <w:gridSpan w:val="2"/>
          </w:tcPr>
          <w:p>
            <w:pPr>
              <w:jc w:val="right"/>
              <w:ind w:right="96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tcBorders>
              <w:top w:val="single" w:sz="8" w:color="CCEEFF"/>
              <w:bottom w:val="single" w:sz="8" w:color="CCEEFF"/>
            </w:tcBorders>
            <w:gridSpan w:val="6"/>
            <w:shd w:val="clear" w:color="auto" w:fill="CCEEFF"/>
          </w:tcPr>
          <w:p>
            <w:pPr>
              <w:spacing w:after="0" w:line="190" w:lineRule="exact"/>
              <w:rPr>
                <w:sz w:val="20"/>
                <w:szCs w:val="20"/>
                <w:color w:val="auto"/>
              </w:rPr>
            </w:pPr>
            <w:r>
              <w:rPr>
                <w:rFonts w:ascii="Arial" w:cs="Arial" w:eastAsia="Arial" w:hAnsi="Arial"/>
                <w:sz w:val="18"/>
                <w:szCs w:val="18"/>
                <w:color w:val="auto"/>
              </w:rPr>
              <w:t>Conversion of preferred A shares into common shares</w:t>
            </w:r>
          </w:p>
        </w:tc>
        <w:tc>
          <w:tcPr>
            <w:tcW w:w="1140" w:type="dxa"/>
            <w:vAlign w:val="bottom"/>
            <w:tcBorders>
              <w:top w:val="single" w:sz="8" w:color="auto"/>
              <w:bottom w:val="single" w:sz="8" w:color="auto"/>
            </w:tcBorders>
            <w:shd w:val="clear" w:color="auto" w:fill="CCEEFF"/>
          </w:tcPr>
          <w:p>
            <w:pPr>
              <w:jc w:val="right"/>
              <w:ind w:right="95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81"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1" w:lineRule="exact"/>
        <w:rPr>
          <w:rFonts w:ascii="Arial" w:cs="Arial" w:eastAsia="Arial" w:hAnsi="Arial"/>
          <w:sz w:val="18"/>
          <w:szCs w:val="18"/>
          <w:b w:val="1"/>
          <w:bCs w:val="1"/>
          <w:color w:val="auto"/>
        </w:rPr>
      </w:pPr>
    </w:p>
    <w:p>
      <w:pPr>
        <w:jc w:val="both"/>
        <w:ind w:left="6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November 28, 2016, the Company consummated a transaction pursuant to an Agreement and Plan of Merger, dated August 15, 2016, with Microbot Medical Ltd., a private medical device company organized under the laws of the State of Israel (“Microbot Israel”), and C&amp;RD Israel Ltd. (“Merger Sub”), an Israeli corporation and wholly-owned subsidiary of the Company, whereby Merger Sub merged with and into Microbot Israel and Microbot Israel surviving as a wholly-owned subsidiary of the Company (the “Merger”). Pursuant to the terms of the Merger, at the effective time of the Merger, each outstanding ordinary share of Microbot Israel capital stock was converted into the right to receive approximately 2.9 shares of the Company’s common stock, par value $0.01 per share, after giving effect to a one for nine reverse stock split (the “Reverse Stock Split”), for an aggregate of 26,550,974 shares of Company’s common Stock issued to the former Microbot Israel shareholders. In addition, all outstanding options to purchase the ordinary shares of Microbot Israel were assumed by the Company and converted into options to purchase an aggregate of 2,614,916 shares of the Company’s common stock. Additionally, the Company issued an aggregate of 7,802,639 restricted shares of its common stock or rights to receive the Company’s common stock, to certain advisers. On the same day and in connection with the Merger, the Company changed its name from StemCells, Inc. to Microbot Medical Inc. On November 29, 2016, the Company’s common stock began trading on the Nasdaq Capital Market under the symbol “MBOT”.</w:t>
      </w:r>
    </w:p>
    <w:p>
      <w:pPr>
        <w:spacing w:after="0" w:line="179" w:lineRule="exact"/>
        <w:rPr>
          <w:rFonts w:ascii="Arial" w:cs="Arial" w:eastAsia="Arial" w:hAnsi="Arial"/>
          <w:sz w:val="18"/>
          <w:szCs w:val="18"/>
          <w:b w:val="1"/>
          <w:bCs w:val="1"/>
          <w:color w:val="auto"/>
        </w:rPr>
      </w:pPr>
    </w:p>
    <w:p>
      <w:pPr>
        <w:jc w:val="both"/>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As a result of the Merger, Microbot Israel became a wholly owned subsidiary of the Company. The transaction between the Company and Microbot Israel was accounted for as a reverse recapitalization. As the shareholders of Microbot Israel received the largest ownership interest in the Company, Microbot Israel was determined to be the “accounting acquirer” in the reverse recapitalization. As a result, the historical financial statements of the Company were replaced with the historical financial statements of Microbot Israel. Unless indicated otherwise, pre-acquisition share, options and warrants data included in these financial statements is retroactively adjusted to reflect the Reverse Stock Split and the Merger.</w:t>
      </w:r>
    </w:p>
    <w:p>
      <w:pPr>
        <w:spacing w:after="0" w:line="15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the Merger, the Company was a biopharmaceutical company that conducted research, development, and commercialization of stem cell therapeutics and related technologies. The sale of substantially all material assets relating to the stem cell business were completed on November 29, 2016.</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collectively referred to as the “Company”. “StemCells” or “StemCells, Inc.” refers to the Company prior to the Merger.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To date, the Company has not generated revenues from its operations. As of March 31, 2018, the Company had cash and cash equivalent balance of approximately $9,500, which management believes is sufficient to fund its operations for more than 12 months from the date of issuance of these financial statements and sufficient to fund its operations necessary to continue development activities of its current proposed products. Due to continuing research and development activities, the Company expects to continue to incur net losses into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and others.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63"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Use of Estimates</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Operating results for the three-month period ended March 31, 2018, are not necessarily indicative of the results that may be expected for the year ended December 31,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significant accounting policies followed in the preparation of these unaudited interim condensed consolidated financial statements are identical to those applied in the preparation of the latest annual audited financial statements.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May 2014, the FASB issued ASU 2014-09 “Revenue from Contracts with Customers” to provide a single comprehensive model for entities to use in accounting for revenue arising from contracts with customers. The ASU supersedes most current revenue recognition guidance, including industry-specific guidance. The FASB subsequently issued ASU 2015-14, ASU 2016-08 and ASU 2016-12, which clarified the guidance, provided scope improvements and amended the effective date of ASU 2014-09. As a result, ASU 2014-09 becomes effective for the Company in the first quarter of 2018, with early adoption permitted. The adoption of this standard did not have a material impact on our interim consolidated statements of comprehensive loss since the Company has not yet generated revenues to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February 2016, the FASB issued ASU 2016-02 “Leases” to increase transparency and comparability among organizations by recognizing lease assets and lease liabilities on the balance sheet and disclosing key information about leasing arrangements. For operating leases, the ASU requires a lessee to recognize a right-of-use asset and a lease liability, initially measured at the present value of the lease payments, on its balance sheet. The ASU retains the current accounting for lessors and does not make significant changes to the recognition, measurement, and presentation of expenses and cash flows by a lessee. This ASU is effective for the Company in the first quarter of 2019, with early adoption permitted. The Company continues to evaluate the effect of the adoption of this ASU and expects the adoption will result in an increase in the assets and liabilities on the consolidated balance sheets for operating leases (refer to Note 5) and will likely have an insignificant impact on the consolidated statements of comprehensive loss.</w:t>
      </w:r>
    </w:p>
    <w:p>
      <w:pPr>
        <w:spacing w:after="0" w:line="192"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is currently evaluating the effect the adoption of this ASU will have on its consolidated financial statements.</w:t>
      </w:r>
    </w:p>
    <w:p>
      <w:pPr>
        <w:spacing w:after="0" w:line="154"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In May 2017, the Financial Accounting Standards Board (“FASB”) issued Accounting Standards Update (“ASU”) No. 2017-09, “Compensation-Stock Compensation (Topic 718): Scope of Modification Accounting,” which clarifies when a change to terms or conditions of a share-based payment award must be accounted for as a modification. The new guidance requires modification accounting if the vesting condition, fair value or the award classification is not the same both before and after a change to the terms and conditions of the award. The new guidance is effective for the Company on a prospective basis beginning on January 1, 2018 and early adoption is permitted. The Company has not changed terms or conditions of share-based payment awards, and therefore, this guidance did not have an impact on the Company’s interim consolidated financial statements.</w:t>
      </w:r>
    </w:p>
    <w:p>
      <w:pPr>
        <w:spacing w:after="0" w:line="16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July 2017, the FASB issued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The ASU makes limited changes to the Board’s guidance on classifying certain financial instruments as either liabilities or equity. The ASU’s objective is to improve (1) the accounting for instruments with “down-round” provisions and (2) the readability of the guidance in ASC 480 on distinguishing liabilities from equity by replacing the indefinite deferral of certain pending content with scope exceptions. The ASU is effective for the Company in the first quarter of 2019, with early adoption permitted. The Company has derivative warranty liabilities as discussed in Note 4 which upon adoption of the new standard are expected to be classified as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CONVERTIBLE LOAN FROM SHAREHOLDERS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October 8, 2015, Microbot Israel entered into a convertible loan agreement with several investors who were also existing shareholders. According to the loan agreement, Microbot Israel received an amount of $419. The loan bore interest of 10% and was converted to both equity shares and preferred shares warrants of Microbot Israel on the nine-month anniversary of the loan. The Company concluded the conversion feature is not a Beneficial Conversion Feature pursuant to the provisions of ASC 470-20, “Debt with Conversion and Other Options”. Accordingly, the proceeds were recorded in liabilities in their entirety at the date of issuance.</w:t>
      </w:r>
    </w:p>
    <w:p>
      <w:pPr>
        <w:spacing w:after="0" w:line="18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On July 7, 2016, the outstanding principal and accrued interest were converted into 1,315,023 Series A preferred shares, of Microbot Israel (the “Series A Preferred Shares”) and 1,188,275 warrants to purchase the Series A Preferred Shares, at an exercise price of $1.00 per share. The preferred shares warrants were exercised in full in September 2016 for total gross proceeds to Microbot Israel of $410.</w:t>
      </w:r>
    </w:p>
    <w:p>
      <w:pPr>
        <w:spacing w:after="0" w:line="16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May 11, 2016, Microbot Israel entered into a convertible loan agreement with several investors who were also existing shareholders. The loan bore interest at a fixed rate of 10% per annum beginning on the issuance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ind w:right="66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u w:val="single" w:color="auto"/>
          <w:color w:val="auto"/>
        </w:rPr>
        <w:t>NOTES TO INTERIM CONSOLIDATED FINANCIAL STATEMENTS (Cont’d)</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maturity, all of the outstanding principal and accrued interest was converted into Microbot Israel’s ordinary shares subject to the conversion or default events specified in the loan agreement, based on a conversion price that represents a 20% discount on Microbot Israel’s valuation upon such default events.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28, 2016, upon the consummation of the Merger, the loan was converted into an aggregate of 2,242,939 shares of Company’s common stock.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concluded the value of the loan is predominantly based on a fixed monetary amount known at the date of issuance as represented by the 20% discount on the Company’s valuation. Accordingly, the loan was classified as debt and was measured at its fair value, pursuant to the provisions of ASC 480-10, “Accounting for Certain Financial instruments with Characteristics of both Liabilities and Equity”.</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the loan was measured based on observable inputs as the fixed monetary value of the variable number of shares to be issued upon conversion (level 2 measurement).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Note to Alpha Capital Anstalt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15, 2016, concurrent with the execution of the Agreement and Plan of Merger (see Note 1A), StemCells Inc. issued a 6.0% secured note (the “Note”) to Alpha Capital Anstalt (“Alpha Capital”), in the principal amount of $2,000, for value received, payable upon the earlier of (i) 30 days following the consummation of the Merger and (ii) December 31, 2016. Proceeds from the Note were used for the payment of costs and expenses in connection with the Merger and operational expenses leading to such closing.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Note bore interest at 6% per annum, payable monthly in arrears on the first of the month, beginning on January 1, 2017 until the principal amount is paid in full. In addition, the Note was secured by a first priority security interest in all of the Company’s intellectual property and certain other general assets pursuant to a Security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the effective time of the Merger, the Company entered into a Securities Exchange Agreement (the “Exchange Agreement”) with Alpha Capital, providing for the issuance to Alpha Capital of a convertible promissory note by the Company (the “Convertible Note”) in a principal amount of $2,029, which is equal to the principal and accrued interest under the Note, in exchange for (a) the full satisfaction, termination and cancellation of the Note and (b) the release and termination of the Security Agreement and the first priority security interest granted thereunder.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Convertible Note was convertible into the Company’s Common Stock any time after November 28, 2017 and until the maturity date of November 28, 2019, based on a conversion price of $0.64, subject to adjustments as provided in the Exchange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Convertible Note, the Company was obligated to pay interest on the outstanding principal amount owed under the Convertible Note at a fixed rate per annum of 6.0%, payable at maturity or earlier upon conversion. The Exchange Agreement contained customary representations and warranties and usual and customary affirmative and negative covenants. The Convertible Note also contained certain customary events of default.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the Exchange Agreement represented the consummation of the original intent of the Company and Alpha Capital, as of the date of execution of the Merger Agreement (August 2016), to enter into a $2 million convertible note sale transaction, upon the consummation of the Merger, the Company accounted for the Convertible Note in accordance with such economic substance, as if it had been issued for a cash consideration equal to the principal and accrued interest on the Note, as of the effective date of the Merger, in the amount of $2,029 (the “Assumed Consideration”), which is equal to the principal amount of the Convertible Note as determined in the Exchange Agreement.</w:t>
      </w:r>
    </w:p>
    <w:p>
      <w:pPr>
        <w:spacing w:after="0" w:line="17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concluded the conversion feature of the Convertible Note, based on the commitment date of November 28 2016 (the Exchange Agreement date), is a Beneficial Conversion Feature pursuant to the provisions of ASC 470-20, “Debt with Conversion and Other Options”. Accordingly, $2,029 of the Assumed Consideration was recorded in equity with a corresponding discount on the Convertible Note, to be amortized over its term through maturity.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Note 6 – Securities Exchange Agreement with Alpha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DERIVATIVE WARRANT LIABILITIES</w:t>
      </w:r>
    </w:p>
    <w:p>
      <w:pPr>
        <w:spacing w:after="0" w:line="229"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As part of StemCell’s obligations under the Merger Agreement, in August 2016, StemCells negotiated with certain institutional holders of its 2016 Series A and Series B Warrants, issued by prior to the Merger, to have such holders surrender their 2016 Series B Warrants in exchange for a reduced exercise price of $0.30 per share on their existing 2016 Series A Warrants and the elimination of the anti-dilution price protection in the 2016 Series A Warrants. As a result, the exercise price for all outstanding 2011 Series A Warrants and 2016 Series A and Series B Warrants was reset to $0.30 per share. Subsequent to the reset of the exercise price, an aggregate of 531,814 (from an outstanding aggregate of 578,081) 2011 Series A Warrants were exercised. For the exercise of these warrants, the Company issued 531,814 shares of its common stock prior to the Merger.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outstanding warrants and terms as of March 31, 2018 and December 31, 2017 is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Outstanding as of</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Exercisable as of</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Outstanding as of</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March 31,</w:t>
            </w:r>
          </w:p>
        </w:tc>
        <w:tc>
          <w:tcPr>
            <w:tcW w:w="24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40" w:type="dxa"/>
            <w:vAlign w:val="bottom"/>
            <w:gridSpan w:val="2"/>
          </w:tcPr>
          <w:p>
            <w:pPr>
              <w:ind w:left="280"/>
              <w:spacing w:after="0"/>
              <w:rPr>
                <w:sz w:val="20"/>
                <w:szCs w:val="20"/>
                <w:color w:val="auto"/>
              </w:rPr>
            </w:pPr>
            <w:r>
              <w:rPr>
                <w:rFonts w:ascii="Arial" w:cs="Arial" w:eastAsia="Arial" w:hAnsi="Arial"/>
                <w:sz w:val="18"/>
                <w:szCs w:val="18"/>
                <w:b w:val="1"/>
                <w:bCs w:val="1"/>
                <w:color w:val="auto"/>
              </w:rPr>
              <w:t>Issuance date</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December 31, 2017</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Through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(2013)</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57,814</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57,814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194.40</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57,814</w:t>
            </w: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October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Series A (2013)</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2,718</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2,718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183.60</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2,718</w:t>
            </w: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April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(2015)</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10,139</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10,139</w:t>
            </w: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Series A (2016) (a)</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9,279</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March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(2016) (a)</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41,116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41,116</w:t>
            </w: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17068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22" w:lineRule="exact"/>
        <w:rPr>
          <w:sz w:val="20"/>
          <w:szCs w:val="20"/>
          <w:color w:val="auto"/>
        </w:rPr>
      </w:pPr>
    </w:p>
    <w:p>
      <w:pPr>
        <w:jc w:val="both"/>
        <w:ind w:left="9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 As such anti-dilution price protection does not meet the specific conditions for equity classification, the Company is required to classify the fair value of these warrants as a liability, with changes in fair value to be recorded as income (loss) due to change in fair value of warrant liability. The estimated fair value of our warrant liability at March 31, 2018 and December 31, 2017, was approximately $15 and $28, respectively.</w:t>
      </w:r>
    </w:p>
    <w:p>
      <w:pPr>
        <w:spacing w:after="0" w:line="19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quoted prices in active markets for identical or similar warrants are not available, the Company uses directly observable inputs in the valuation of its derivative warrant liabilities (level 2 measurement).</w:t>
      </w:r>
    </w:p>
    <w:p>
      <w:pPr>
        <w:spacing w:after="0" w:line="1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Company uses the Black-Scholes valuation model to estimate fair value of these warrants. In using this model, the Company makes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NASDAQ. The expected term of the warrants is based on the time to expiration of the warrants from the date of measurement.</w:t>
      </w:r>
    </w:p>
    <w:p>
      <w:pPr>
        <w:spacing w:after="0" w:line="17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March 2017, an institutional holder executed a cashless exercise of 768 warrants and 359 shares of Common Stock were issued in connection therewith.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center"/>
        <w:ind w:right="66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u w:val="single" w:color="auto"/>
          <w:color w:val="auto"/>
        </w:rPr>
        <w:t>NOTES TO INTERIM CONSOLIDATED FINANCIAL STATEMENTS (Cont’d)</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observable inputs used in the valuation of the derivative warrant liabilities as of March 31, 2018 and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Series A</w:t>
            </w:r>
          </w:p>
        </w:tc>
        <w:tc>
          <w:tcPr>
            <w:tcW w:w="940" w:type="dxa"/>
            <w:vAlign w:val="bottom"/>
            <w:gridSpan w:val="3"/>
          </w:tcPr>
          <w:p>
            <w:pPr>
              <w:ind w:left="40"/>
              <w:spacing w:after="0"/>
              <w:rPr>
                <w:sz w:val="20"/>
                <w:szCs w:val="20"/>
                <w:color w:val="auto"/>
              </w:rPr>
            </w:pPr>
            <w:r>
              <w:rPr>
                <w:rFonts w:ascii="Arial" w:cs="Arial" w:eastAsia="Arial" w:hAnsi="Arial"/>
                <w:sz w:val="18"/>
                <w:szCs w:val="18"/>
                <w:b w:val="1"/>
                <w:bCs w:val="1"/>
                <w:color w:val="auto"/>
              </w:rPr>
              <w:t>Series A</w:t>
            </w:r>
          </w:p>
        </w:tc>
        <w:tc>
          <w:tcPr>
            <w:tcW w:w="940" w:type="dxa"/>
            <w:vAlign w:val="bottom"/>
            <w:gridSpan w:val="3"/>
          </w:tcPr>
          <w:p>
            <w:pPr>
              <w:ind w:left="60"/>
              <w:spacing w:after="0"/>
              <w:rPr>
                <w:sz w:val="20"/>
                <w:szCs w:val="20"/>
                <w:color w:val="auto"/>
              </w:rPr>
            </w:pPr>
            <w:r>
              <w:rPr>
                <w:rFonts w:ascii="Arial" w:cs="Arial" w:eastAsia="Arial" w:hAnsi="Arial"/>
                <w:sz w:val="18"/>
                <w:szCs w:val="18"/>
                <w:b w:val="1"/>
                <w:bCs w:val="1"/>
                <w:color w:val="auto"/>
              </w:rPr>
              <w:t>Series A</w:t>
            </w:r>
          </w:p>
        </w:tc>
        <w:tc>
          <w:tcPr>
            <w:tcW w:w="940" w:type="dxa"/>
            <w:vAlign w:val="bottom"/>
            <w:gridSpan w:val="3"/>
          </w:tcPr>
          <w:p>
            <w:pPr>
              <w:ind w:left="60"/>
              <w:spacing w:after="0"/>
              <w:rPr>
                <w:sz w:val="20"/>
                <w:szCs w:val="20"/>
                <w:color w:val="auto"/>
              </w:rPr>
            </w:pPr>
            <w:r>
              <w:rPr>
                <w:rFonts w:ascii="Arial" w:cs="Arial" w:eastAsia="Arial" w:hAnsi="Arial"/>
                <w:sz w:val="18"/>
                <w:szCs w:val="18"/>
                <w:b w:val="1"/>
                <w:bCs w:val="1"/>
                <w:color w:val="auto"/>
              </w:rPr>
              <w:t>Series A</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8"/>
              </w:rPr>
              <w:t>Series A</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8"/>
              </w:rPr>
              <w:t>Series B</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(2011)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(2013)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(2013)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(2015)</w:t>
            </w:r>
          </w:p>
        </w:tc>
        <w:tc>
          <w:tcPr>
            <w:tcW w:w="200" w:type="dxa"/>
            <w:vAlign w:val="bottom"/>
          </w:tcPr>
          <w:p>
            <w:pPr>
              <w:spacing w:after="0"/>
              <w:rPr>
                <w:sz w:val="20"/>
                <w:szCs w:val="20"/>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(2016)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Total</w:t>
            </w:r>
          </w:p>
        </w:tc>
      </w:tr>
      <w:tr>
        <w:trPr>
          <w:trHeight w:val="216"/>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Exercised</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Changes in fair value</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March 31, 2018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17068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observable inputs used in the valuation of the derivative warrant liabilities as of March 31, 2018 and December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224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As of March 31, 2018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7"/>
              </w:rPr>
              <w:t>As of December 31, 2017</w:t>
            </w:r>
          </w:p>
        </w:tc>
      </w:tr>
      <w:tr>
        <w:trPr>
          <w:trHeight w:val="198"/>
        </w:trPr>
        <w:tc>
          <w:tcPr>
            <w:tcW w:w="460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Series A</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jc w:val="right"/>
              <w:ind w:right="150"/>
              <w:spacing w:after="0" w:line="198" w:lineRule="exact"/>
              <w:rPr>
                <w:sz w:val="20"/>
                <w:szCs w:val="20"/>
                <w:color w:val="auto"/>
              </w:rPr>
            </w:pPr>
            <w:r>
              <w:rPr>
                <w:rFonts w:ascii="Arial" w:cs="Arial" w:eastAsia="Arial" w:hAnsi="Arial"/>
                <w:sz w:val="18"/>
                <w:szCs w:val="18"/>
                <w:b w:val="1"/>
                <w:bCs w:val="1"/>
                <w:color w:val="auto"/>
              </w:rPr>
              <w:t>Series B</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w w:val="94"/>
              </w:rPr>
              <w:t>Series A</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7"/>
              </w:rPr>
              <w:t>Series B</w:t>
            </w:r>
          </w:p>
        </w:tc>
        <w:tc>
          <w:tcPr>
            <w:tcW w:w="160" w:type="dxa"/>
            <w:vAlign w:val="bottom"/>
          </w:tcPr>
          <w:p>
            <w:pPr>
              <w:spacing w:after="0"/>
              <w:rPr>
                <w:sz w:val="17"/>
                <w:szCs w:val="17"/>
                <w:color w:val="auto"/>
              </w:rPr>
            </w:pPr>
          </w:p>
        </w:tc>
      </w:tr>
      <w:tr>
        <w:trPr>
          <w:trHeight w:val="241"/>
        </w:trPr>
        <w:tc>
          <w:tcPr>
            <w:tcW w:w="46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w:t>
            </w: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0.69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Exercise price</w:t>
            </w:r>
          </w:p>
        </w:tc>
        <w:tc>
          <w:tcPr>
            <w:tcW w:w="8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0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w w:val="74"/>
              </w:rPr>
              <w:t>2.70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2.70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Risk-free interest</w:t>
            </w:r>
          </w:p>
        </w:tc>
        <w:tc>
          <w:tcPr>
            <w:tcW w:w="8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2"/>
              </w:rPr>
              <w:t>2.39%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86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w w:val="74"/>
              </w:rPr>
              <w:t>4.00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r>
      <w:tr>
        <w:trPr>
          <w:trHeight w:val="418"/>
        </w:trPr>
        <w:tc>
          <w:tcPr>
            <w:tcW w:w="5700" w:type="dxa"/>
            <w:vAlign w:val="bottom"/>
            <w:gridSpan w:val="3"/>
          </w:tcPr>
          <w:p>
            <w:pPr>
              <w:spacing w:after="0"/>
              <w:rPr>
                <w:sz w:val="20"/>
                <w:szCs w:val="20"/>
                <w:color w:val="auto"/>
              </w:rPr>
            </w:pPr>
            <w:r>
              <w:rPr>
                <w:rFonts w:ascii="Arial" w:cs="Arial" w:eastAsia="Arial" w:hAnsi="Arial"/>
                <w:sz w:val="18"/>
                <w:szCs w:val="18"/>
                <w:color w:val="auto"/>
              </w:rPr>
              <w:t>Activity in such liabilities measured on a recurring basis is as follows: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4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Derivative</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6"/>
              </w:rPr>
              <w:t>Warrant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4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Liabilities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8"/>
                <w:szCs w:val="18"/>
                <w:color w:val="auto"/>
              </w:rPr>
              <w:t>Revaluation of warrants</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March 31, 2018</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900" w:top="6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434784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Revaluation of warrants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Exercise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434784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17068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3972"/>
        <w:spacing w:after="0"/>
        <w:rPr>
          <w:sz w:val="20"/>
          <w:szCs w:val="20"/>
          <w:color w:val="auto"/>
        </w:rPr>
      </w:pPr>
      <w:r>
        <w:rPr>
          <w:rFonts w:ascii="Arial" w:cs="Arial" w:eastAsia="Arial" w:hAnsi="Arial"/>
          <w:sz w:val="18"/>
          <w:szCs w:val="18"/>
          <w:b w:val="1"/>
          <w:bCs w:val="1"/>
          <w:color w:val="auto"/>
        </w:rPr>
        <w:t>Derivative</w:t>
      </w:r>
    </w:p>
    <w:p>
      <w:pPr>
        <w:spacing w:after="0" w:line="27" w:lineRule="exact"/>
        <w:rPr>
          <w:sz w:val="20"/>
          <w:szCs w:val="20"/>
          <w:color w:val="auto"/>
        </w:rPr>
      </w:pPr>
    </w:p>
    <w:p>
      <w:pPr>
        <w:jc w:val="center"/>
        <w:ind w:right="3972"/>
        <w:spacing w:after="0"/>
        <w:rPr>
          <w:sz w:val="20"/>
          <w:szCs w:val="20"/>
          <w:color w:val="auto"/>
        </w:rPr>
      </w:pPr>
      <w:r>
        <w:rPr>
          <w:rFonts w:ascii="Arial" w:cs="Arial" w:eastAsia="Arial" w:hAnsi="Arial"/>
          <w:sz w:val="18"/>
          <w:szCs w:val="18"/>
          <w:b w:val="1"/>
          <w:bCs w:val="1"/>
          <w:color w:val="auto"/>
        </w:rPr>
        <w:t>Warrant</w:t>
      </w:r>
    </w:p>
    <w:p>
      <w:pPr>
        <w:spacing w:after="0" w:line="9" w:lineRule="exact"/>
        <w:rPr>
          <w:sz w:val="20"/>
          <w:szCs w:val="20"/>
          <w:color w:val="auto"/>
        </w:rPr>
      </w:pPr>
    </w:p>
    <w:p>
      <w:pPr>
        <w:jc w:val="center"/>
        <w:ind w:right="3972"/>
        <w:spacing w:after="0"/>
        <w:rPr>
          <w:sz w:val="20"/>
          <w:szCs w:val="20"/>
          <w:color w:val="auto"/>
        </w:rPr>
      </w:pPr>
      <w:r>
        <w:rPr>
          <w:rFonts w:ascii="Arial" w:cs="Arial" w:eastAsia="Arial" w:hAnsi="Arial"/>
          <w:sz w:val="18"/>
          <w:szCs w:val="18"/>
          <w:b w:val="1"/>
          <w:bCs w:val="1"/>
          <w:color w:val="auto"/>
        </w:rPr>
        <w:t>Liabilities</w:t>
      </w:r>
    </w:p>
    <w:p>
      <w:pPr>
        <w:spacing w:after="0" w:line="22" w:lineRule="exact"/>
        <w:rPr>
          <w:sz w:val="20"/>
          <w:szCs w:val="20"/>
          <w:color w:val="auto"/>
        </w:rPr>
      </w:pPr>
    </w:p>
    <w:p>
      <w:pPr>
        <w:ind w:left="1048" w:hanging="1048"/>
        <w:spacing w:after="0"/>
        <w:tabs>
          <w:tab w:leader="none" w:pos="1048" w:val="left"/>
        </w:tabs>
        <w:numPr>
          <w:ilvl w:val="0"/>
          <w:numId w:val="4"/>
        </w:numPr>
        <w:rPr>
          <w:rFonts w:ascii="Arial" w:cs="Arial" w:eastAsia="Arial" w:hAnsi="Arial"/>
          <w:sz w:val="18"/>
          <w:szCs w:val="18"/>
          <w:color w:val="auto"/>
        </w:rPr>
      </w:pPr>
      <w:r>
        <w:rPr>
          <w:rFonts w:ascii="Arial" w:cs="Arial" w:eastAsia="Arial" w:hAnsi="Arial"/>
          <w:sz w:val="18"/>
          <w:szCs w:val="18"/>
          <w:color w:val="auto"/>
        </w:rPr>
        <w:t>313</w:t>
      </w:r>
    </w:p>
    <w:p>
      <w:pPr>
        <w:spacing w:after="0" w:line="23" w:lineRule="exact"/>
        <w:rPr>
          <w:rFonts w:ascii="Arial" w:cs="Arial" w:eastAsia="Arial" w:hAnsi="Arial"/>
          <w:sz w:val="18"/>
          <w:szCs w:val="18"/>
          <w:color w:val="auto"/>
        </w:rPr>
      </w:pPr>
    </w:p>
    <w:p>
      <w:pPr>
        <w:jc w:val="right"/>
        <w:ind w:left="1168" w:right="3920" w:hanging="180"/>
        <w:spacing w:after="0" w:line="289" w:lineRule="auto"/>
        <w:rPr>
          <w:rFonts w:ascii="Arial" w:cs="Arial" w:eastAsia="Arial" w:hAnsi="Arial"/>
          <w:sz w:val="18"/>
          <w:szCs w:val="18"/>
          <w:color w:val="auto"/>
        </w:rPr>
      </w:pPr>
      <w:r>
        <w:rPr>
          <w:rFonts w:ascii="Arial" w:cs="Arial" w:eastAsia="Arial" w:hAnsi="Arial"/>
          <w:sz w:val="17"/>
          <w:szCs w:val="17"/>
          <w:color w:val="auto"/>
        </w:rPr>
        <w:t>(285) (*)</w:t>
      </w:r>
    </w:p>
    <w:p>
      <w:pPr>
        <w:spacing w:after="0" w:line="1" w:lineRule="exact"/>
        <w:rPr>
          <w:sz w:val="20"/>
          <w:szCs w:val="20"/>
          <w:color w:val="auto"/>
        </w:rPr>
      </w:pPr>
    </w:p>
    <w:p>
      <w:pPr>
        <w:ind w:left="1148" w:hanging="1148"/>
        <w:spacing w:after="0"/>
        <w:tabs>
          <w:tab w:leader="none" w:pos="1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407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8407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32" w:space="720"/>
            <w:col w:w="5308"/>
          </w:cols>
          <w:pgMar w:left="900" w:top="661" w:right="2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ASC-820-10-50-2(g), the Company has performed a sensitivity analysis of the derivative warrant liabilities of the Company which are classified as level 3 financial instruments. The Company recalculated the value of warrants by applying a +/- 5% changes to the input variables in the Black-Scholes model that vary overtime, namely, the volatility and the risk-free rate. A 5.0% decrease in volatility would decrease the value of the warrants to $1; a 5.0% increase in volatility would increase the value of the warrants to $1. A 5.0% decrease or increase in the risk-free rate would not have materially changed the value of the warrants; the value of the warrants is not strongly correlated with small changes in interest rates.</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CONTIGENCIES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March 31, 2018 in the total amount of approximately $1,310 and, in return, Microbot Israel is obligated to pay royalties amounting to 3%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 Agreements</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December 2016, the Company entered into car lease agreements, which will end on December 31, 2019. According to the lease agreement, the monthly car lease payment is approximately $2.5.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May 2017, the Company entered into an office lease agreement effective from February 1, 2018, with a term ending on December 31, 2020.</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 to the lease agreement, the monthly office lease payment is approximately $14.</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Compensation Liability</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incurred compensation commitments of approximately $400 to a former executive that management estimates as remote that this amount will ever be paid out and therefore is not reflected in these consolidated financial statements.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Research Agreement</w:t>
      </w:r>
    </w:p>
    <w:p>
      <w:pPr>
        <w:spacing w:after="0" w:line="229"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47"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222222"/>
        </w:rPr>
        <w:t xml:space="preserve">The study in Washington U. includes several phases. The first phase (initial research) was completed. The parties are in the final stage of planning the next phase, including the related various costs. </w:t>
      </w:r>
      <w:r>
        <w:rPr>
          <w:rFonts w:ascii="Arial" w:cs="Arial" w:eastAsia="Arial" w:hAnsi="Arial"/>
          <w:sz w:val="17"/>
          <w:szCs w:val="17"/>
          <w:color w:val="000000"/>
        </w:rPr>
        <w:t>Pursuant to the Research Agreement, all rights, title and interest in the data, information and</w:t>
      </w:r>
      <w:r>
        <w:rPr>
          <w:rFonts w:ascii="Arial" w:cs="Arial" w:eastAsia="Arial" w:hAnsi="Arial"/>
          <w:sz w:val="17"/>
          <w:szCs w:val="17"/>
          <w:color w:val="222222"/>
        </w:rPr>
        <w:t xml:space="preserve"> </w:t>
      </w:r>
      <w:r>
        <w:rPr>
          <w:rFonts w:ascii="Arial" w:cs="Arial" w:eastAsia="Arial" w:hAnsi="Arial"/>
          <w:sz w:val="17"/>
          <w:szCs w:val="17"/>
          <w:color w:val="000000"/>
        </w:rPr>
        <w:t>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center"/>
        <w:ind w:right="66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u w:val="single" w:color="auto"/>
          <w:color w:val="auto"/>
        </w:rPr>
        <w:t>NOTES TO INTERIM CONSOLIDATED FINANCIAL STATEMENTS (Cont’d)</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named as the defendant in a lawsuit, captioned Sabby Healthcare Master Fund Ltd. and Sabby Volatility Warrant Master Fund Ltd., Plaintiffs, against Microbot Medical Inc., Defendant, pending in the Supreme Court of the State of New York, County of New York. The complaint alleges, among other things, that the Company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 purchase price with respect to the Financing, and damages in an amount to be determined at trial, but alleged to exceed $1 million. The parties presently are engaged in discovery.</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Due to the early stage in the ligation process, management is unable to assess the likelihood of the claim and the amount of potential damages, if any, to be awarded. Management believes that the claims made against it are without merit and intends to vigorously defend itself against these claims.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Tolling and Standstill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4, 2018, the Company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the Company arising out of the Matter, (b) the parties agree that if the Company reaches an agreement to settle the claims asserted by the Sabby Funds in the above suit, the Company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Agreement, Microbot Israel made an initial payment of $50 to CardioSert and has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in the event that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NIS40,000 covering up to 60 consulting hours per month.</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 (Cont’d)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 CAPITAL</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Each share of the Series A Convertible Preferred Stock, par value $0.01 per share, issued by the Company in December 2016 and in May 2017 (the “Series A Convertible Preferred Stock”), is convertible, at the option of the holder, into 1,000 shares of Common Stock, and confer upon the holder dividend rights on an as converted basis.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March 2017, an institutional holder exercised, in a cashless transaction, 768 warrants and 359 shares of Common Stock were issued in connection therewith.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660" w:right="20"/>
        <w:spacing w:after="0" w:line="312" w:lineRule="auto"/>
        <w:rPr>
          <w:sz w:val="20"/>
          <w:szCs w:val="20"/>
          <w:color w:val="auto"/>
        </w:rPr>
      </w:pPr>
      <w:r>
        <w:rPr>
          <w:rFonts w:ascii="Arial" w:cs="Arial" w:eastAsia="Arial" w:hAnsi="Arial"/>
          <w:sz w:val="16"/>
          <w:szCs w:val="16"/>
          <w:color w:val="auto"/>
        </w:rPr>
        <w:t>The authorized capital stock consists of 221,000,000 shares of capital stock, which consists of 220,000,000 shares of Common Stock and 1,000,000 shares of undesignated preferred stock, par value $0.01 (the “Preferred Stock”). As of March 31, 2018, the Company had 42,120,127 shares of Common Stock issued and outstanding, and 2,464 shares of Series A Convertible Preferred Stock issued and outstanding.</w:t>
      </w:r>
    </w:p>
    <w:p>
      <w:pPr>
        <w:spacing w:after="0" w:line="14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On November 28, 2016, the Company filed a Certificate of Amendment to its Restated Certificate of Incorporation, as amended, with the Secretary of State of the State of Delaware to (i) effect the Reverse Stock Split, (ii) change its name from “StemCells, Inc.” to “Microbot Medical Inc.” and (iii) increase the number of authorized shares of the Common Stock from 200,000,000 to 220,000,000 shares (the “Certificate of Amendment”).</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a result of the Reverse Stock Split, the number of issued and outstanding shares of the Common Stock immediately prior to the Reverse Stock Split were reduced into a smaller number of shares, such that every nine shares of the Common Stock held by a stockholder immediately prior to the Reverse Stock Split were combined and reclassified into one share of the Common Stock.</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Immediately following the Reverse Stock Split and the Merger, there were 36,254,240 shares of the Common Stock issued and outstanding, which included certain rights to receive shares of Common Stock or equivalent securities but excludes shares underlying outstanding stock options and warrants and the Convertible Note.</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December 27, 2016, the Company exchanged 9,735,925 shares or rights to acquire shares of its Common Stock, for 9,736 shares of a newly designated class of Series A Convertible Preferred Stock.</w:t>
      </w:r>
    </w:p>
    <w:p>
      <w:pPr>
        <w:spacing w:after="0" w:line="170"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On January 5, 2017, the Company entered into a definitive securities purchase agreement with an institutional investor (the “Purchaser”) for the purchase and sale of an aggregate of 700,000 shares of Common Stock in a registered direct offering for $5.00 per share or gross proceeds of $3,500. The Company paid the placement agent a fee of $210 plus reimbursement of out-of-pocket expenses, as well as other offering-related expenses.</w:t>
      </w:r>
    </w:p>
    <w:p>
      <w:pPr>
        <w:spacing w:after="0" w:line="147"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On June 5, 2017, the Company entered into a Securities Purchase Agreement with certain institutional investors (the “Investors”) providing for the issuance and sale by the Company to the Investors of an aggregate of 3,750,000 shares of Common Stock, at a purchase price per share of $2.70. The gross proceeds to the Company was $10,125 before deducting placement agent fees and offering expenses of $922.</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 September 2014, Microbot Israel’s board of directors approved a grant of 403,592 stock options (1,167,693 stock options as retroactively adjusted to reflect the Merger) to its CEO, through MEDX Venture Group LLC. Each option was exercisable into an ordinary share, at an exercise price of $0.8 ($0.28 as retroactively adjusted to reflect the Merger). The stock options were fully vested at the date of grant.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May 2, 2016, Microbot Israel’s board of directors approved a grant of 500,000 stock options (1,447,223 as retroactively adjusted to reflect the Merger) to certain of its employees and directors. Each stock option was exercisable into an ordinary share, NIS 0.001 par value, of Microbot Israel, at an exercise price equal to the ordinary share’s par value. The stock options were fully vested at the date of grant. As a result, the Company recognized compensation expenses in the amount of $675 included in general and administrative expenses. As the exercise price of the stock options is nominal, Microbot Israel estimated the fair value of the options as equal to the Company’s share price of $1.35 ($0.47 as retroactively adjusted to reflect the Merger) at the date of grant.</w:t>
      </w:r>
    </w:p>
    <w:p>
      <w:pPr>
        <w:spacing w:after="0" w:line="193"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47"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On September 14, 2017, the board of directors approved a grant of stock options to purchase an aggregate of up to 1,812,712 shares of Common Stock to Mr. Harel Gadot, the Company’s Chairman of the Board, President and CEO, at an exercise price per share of $1.05. The stock options vest over a period of 3-5 years as outlined in the option agreements. As a result, the Company recognized compensation expenses in the amount of $219 and $0 included in general and administrative expenses for the periods ended March 31, 2018 and 2017, respectively.</w:t>
      </w:r>
    </w:p>
    <w:p>
      <w:pPr>
        <w:spacing w:after="0" w:line="154"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On September 14, 2017, the board of directors approved a grant of stock options to purchase an aggregate of up to 1,087,627 shares of Common Stock to Mr. Hezi Himelfarb, the company’s General Manager, COO and a member of the Board, at an exercise price per share of $1.29.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$108 and $0 included in general and administrative expenses for the periods ended March 31, 2018 and 2017, respectively.</w:t>
      </w:r>
    </w:p>
    <w:p>
      <w:pPr>
        <w:spacing w:after="0" w:line="1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December 6, 2017, the board of directors approved a grant of 190,475 stock options to purchase an aggregate of up to 190,475 shares of Common Stock to certain of its directors, at an exercise price per share of $1.05. The stock options vest over a period of 3 years as outlined in the option agreements. As a result, the Company recognized compensation expenses in the amount of $15 and $0 included in general and administrative expenses for the periods ended March 31, 2018 and 2017, respectively.</w:t>
      </w:r>
    </w:p>
    <w:p>
      <w:pPr>
        <w:spacing w:after="0" w:line="187"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On December 28, 2017, the board of directors approved a grant of 990,543 stock options to purchase an aggregate of up to 990,543 shares of Common Stock to certain of its employees, at an exercise price per share of $1.02. The stock options vest over a period of 3 years as outlined in the option agreements. As a result, the Company recognized compensation expenses in the amount of $71 and $0 included in general and administrative expenses and research and development expenses for the periods ended March 31, 2018 and 2017,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November, 2017, certain employees and consultant exercised 471,794 options to 471,794 ordinary shares at exercise price of 0.001 NIS.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700" w:type="dxa"/>
            <w:vAlign w:val="bottom"/>
            <w:gridSpan w:val="9"/>
          </w:tcPr>
          <w:p>
            <w:pPr>
              <w:jc w:val="center"/>
              <w:ind w:right="100"/>
              <w:spacing w:after="0"/>
              <w:rPr>
                <w:sz w:val="20"/>
                <w:szCs w:val="20"/>
                <w:color w:val="auto"/>
              </w:rPr>
            </w:pPr>
            <w:r>
              <w:rPr>
                <w:rFonts w:ascii="Arial" w:cs="Arial" w:eastAsia="Arial" w:hAnsi="Arial"/>
                <w:sz w:val="18"/>
                <w:szCs w:val="18"/>
                <w:b w:val="1"/>
                <w:bCs w:val="1"/>
                <w:color w:val="auto"/>
                <w:w w:val="90"/>
              </w:rPr>
              <w:t>For the three months ended March 31, 2018</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Number of stock</w:t>
            </w:r>
          </w:p>
        </w:tc>
        <w:tc>
          <w:tcPr>
            <w:tcW w:w="14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5"/>
              </w:rPr>
              <w:t>average exercise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Aggregate</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options</w:t>
            </w:r>
          </w:p>
        </w:tc>
        <w:tc>
          <w:tcPr>
            <w:tcW w:w="2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price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intrinsic value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3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6,224,479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Granted</w:t>
            </w:r>
          </w:p>
        </w:tc>
        <w:tc>
          <w:tcPr>
            <w:tcW w:w="31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Cancelled</w:t>
            </w:r>
          </w:p>
        </w:tc>
        <w:tc>
          <w:tcPr>
            <w:tcW w:w="31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6,224,479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80" w:type="dxa"/>
            <w:vAlign w:val="bottom"/>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4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40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2,477,252</w:t>
            </w:r>
          </w:p>
        </w:tc>
        <w:tc>
          <w:tcPr>
            <w:tcW w:w="30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1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1,031</w:t>
            </w:r>
          </w:p>
        </w:tc>
        <w:tc>
          <w:tcPr>
            <w:tcW w:w="1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80" w:type="dxa"/>
            <w:vAlign w:val="bottom"/>
            <w:vMerge w:val="restart"/>
          </w:tcPr>
          <w:p>
            <w:pPr>
              <w:jc w:val="right"/>
              <w:ind w:right="330"/>
              <w:spacing w:after="0"/>
              <w:rPr>
                <w:sz w:val="20"/>
                <w:szCs w:val="20"/>
                <w:color w:val="auto"/>
              </w:rPr>
            </w:pPr>
            <w:r>
              <w:rPr>
                <w:rFonts w:ascii="Arial" w:cs="Arial" w:eastAsia="Arial" w:hAnsi="Arial"/>
                <w:sz w:val="18"/>
                <w:szCs w:val="18"/>
                <w:color w:val="auto"/>
              </w:rPr>
              <w:t>14</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6" w:name="page17"/>
    <w:bookmarkEnd w:id="16"/>
    <w:p>
      <w:pPr>
        <w:jc w:val="center"/>
        <w:ind w:right="66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u w:val="single" w:color="auto"/>
          <w:color w:val="auto"/>
        </w:rPr>
        <w:t>NOTES TO INTERIM CONSOLIDATED FINANCIAL STATEMENTS (Cont’d)</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70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90"/>
              </w:rPr>
              <w:t>For the year ended December 31, 2017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500"/>
              <w:spacing w:after="0" w:line="198" w:lineRule="exact"/>
              <w:rPr>
                <w:sz w:val="20"/>
                <w:szCs w:val="20"/>
                <w:color w:val="auto"/>
              </w:rPr>
            </w:pPr>
            <w:r>
              <w:rPr>
                <w:rFonts w:ascii="Arial" w:cs="Arial" w:eastAsia="Arial" w:hAnsi="Arial"/>
                <w:sz w:val="18"/>
                <w:szCs w:val="18"/>
                <w:b w:val="1"/>
                <w:bCs w:val="1"/>
                <w:color w:val="auto"/>
                <w:w w:val="88"/>
              </w:rPr>
              <w:t>Weighted</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Number of stock</w:t>
            </w:r>
          </w:p>
        </w:tc>
        <w:tc>
          <w:tcPr>
            <w:tcW w:w="16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5"/>
              </w:rPr>
              <w:t>average exercise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options</w:t>
            </w:r>
          </w:p>
        </w:tc>
        <w:tc>
          <w:tcPr>
            <w:tcW w:w="200" w:type="dxa"/>
            <w:vAlign w:val="bottom"/>
          </w:tcPr>
          <w:p>
            <w:pPr>
              <w:spacing w:after="0"/>
              <w:rPr>
                <w:sz w:val="20"/>
                <w:szCs w:val="20"/>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price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intrinsic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2,614,916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4,081,357</w:t>
            </w:r>
          </w:p>
        </w:tc>
        <w:tc>
          <w:tcPr>
            <w:tcW w:w="2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(471,794)</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Cancelled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Outstanding at end of period</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6,224,479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4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2,143,122</w:t>
            </w:r>
          </w:p>
        </w:tc>
        <w:tc>
          <w:tcPr>
            <w:tcW w:w="30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3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March 31, 2018 and December 31,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stock options outstanding as of March 31, 2018 and December 31, 2017, separated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remaining</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Stock options</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 options</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remaining</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contractual</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Stock options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 options</w:t>
            </w:r>
          </w:p>
        </w:tc>
      </w:tr>
      <w:tr>
        <w:trPr>
          <w:trHeight w:val="216"/>
        </w:trPr>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Exercise price</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 as</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outstanding as</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contractual life</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life – years as</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exercisable as</w:t>
            </w: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6"/>
              </w:rPr>
              <w:t>exercisable as</w:t>
            </w:r>
          </w:p>
        </w:tc>
      </w:tr>
      <w:tr>
        <w:trPr>
          <w:trHeight w:val="216"/>
        </w:trPr>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of March 31,</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of December</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 years as of</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of December</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of March 31,</w:t>
            </w: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of December</w:t>
            </w:r>
          </w:p>
        </w:tc>
      </w:tr>
      <w:tr>
        <w:trPr>
          <w:trHeight w:val="241"/>
        </w:trPr>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31, 2017</w:t>
            </w:r>
          </w:p>
        </w:tc>
        <w:tc>
          <w:tcPr>
            <w:tcW w:w="32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 2018</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31, 2017</w:t>
            </w:r>
          </w:p>
        </w:tc>
        <w:tc>
          <w:tcPr>
            <w:tcW w:w="3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31, 2017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1,167,693</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1,167,693</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1,167,693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1,167,693</w:t>
            </w:r>
          </w:p>
        </w:tc>
        <w:tc>
          <w:tcPr>
            <w:tcW w:w="80" w:type="dxa"/>
            <w:vAlign w:val="bottom"/>
            <w:shd w:val="clear" w:color="auto" w:fill="CCEEFF"/>
          </w:tcPr>
          <w:p>
            <w:pPr>
              <w:spacing w:after="0"/>
              <w:rPr>
                <w:sz w:val="18"/>
                <w:szCs w:val="18"/>
                <w:color w:val="auto"/>
              </w:rPr>
            </w:pPr>
          </w:p>
        </w:tc>
      </w:tr>
      <w:tr>
        <w:trPr>
          <w:trHeight w:val="216"/>
        </w:trPr>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2,003,187</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2,003,187</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9.50</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9.75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334,130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1,087,627</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1,087,627</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990,543</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990,543</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9.75</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975,429</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975,429</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8.75</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975,429</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975,429</w:t>
            </w:r>
          </w:p>
        </w:tc>
        <w:tc>
          <w:tcPr>
            <w:tcW w:w="80" w:type="dxa"/>
            <w:vAlign w:val="bottom"/>
            <w:shd w:val="clear" w:color="auto" w:fill="CCEEFF"/>
          </w:tcPr>
          <w:p>
            <w:pPr>
              <w:spacing w:after="0"/>
              <w:rPr>
                <w:sz w:val="21"/>
                <w:szCs w:val="21"/>
                <w:color w:val="auto"/>
              </w:rPr>
            </w:pPr>
          </w:p>
        </w:tc>
      </w:tr>
      <w:tr>
        <w:trPr>
          <w:trHeight w:val="217"/>
        </w:trPr>
        <w:tc>
          <w:tcPr>
            <w:tcW w:w="1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6,224,479</w:t>
            </w:r>
          </w:p>
        </w:tc>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6,224,479</w:t>
            </w:r>
          </w:p>
        </w:tc>
        <w:tc>
          <w:tcPr>
            <w:tcW w:w="32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2,477,252</w:t>
            </w:r>
          </w:p>
        </w:tc>
        <w:tc>
          <w:tcPr>
            <w:tcW w:w="3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2,143,122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17068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Compensation expense recorded by the Company in respect of its stock-based employee compensation awards in accordance with ASC 718-10 for the three-month ended March 31, 2018 and the year ended December 2017 was $ 416 and $ 254, respectively.</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17" w:name="page18"/>
    <w:bookmarkEnd w:id="17"/>
    <w:p>
      <w:pPr>
        <w:jc w:val="center"/>
        <w:ind w:right="66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NOTES TO INTERIM CONSOLIDATED FINANCIAL STATEMENTS (Cont’d)</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stock options is estimated at the date of grant using Black-Scholes options pricing model with the following weighted-average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Three months ended</w:t>
            </w:r>
          </w:p>
        </w:tc>
        <w:tc>
          <w:tcPr>
            <w:tcW w:w="21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2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 2018</w:t>
            </w:r>
          </w:p>
        </w:tc>
        <w:tc>
          <w:tcPr>
            <w:tcW w:w="2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Risk-free interest</w:t>
            </w:r>
          </w:p>
        </w:tc>
        <w:tc>
          <w:tcPr>
            <w:tcW w:w="228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2280" w:type="dxa"/>
            <w:vAlign w:val="bottom"/>
            <w:gridSpan w:val="2"/>
          </w:tcPr>
          <w:p>
            <w:pPr>
              <w:jc w:val="right"/>
              <w:ind w:right="360"/>
              <w:spacing w:after="0"/>
              <w:rPr>
                <w:sz w:val="20"/>
                <w:szCs w:val="20"/>
                <w:color w:val="auto"/>
              </w:rPr>
            </w:pPr>
            <w:r>
              <w:rPr>
                <w:rFonts w:ascii="Arial" w:cs="Arial" w:eastAsia="Arial" w:hAnsi="Arial"/>
                <w:sz w:val="18"/>
                <w:szCs w:val="18"/>
                <w:color w:val="auto"/>
              </w:rPr>
              <w:t>2.75</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issued to service provider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Merger, the Company issued an aggregate of 7,802,639 restricted shares of its Common Stock to certain advisors. The fair value of the award of approximately $10,000 was estimated based on the share price of the Common Stock of $1.28 as of the date of grant. The portion of the expense in excess of the cash and other current assets acquired in the Merger, in the amount of $7,300 was included in general and administrative expenses in the Statements of Comprehensive Loss.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2017, the Company issued an aggregate of 120,000 nonrefundable shares of Common Stock to a consultant as part of investor relations services. The Company recorded expenses of approximately $225 with respect to the issuance of these shares included in general and administrative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16, 2016, the Company entered into a Securities Exchange Agreement with Alpha Capital, pursuant to which Alpha Capital exchanged 9,736,000 shares of common stock or rights to acquire shares of the common stock held by it, for 9,736 shares of a newly designated class of Series A Convertible Preferred Stock, par value $0.01 per share (the “Preferred Stock”). The common stock and common stock underlying the rights to acquire common stock include all of the shares of common stock issued or issuable to Alpha Capital pursuant to the Merger. The 9,735,925 shares of common stock and the rights to acquire common stock were cancelled and the Company’s issued and outstanding shares of Common Stock were reduced to 26,518,315.</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9, 2017, the Company entered into a Securities Exchange Agreement with Alpha Capital pursuant to which the Company agreed to issue 3,254 shares of the Series A Convertible Preferred Stock, in exchange for the full satisfaction, termination and cancellation of the outstanding 6% convertible promissory note of the Company in the principal amount of approximately $2,029 issued on November 28, 2016 and held by Alpha Capital. The Series A Convertible Preferred Stock is the same series of securities as the Company’s existing Series A Convertible Preferred Stock issued in December 2016. As a result of the extinguishment of the convertible note and issuance of the preferred shares, the Company recorded a financial loss in the amount of $2,360</w:t>
      </w:r>
      <w:r>
        <w:rPr>
          <w:rFonts w:ascii="Arial" w:cs="Arial" w:eastAsia="Arial" w:hAnsi="Arial"/>
          <w:sz w:val="18"/>
          <w:szCs w:val="18"/>
          <w:b w:val="1"/>
          <w:bCs w:val="1"/>
          <w:color w:val="auto"/>
        </w:rPr>
        <w:t>.</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year 2017, the holder of the Series A Convertible Preferred Stock converted 8,990 shares of the Series A Convertible Preferred Stock for 8,990,000 shares of Common Stock, pursuant to the terms of conversion of the Series A Convertible Preferred Stock.</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three-month ended March 31, 2018, the holder of the Series A Convertible Preferred Stock converted 1,537 shares of the Series A Convertible Preferred Stock for 1,537,000 shares of Common Stock, pursuant to the terms of conversion of the Series A Convertible Preferred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intends to enter into a definitive agreement with up to three Israeli shareholders, one of which is a director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is subject to negotiating final terms and entering into definitive agreements with such shareholders.</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7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accordance with ASC 480-10-S99-3A (formerly EITF D-98), the Company classified the maximum amount it may be required to pay in the event the repurchase right is exercised ($500) as temporary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BASIC AND DILUTED NET LOSS PER SHARE</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basic and diluted net loss per share and weighted average number of common shares used in the calculation of basic and diluted net loss per share are as follows (in thousands, except share and per share data):</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Three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March 31, 2018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the Company</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preferred shares</w:t>
            </w: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 used in the calculation of basic net loss per share</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w:t>
            </w: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41,453,603</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27,212,149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As the inclusion of common share equivalents in the calculation would be anti-dilutive for all periods presented, diluted net loss per share is the same as basic net loss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TAXES ON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subject to income taxes under the Israeli and U.S. tax laws: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Corporate tax rates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subject to Israeli corporate tax rate of 23% from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subject to a Federal tax rate of 21% starting from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percent to 21 percent; (2) requiring companies to pay a one-time transition tax on certain unrepatriated earnings of foreign subsidiaries;</w:t>
      </w:r>
    </w:p>
    <w:p>
      <w:pPr>
        <w:jc w:val="both"/>
        <w:ind w:left="660" w:hanging="4"/>
        <w:spacing w:after="0" w:line="253" w:lineRule="auto"/>
        <w:tabs>
          <w:tab w:leader="none" w:pos="924"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generally eliminating U.S. federal income taxes on dividends from foreign subsidiaries; (4) requiring a current inclusion in U.S. federal taxable income of certain earnings of controlled foreign corporations; (5) eliminating the corporate alternative minimum tax (AMT) and changing how existing AMT credits can be realized; (6) creating the base erosion anti-abuse tax (BEAT), a new minimum tax; (7) creating a new limitation on deductible interest expense; and (8) changing rules related to uses and limitations of NOL carryforwards created in tax years beginning after December 31, 2017.</w:t>
      </w:r>
    </w:p>
    <w:p>
      <w:pPr>
        <w:spacing w:after="0" w:line="19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SEC staff issued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8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March 31, 2018, the Company’s assessment of the Tax Act is incomplete, and the Company has not yet been able to make reasonable estimates of the effects. Therefore, no provisional adjustments were recorded.</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three-month period ended March 31, 2018, the Company generated net operating losses in Israel of approximately $776 which may be carried forward and offset against taxable income in the future for an indefinite period.</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three-month period ended March 31, 2018, the Company generated net operating losses in the U.S. of approximately $694.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 March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660" w:type="dxa"/>
            <w:vAlign w:val="bottom"/>
            <w:tcBorders>
              <w:bottom w:val="single" w:sz="8" w:color="CCEEFF"/>
            </w:tcBorders>
          </w:tcPr>
          <w:p>
            <w:pPr>
              <w:spacing w:after="0"/>
              <w:rPr>
                <w:sz w:val="20"/>
                <w:szCs w:val="20"/>
                <w:color w:val="auto"/>
              </w:rPr>
            </w:pPr>
          </w:p>
        </w:tc>
        <w:tc>
          <w:tcPr>
            <w:tcW w:w="3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CCEEFF"/>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3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490,072</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482,322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3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102,916</w:t>
            </w:r>
          </w:p>
        </w:tc>
        <w:tc>
          <w:tcPr>
            <w:tcW w:w="64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115,757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Valuation allowance</w:t>
            </w:r>
          </w:p>
        </w:tc>
        <w:tc>
          <w:tcPr>
            <w:tcW w:w="3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(102,916)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(115,757)</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660" w:type="dxa"/>
            <w:vAlign w:val="bottom"/>
          </w:tcPr>
          <w:p>
            <w:pPr>
              <w:spacing w:after="0"/>
              <w:rPr>
                <w:sz w:val="22"/>
                <w:szCs w:val="22"/>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3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660" w:type="dxa"/>
            <w:vAlign w:val="bottom"/>
            <w:tcBorders>
              <w:bottom w:val="single" w:sz="8" w:color="auto"/>
            </w:tcBorders>
          </w:tcPr>
          <w:p>
            <w:pPr>
              <w:spacing w:after="0"/>
              <w:rPr>
                <w:sz w:val="24"/>
                <w:szCs w:val="24"/>
                <w:color w:val="auto"/>
              </w:rPr>
            </w:pPr>
          </w:p>
        </w:tc>
        <w:tc>
          <w:tcPr>
            <w:tcW w:w="3660" w:type="dxa"/>
            <w:vAlign w:val="bottom"/>
            <w:tcBorders>
              <w:top w:val="single" w:sz="8" w:color="CCEEFF"/>
              <w:bottom w:val="single" w:sz="8" w:color="auto"/>
            </w:tcBorders>
          </w:tcPr>
          <w:p>
            <w:pPr>
              <w:spacing w:after="0"/>
              <w:rPr>
                <w:sz w:val="24"/>
                <w:szCs w:val="24"/>
                <w:color w:val="auto"/>
              </w:rPr>
            </w:pPr>
          </w:p>
        </w:tc>
        <w:tc>
          <w:tcPr>
            <w:tcW w:w="3120" w:type="dxa"/>
            <w:vAlign w:val="bottom"/>
            <w:tcBorders>
              <w:top w:val="single" w:sz="8" w:color="CCEEFF"/>
              <w:bottom w:val="single" w:sz="8" w:color="auto"/>
            </w:tcBorders>
          </w:tcPr>
          <w:p>
            <w:pPr>
              <w:jc w:val="right"/>
              <w:ind w:right="1550"/>
              <w:spacing w:after="0"/>
              <w:rPr>
                <w:sz w:val="20"/>
                <w:szCs w:val="20"/>
                <w:color w:val="auto"/>
              </w:rPr>
            </w:pPr>
            <w:r>
              <w:rPr>
                <w:rFonts w:ascii="Arial" w:cs="Arial" w:eastAsia="Arial" w:hAnsi="Arial"/>
                <w:sz w:val="18"/>
                <w:szCs w:val="18"/>
                <w:color w:val="auto"/>
              </w:rPr>
              <w:t>18</w:t>
            </w:r>
          </w:p>
        </w:tc>
        <w:tc>
          <w:tcPr>
            <w:tcW w:w="3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Reconciliation of Income Taxes: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following is a reconciliation of the taxes on income assuming that all income is taxed at the ordinary statutory corporate tax rate in Israel and the effective income tax rate:</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6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w w:val="96"/>
              </w:rPr>
              <w:t>As of March 31,</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66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 in the statements of operations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Statutory tax rate</w:t>
            </w: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Income Tax under statutory tax rate</w:t>
            </w:r>
          </w:p>
        </w:tc>
        <w:tc>
          <w:tcPr>
            <w:tcW w:w="10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338</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2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(338)</w:t>
            </w:r>
          </w:p>
        </w:tc>
        <w:tc>
          <w:tcPr>
            <w:tcW w:w="5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30"/>
        </w:trPr>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Actual income tax</w:t>
            </w: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Effective as of April 1, 2018, the Company hired Simon Sharon as the Company’s Chief Technology Officer. Pursuant to the terms thereof, among other things, Mr. Sharon is entitled to options to purchase 150,000 shares of the Company’s common stock, subject and pursuant to the Company’s 2017 Equity Incentive Plan.</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April 10, 2018, Microbot delivered an Exercise Notice to CardioSert Ltd., notifying it that Microbot elected to exercise the option to acquire the Technology owned by CardioSert. (See Note 5)</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May 9, 2018, the holder of the Preferred Stock delivered to the Company a request to convert 800 shares of the Preferred Stock for 800,000 shares of the Company’s common stock, pursuant to the terms of conversion of the Preferred Stock. On May 11, 2018, the Company issued the 800,000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2017.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2017.</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micro-robotics assisted medical technologies targeting the minimally invasive surgery space. Microbot is primarily focused on leveraging its micro-robotic technologies with the goal of improving surgical outcomes for patients.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is currently developing its first two product candidates: the Self Cleaning Shunt, or SCS, for the treatment of hydrocephalus and Normal Pressure Hydrocephalus, or NPH; and TipCAT, a self-propelling, semi-disposable endoscope that is being developed initially for use in colonoscopy procedures. Microbot’s product candidates are being designed to bring greater functionality to conventional medical devices and to reduce the known risks associated with such devices. Microbot is currently aiming to complete pre-clinical studies required for regulatory submission for both product candidates within the next 12 months.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4, 2018, we entered into an agreement to acquire a novel patent-protected technology from CardioSert Ltd., a privately-held medical device company based in Israel. The acquisition is expected to close within 90 days of the agreement, at which time, with the addition of CardioSerts’ issued U.S. patent and three patent applications pending worldwide, Microbot would have a patent portfolio of 25 issued/allowed patents and 15 patent applications pending worldwide.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has no products approved for commercial sale and has not generated any revenues from product sales since its inception in 2010. From inception to March 31, 2018, Microbot has raised cash proceeds of approximately $18,000,000 to fund operations, primarily from government grants, loans, and private placement offerings of debt and equity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both"/>
        <w:spacing w:after="0" w:line="270" w:lineRule="auto"/>
        <w:rPr>
          <w:sz w:val="20"/>
          <w:szCs w:val="20"/>
          <w:color w:val="auto"/>
        </w:rPr>
      </w:pPr>
      <w:r>
        <w:rPr>
          <w:rFonts w:ascii="Arial" w:cs="Arial" w:eastAsia="Arial" w:hAnsi="Arial"/>
          <w:sz w:val="17"/>
          <w:szCs w:val="17"/>
          <w:color w:val="auto"/>
        </w:rPr>
        <w:t>Microbot has never been profitable and has incurred significant operating losses in each year since inception. Net losses for the three months ended March 31, 2018 and 2017 were approximately $1,469,000 and $1,307,000, respectively. Substantially all of Microbot’s operating losses resulted from expenses incurred in connection with its research and development programs and from general and administrative costs associated with its operations. As of March 31, 2018, Microbot had a net working capital of approximately $9,213,000, consisting primarily of cash and cash equivalents. Microbot expects to continue to incur significant expenses and increasing operating losses for at least the next several years as it continues the clinical development of and seeks regulatory approval for its product candidates. Accordingly, Microbot will continue to require substantial additional capital to continue its clinical development and potential commercialization activities, however, at this time it believes that its net cash will be sufficient to fund its operations for at least 12 months and fund operations necessary to continue development activities of the SCS and TipCAT. The amount and timing of Microbot’s future funding requirements will depend on many factors, including the timing and results of its clinical development efforts.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Estimated completion dates and costs for Microbot’s clinical development and research programs can vary significantly for each current and future product candidate and are difficult to predict. As a result, Microbot cannot estimate with any degree of certainty the costs it will incur in connection with development of its product candidates at this point in time. Microbot anticipates it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its ability to enter into collaborative agreements with respect to programs or potential product candidates, as well as ongoing assessments as to each current or future product candidate’s commercial potential.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costs, salaries, professional fees for accounting, auditing, consulting and legal services, and allocated overhead expenses.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Microbot expects that its general and administrative expenses may increase in the future as it expands its operating activities, maintains and expands its patent portfolio, the cost of being a public company and maintaining compliance with exchange listing and SEC requirements. These additional costs include management costs, legal fees, accounting fees, directors’ and officers’ liability insurance premiums and expenses associated with investor relations.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utilized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Microbot’s management’s discussion and analysis of its financial condition and results of operations are based on its financial statements, which have been prepared in accordance with U.S. generally accepted accounting principles, or GAAP. The preparation of these financial statements requires Microbot to make estimates and judgments that affect the reported amounts of assets, liabilities, and expenses and the disclosure of contingent assets and liabilities at the date of the financial statements. On an ongoing basis, Microbot evaluates its estimates and judgments, including those related to accrued research and development expenses.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While Microbot’s significant accounting policies are described in more detail in the notes to its financial statements, Microbot believes the following accounting policies are the most critical for fully understanding and evaluating its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Microbot’s functional currency is the U.S. dollars, and its reporting currency is the U.S. dollar.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 and Input Tax Credit Recoveries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from time to time has received, and may in the future continue to receive, grants from the Israeli Innovation Authority to cover eligible company expenditures. These are presented as other income in the statement of operations and comprehensive loss as the grant funds are used for or applied towards a number of Microbot’s operating expenses, such as salaries and benefits, research and development and professional and consulting fees. The recoveries are recognized in the corresponding period when such expenses are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Microbot recognizes research and development expenses as incurred, typically estimated based on an evaluation of the progress to completion of specific tasks using data such as clinical site activations, manufacturing steps completed, or information provided by vendors on their actual costs incurred. Microbot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These estimates are made as of each balance sheet date based on facts and circumstances known to Microbot at that time. If the actual timing of the performance of services or the level of effort varies from the estimate, Microbot will adjust the estimate accordingly. Nonrefundable advance payments for goods and services, including fees for process development or manufacturing and distribution of clinical supplies that will be used in future research and development activities, are capitalized as prepaid expenses and recognized as expense in the period that the related goods are consumed or services are performed.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Microbot may pay fees to third-parties for manufacturing and other services that are based on contractual milestones that may result in uneven payment flows. There may be instances in which payments made to vendors will exceed the level of services provided and result in a prepayment of the research and development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Quarters Ended March 31, 2018 and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key components of Microbot’s results of operations for the quarterly periods ended March 31, 2018 and 2017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180" w:type="dxa"/>
            <w:vAlign w:val="bottom"/>
          </w:tcPr>
          <w:p>
            <w:pPr>
              <w:spacing w:after="0"/>
              <w:rPr>
                <w:sz w:val="22"/>
                <w:szCs w:val="22"/>
                <w:color w:val="auto"/>
              </w:rPr>
            </w:pPr>
          </w:p>
        </w:tc>
        <w:tc>
          <w:tcPr>
            <w:tcW w:w="286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8"/>
                <w:szCs w:val="18"/>
                <w:b w:val="1"/>
                <w:bCs w:val="1"/>
                <w:color w:val="auto"/>
              </w:rPr>
              <w:t>Quarter Ended March 31,</w:t>
            </w:r>
          </w:p>
        </w:tc>
        <w:tc>
          <w:tcPr>
            <w:tcW w:w="48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Increase/</w:t>
            </w:r>
          </w:p>
        </w:tc>
      </w:tr>
      <w:tr>
        <w:trPr>
          <w:trHeight w:val="237"/>
        </w:trPr>
        <w:tc>
          <w:tcPr>
            <w:tcW w:w="61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r>
      <w:tr>
        <w:trPr>
          <w:trHeight w:val="21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1,132</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1,049</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10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Microbot’s research and development expenses were approximately $383,000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approximately $184,000 for the same period in 2017. The increase in research and development expenses of approximately $199,000 in 2018 was primarily due to an increase in the cost of professional services expenses, share based compensation and maintenance of intellectual property. Microbot expects its research and development expenses to increase over time as Microbot advances its development programs and begins pre-clinical and clinical trials for SCS and TipCAT.</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were approximately $1,132,000 for the three months ended March 31, 2018,</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approximately $1,049,000 for the same period in 2017. The increase in general and administrative expenses of approximately $83,000 in 2018 was primarily due to increase of $358,000 in share-based compensation deducted by decrease in public company expenses and professional services in total amount of $333,000. Microbot believes its general and administrative expenses may increase over time as it advances its programs, increases its headcount and operating activities and incurs expenses associated with being a public company.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Financing Expenses</w:t>
      </w:r>
      <w:r>
        <w:rPr>
          <w:rFonts w:ascii="Arial" w:cs="Arial" w:eastAsia="Arial" w:hAnsi="Arial"/>
          <w:sz w:val="18"/>
          <w:szCs w:val="18"/>
          <w:color w:val="auto"/>
        </w:rPr>
        <w:t>. Financing expenses were approximately $46,000 for the three months ended March 31, 2018, compared to finance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$74,000 for the same period in 2017. The decrease in financial expenses was primarily due to change in fair value of derivative warrant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incurred losses since inception and negative cash flows from operating activities for the three months ended March 31, 2018 and the fiscal year ended December 31, 2017. As of March 31, 2018, Microbot had a net working capital of approximately $9,213,000 consisting primarily of cash and cash equivalents. Microbot anticipates that it will continue to incur net losses for the foreseeable future as it continues research and development efforts of its product candidates, hires additional staff, including clinical, scientific, operational, financial and management personnel, and incurs additional costs associated with being a public company.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has funded its operations through the issuance of capital stock, grants from the Israeli Innovation Authority, and convertible debt. As of March 31, 2018, Microbot raised total cash proceeds of approximately $18,000,000, and incurred a total cumulative loss of approximately $22,093,000 from inception (November 2010) to March 31, 2018.</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sale of certain of the assets of StemCells, Inc., Microbot’s predecessor company, on November 29, 2016, Microbot received aggregate net cash consideration of approximately $3.1 million. Additionally, in January 2017, we sold an aggregate of 700,000 shares of our common stock for net proceeds, after deducting placement agent fees and expenses, of approximately $3.25 million, and in June 2017, we sold an aggregate of 3,750,000 shares of our common stock for net proceeds, after deducting placement agent fees and expenses, of approximately $9,300,000.</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2017, Microbot was awarded an additional non-dilutive grant of up to 2,610,000 Israeli New Shekels (approximately $735,000) from the Israel Innovation Authority. The grant provides additional sources to be utilized by Microbot for the continued development of the Self-Cleaning Shunt for the treatment of hydrocephalus and Normal Pressure Hydrocephalus. The grant funds may be used for or applied towards a number of research and development expenses, such as employees’ salaries, research and development expenses (including materials, as well as professional and consulting fees. The recoveries are recognized in the corresponding period when such expenses are incurred. With respect to such grant, Microbot is committed to pay royalties, as, if and when it successfully commercializes the SCS and generates revenue from sales of the SCS, at a rate of between 3% to 3.5% on sales proceeds up to the total amount of grants received, linked to the dollar, plus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Microbot was also awarded a non-dilutive grant of 50,000€ to continue developing the SCS, from the European Commission. We can submit an additional request in six months for a higher grant up to 2,000,000€, which, if granted, would be used for the continued development of the SCS. We can give no assurance that we will receive such additional grant.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believes that its net cash as of March 31, 2018 will be sufficient to fund its operations for at least 12 months and fund operations necessary to continue development activities of the SCS and TipCAT.</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Microbot plans to continue to fund its research and development and other operating expenses, other development activities relating to additional product candidates, and the associated losses from operations, through future issuances of debt and/or equity securities and possibly additional grants from the Israeli Innovation Authority. Additionally, the Company will require additional capital relating to the acquisition of certain intellectual property assets from CardioSert Ltd., and the planned development and commercialization of such assets.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each of the periods set forth below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4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285"/>
              <w:spacing w:after="0"/>
              <w:rPr>
                <w:sz w:val="20"/>
                <w:szCs w:val="20"/>
                <w:color w:val="auto"/>
              </w:rPr>
            </w:pPr>
            <w:r>
              <w:rPr>
                <w:rFonts w:ascii="Arial" w:cs="Arial" w:eastAsia="Arial" w:hAnsi="Arial"/>
                <w:sz w:val="18"/>
                <w:szCs w:val="18"/>
                <w:b w:val="1"/>
                <w:bCs w:val="1"/>
                <w:color w:val="auto"/>
              </w:rPr>
              <w:t>Quarter ended March 31,</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75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r>
      <w:tr>
        <w:trPr>
          <w:trHeight w:val="25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3,082</w:t>
            </w:r>
          </w:p>
        </w:tc>
        <w:tc>
          <w:tcPr>
            <w:tcW w:w="80" w:type="dxa"/>
            <w:vAlign w:val="bottom"/>
            <w:shd w:val="clear" w:color="auto" w:fill="CCEEFF"/>
          </w:tcPr>
          <w:p>
            <w:pPr>
              <w:spacing w:after="0"/>
              <w:rPr>
                <w:sz w:val="21"/>
                <w:szCs w:val="21"/>
                <w:color w:val="auto"/>
              </w:rPr>
            </w:pPr>
          </w:p>
        </w:tc>
      </w:tr>
      <w:tr>
        <w:trPr>
          <w:trHeight w:val="217"/>
        </w:trPr>
        <w:tc>
          <w:tcPr>
            <w:tcW w:w="7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20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Quarterly Periods Ended March 31, 2018 and 2017</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used in operating activities for the three months ended March 31, 2018 was approximately $1,194,000 calculated by adjusting net loss from operations by approximately $275,000 to eliminate non-cash and expense items not involving cash flows such as depreciation and accumulated interest on convertible loans, as well as other changes in assets and liabilities resulting in non-cash adjustments in the income statement. Cash used in operating activities for the three months ended March 31, 2017 was approximately $767,000, similarly adjusted by approximately $540,000.</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2018 was approximately $133,000, consisting of purchase of property and equipment, compared to approximately $22,000 for the three months ended March 31, 2017.</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financing activities of approximately $0 for the three months ended March 31, 2018, compared to approximately $3,082,000 in the three months ended March 31,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March 31, 2018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generally affects Microbot by increasing its clinical trial costs. Microbot does not believe that inflation and changing prices had a significant impact on its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March 31, 2018. Based on that review and evaluation, the Chief Executive Officer and Chief Financial Officer, along with the management of the Company, have determined that as of March 31, 2018,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March 31, 2018, and have concluded that, as of March 31, 2018, our internal control over financial reporting was effective.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quarterly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named as the defendant in a lawsuit, captioned Sabby Healthcare Master Fund Ltd. and Sabby Volatility Warrant Master Fund Ltd., Plaintiffs, against Microbot Medical Inc., Defendant, pending in the Supreme Court of the State of New York, County of New York (Index No. 654581/2017) (the “Matter”). The suit was initiated on or about June 29, 2017. The complaint alleges, among other things, that Microbot Medical Inc.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$3,375,000 purchase price with respect to the Financing, and damages in an amount to be determined at trial, but alleged to exceed $1 million. The parties presently are engaged in discovery.</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claims are without merit and intend to defend the action vigorously. However, due to the early stage in the ligation process, management is unable to assess the likelihood of the claim and the amount of potential damages, if any, to be awarded. Accordingly, no assurance can be given that any adverse outcome would not be material to our consolidated financial position.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4, 2018, we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7, 2018, the holder of the Series A Convertible Preferred Stock, par value $0.01 per share (the “Preferred Stock”), of the Company, converted an aggregate of 500 shares of the Preferred Stock for an aggregate of 500,000 shares of the Company’s common stock. Pursuant to the terms of conversion of the Preferred Stock, each such share is convertible, upon request and for no additional consideration, into 1,000 shares of the common stock of the Registrant. The issuances of the 500,000 shares of common stock were exempt from registration under Section 4(a)(2) under the Securities Act of 1933, as amended and the rules promulgated thereunder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“Item 5. Other Information”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May 9, 2018, Alpha Capital delivered to the Company a request to convert 800 shares of the Preferred Stock held by Alpha Capital for 800,000 shares of the Company’s Common Stock, pursuant to the terms of conversion of the Preferred Stock. On May 11, 2018, the Company issued the 800,000 shares to Alpha Capital. The issuance of the 800,000 shares of common stock was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hereby furnished to the SEC as part of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56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Harel Gadot, Chairman, President and Chief Executive Officer</w:t>
              </w:r>
            </w:hyperlink>
          </w:p>
        </w:tc>
        <w:tc>
          <w:tcPr>
            <w:tcW w:w="4900" w:type="dxa"/>
            <w:vAlign w:val="bottom"/>
            <w:gridSpan w:val="2"/>
          </w:tcPr>
          <w:p>
            <w:pPr>
              <w:spacing w:after="0"/>
              <w:rPr>
                <w:sz w:val="18"/>
                <w:szCs w:val="18"/>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580" w:type="dxa"/>
            <w:vAlign w:val="bottom"/>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Certification of David Ben Naim, Chief Financial Officer</w:t>
              </w:r>
            </w:hyperlink>
          </w:p>
        </w:tc>
      </w:tr>
      <w:tr>
        <w:trPr>
          <w:trHeight w:val="20"/>
        </w:trPr>
        <w:tc>
          <w:tcPr>
            <w:tcW w:w="84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5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Certification of Harel Gadot, Chairman, President and Chief Executive Officer, pursuant to 18 U.S.C. Section 1350, as adopted pursuant to</w:t>
              </w:r>
            </w:hyperlink>
          </w:p>
        </w:tc>
      </w:tr>
      <w:tr>
        <w:trPr>
          <w:trHeight w:val="196"/>
        </w:trPr>
        <w:tc>
          <w:tcPr>
            <w:tcW w:w="84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Section 906 of the Sarbanes-Oxley Act of 2002</w:t>
              </w:r>
            </w:hyperlink>
          </w:p>
        </w:tc>
        <w:tc>
          <w:tcPr>
            <w:tcW w:w="7160" w:type="dxa"/>
            <w:vAlign w:val="bottom"/>
            <w:gridSpan w:val="4"/>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10580" w:type="dxa"/>
            <w:vAlign w:val="bottom"/>
            <w:gridSpan w:val="6"/>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Certification of David Ben Naim, Chief Financial Officer, pursuant to 18 U.S.C. Section 1350, as adopted pursuant to Section 906 of the</w:t>
              </w:r>
            </w:hyperlink>
          </w:p>
        </w:tc>
      </w:tr>
      <w:tr>
        <w:trPr>
          <w:trHeight w:val="196"/>
        </w:trPr>
        <w:tc>
          <w:tcPr>
            <w:tcW w:w="840" w:type="dxa"/>
            <w:vAlign w:val="bottom"/>
          </w:tcPr>
          <w:p>
            <w:pPr>
              <w:spacing w:after="0"/>
              <w:rPr>
                <w:sz w:val="17"/>
                <w:szCs w:val="17"/>
                <w:color w:val="auto"/>
              </w:rPr>
            </w:pPr>
          </w:p>
        </w:tc>
        <w:tc>
          <w:tcPr>
            <w:tcW w:w="2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Sarbanes-Oxley Act of 2002</w:t>
              </w:r>
            </w:hyperlink>
          </w:p>
        </w:tc>
        <w:tc>
          <w:tcPr>
            <w:tcW w:w="850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80" w:type="dxa"/>
            <w:vAlign w:val="bottom"/>
            <w:gridSpan w:val="6"/>
          </w:tcPr>
          <w:p>
            <w:pPr>
              <w:spacing w:after="0"/>
              <w:rPr>
                <w:sz w:val="20"/>
                <w:szCs w:val="20"/>
                <w:color w:val="auto"/>
              </w:rPr>
            </w:pPr>
            <w:r>
              <w:rPr>
                <w:rFonts w:ascii="Arial" w:cs="Arial" w:eastAsia="Arial" w:hAnsi="Arial"/>
                <w:sz w:val="18"/>
                <w:szCs w:val="18"/>
                <w:color w:val="auto"/>
              </w:rPr>
              <w:t>XBRL Instance.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58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0580" w:type="dxa"/>
            <w:vAlign w:val="bottom"/>
            <w:gridSpan w:val="6"/>
          </w:tcPr>
          <w:p>
            <w:pPr>
              <w:spacing w:after="0"/>
              <w:rPr>
                <w:sz w:val="20"/>
                <w:szCs w:val="20"/>
                <w:color w:val="auto"/>
              </w:rPr>
            </w:pPr>
            <w:r>
              <w:rPr>
                <w:rFonts w:ascii="Arial" w:cs="Arial" w:eastAsia="Arial" w:hAnsi="Arial"/>
                <w:sz w:val="18"/>
                <w:szCs w:val="18"/>
                <w:color w:val="auto"/>
              </w:rPr>
              <w:t>XBRL Taxonomy Extension Calculation.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580" w:type="dxa"/>
            <w:vAlign w:val="bottom"/>
            <w:gridSpan w:val="6"/>
          </w:tcPr>
          <w:p>
            <w:pPr>
              <w:spacing w:after="0"/>
              <w:rPr>
                <w:sz w:val="20"/>
                <w:szCs w:val="20"/>
                <w:color w:val="auto"/>
              </w:rPr>
            </w:pPr>
            <w:r>
              <w:rPr>
                <w:rFonts w:ascii="Arial" w:cs="Arial" w:eastAsia="Arial" w:hAnsi="Arial"/>
                <w:sz w:val="18"/>
                <w:szCs w:val="18"/>
                <w:color w:val="auto"/>
              </w:rPr>
              <w:t>XBRL Taxonomy Extension Definition.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0580" w:type="dxa"/>
            <w:vAlign w:val="bottom"/>
            <w:gridSpan w:val="6"/>
          </w:tcPr>
          <w:p>
            <w:pPr>
              <w:spacing w:after="0"/>
              <w:rPr>
                <w:sz w:val="20"/>
                <w:szCs w:val="20"/>
                <w:color w:val="auto"/>
              </w:rPr>
            </w:pPr>
            <w:r>
              <w:rPr>
                <w:rFonts w:ascii="Arial" w:cs="Arial" w:eastAsia="Arial" w:hAnsi="Arial"/>
                <w:sz w:val="18"/>
                <w:szCs w:val="18"/>
                <w:color w:val="auto"/>
              </w:rPr>
              <w:t>XBRL Taxonomy Extension Labels.</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5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w:t>
            </w:r>
          </w:p>
        </w:tc>
      </w:tr>
      <w:tr>
        <w:trPr>
          <w:trHeight w:val="439"/>
        </w:trPr>
        <w:tc>
          <w:tcPr>
            <w:tcW w:w="84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4"/>
          </w:tcPr>
          <w:p>
            <w:pPr>
              <w:ind w:left="4780"/>
              <w:spacing w:after="0"/>
              <w:rPr>
                <w:sz w:val="20"/>
                <w:szCs w:val="20"/>
                <w:color w:val="auto"/>
              </w:rPr>
            </w:pPr>
            <w:r>
              <w:rPr>
                <w:rFonts w:ascii="Arial" w:cs="Arial" w:eastAsia="Arial" w:hAnsi="Arial"/>
                <w:sz w:val="18"/>
                <w:szCs w:val="18"/>
                <w:color w:val="auto"/>
              </w:rPr>
              <w:t>27</w:t>
            </w:r>
          </w:p>
        </w:tc>
        <w:tc>
          <w:tcPr>
            <w:tcW w:w="4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2018.</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Ben Naim</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March 31, 2018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5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15, 2018</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David Ben Naim, Chief Financial Officer of Microbot Medical Inc., hereby certify, pursuant to 18 U.S.C. Section 1350, as adopted pursuant to Section 906 of the Sarbanes-Oxley Act of 2002, that to my knowledge, the quarterly report on Form 10-Q for the period ending March 31, 2018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7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15, 2018</w:t>
      </w:r>
      <w:r>
        <w:rPr>
          <w:sz w:val="20"/>
          <w:szCs w:val="20"/>
          <w:color w:val="auto"/>
        </w:rPr>
        <w:tab/>
      </w:r>
      <w:r>
        <w:rPr>
          <w:rFonts w:ascii="Arial" w:cs="Arial" w:eastAsia="Arial" w:hAnsi="Arial"/>
          <w:sz w:val="16"/>
          <w:szCs w:val="16"/>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Ben Naim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upp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2019-12-28T21:54:31Z</dcterms:created>
  <dcterms:modified xsi:type="dcterms:W3CDTF">2019-12-28T21:54:31Z</dcterms:modified>
</cp:coreProperties>
</file>