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28,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28, 2005, StemCells, Inc. issued a press release announcing its financial results for the third quarter ended September 30, 2005. 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1,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Rodney Young</w:t>
      </w:r>
    </w:p>
    <w:p>
      <w:pPr>
        <w:ind w:left="300"/>
        <w:spacing w:after="0"/>
        <w:rPr>
          <w:sz w:val="20"/>
          <w:szCs w:val="20"/>
          <w:color w:val="auto"/>
        </w:rPr>
      </w:pPr>
      <w:r>
        <w:rPr>
          <w:rFonts w:ascii="Arial" w:cs="Arial" w:eastAsia="Arial" w:hAnsi="Arial"/>
          <w:sz w:val="19"/>
          <w:szCs w:val="19"/>
          <w:color w:val="auto"/>
        </w:rPr>
        <w:t>Chief Financial Officer</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(650) 475-3100 ext 105</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irpr@stemcellsinc.com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Schwartz Communications, Inc.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(781) 684-0770 or (415) 512-0770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stemcells@schwartz-pr.com</w:t>
      </w:r>
    </w:p>
    <w:p>
      <w:pPr>
        <w:spacing w:after="0" w:line="408" w:lineRule="exact"/>
        <w:rPr>
          <w:sz w:val="20"/>
          <w:szCs w:val="20"/>
          <w:color w:val="auto"/>
        </w:rPr>
      </w:pPr>
    </w:p>
    <w:p>
      <w:pPr>
        <w:sectPr>
          <w:pgSz w:w="11900" w:h="16838" w:orient="portrait"/>
          <w:cols w:equalWidth="0" w:num="2">
            <w:col w:w="4780" w:space="720"/>
            <w:col w:w="5920"/>
          </w:cols>
          <w:pgMar w:left="240" w:top="328" w:right="239" w:bottom="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STEMCELLS ANNOUNCES THIRD QUARTER 2005 FINANCIAL RESULTS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 xml:space="preserve">PALO ALTO, Calif., October 28, 2005 </w:t>
      </w:r>
      <w:r>
        <w:rPr>
          <w:rFonts w:ascii="Arial" w:cs="Arial" w:eastAsia="Arial" w:hAnsi="Arial"/>
          <w:sz w:val="22"/>
          <w:szCs w:val="22"/>
          <w:color w:val="auto"/>
        </w:rPr>
        <w:t>– StemCells, Inc. (NASDAQ: STEM) today reported its financial results and reviewed its</w:t>
      </w:r>
      <w:r>
        <w:rPr>
          <w:rFonts w:ascii="Arial" w:cs="Arial" w:eastAsia="Arial" w:hAnsi="Arial"/>
          <w:sz w:val="22"/>
          <w:szCs w:val="22"/>
          <w:b w:val="1"/>
          <w:bCs w:val="1"/>
          <w:color w:val="auto"/>
        </w:rPr>
        <w:t xml:space="preserve"> </w:t>
      </w:r>
      <w:r>
        <w:rPr>
          <w:rFonts w:ascii="Arial" w:cs="Arial" w:eastAsia="Arial" w:hAnsi="Arial"/>
          <w:sz w:val="22"/>
          <w:szCs w:val="22"/>
          <w:color w:val="auto"/>
        </w:rPr>
        <w:t>significant corporate events for the third quarter ended September 30, 2005.</w:t>
      </w:r>
    </w:p>
    <w:p>
      <w:pPr>
        <w:spacing w:after="0" w:line="169"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Company reported a net loss of $94,000, or $0.00 per share, for the third quarter ended September 30, 2005, compared to a net loss of $4,338,000, or $0.08 per share, for the third quarter ended September 30, 2004. The decrease in net loss from 2004 to 2005 was primarily attributable to the receipt of shares in ReNeuron as part of a license and settlement agreement. Upon receipt of these shares, the Company recorded approximately $3,748,000 as income, net of legal and other expenses. Cash and cash equivalents were $34,971,000 at September 30, 2005, compared with $23,141,000 at September 30, 2004.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Highlights for the quarter include:</w:t>
      </w:r>
    </w:p>
    <w:p>
      <w:pPr>
        <w:spacing w:after="0" w:line="206" w:lineRule="exact"/>
        <w:rPr>
          <w:sz w:val="20"/>
          <w:szCs w:val="20"/>
          <w:color w:val="auto"/>
        </w:rPr>
      </w:pPr>
    </w:p>
    <w:p>
      <w:pPr>
        <w:ind w:left="1020" w:right="120" w:hanging="183"/>
        <w:spacing w:after="0"/>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approval by the FDA of the Company’s Investigational New Drug application (IND) to begin a clinical trial of its human neural stem cells (HuCNS-SC™) for the treatment of Batten disease, a rare and fatal neurodegenerative genetic condition afflicting infants and children;</w:t>
      </w:r>
    </w:p>
    <w:p>
      <w:pPr>
        <w:spacing w:after="0" w:line="186" w:lineRule="exact"/>
        <w:rPr>
          <w:rFonts w:ascii="Arial" w:cs="Arial" w:eastAsia="Arial" w:hAnsi="Arial"/>
          <w:sz w:val="22"/>
          <w:szCs w:val="22"/>
          <w:color w:val="auto"/>
        </w:rPr>
      </w:pPr>
    </w:p>
    <w:p>
      <w:pPr>
        <w:jc w:val="both"/>
        <w:ind w:left="1020" w:right="180" w:hanging="183"/>
        <w:spacing w:after="0" w:line="328" w:lineRule="auto"/>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The publication in the </w:t>
      </w:r>
      <w:r>
        <w:rPr>
          <w:rFonts w:ascii="Arial" w:cs="Arial" w:eastAsia="Arial" w:hAnsi="Arial"/>
          <w:sz w:val="19"/>
          <w:szCs w:val="19"/>
          <w:i w:val="1"/>
          <w:iCs w:val="1"/>
          <w:color w:val="auto"/>
        </w:rPr>
        <w:t>Proceedings of the National Academy of Sciences of the United States of America</w:t>
      </w:r>
      <w:r>
        <w:rPr>
          <w:rFonts w:ascii="Arial" w:cs="Arial" w:eastAsia="Arial" w:hAnsi="Arial"/>
          <w:sz w:val="19"/>
          <w:szCs w:val="19"/>
          <w:color w:val="auto"/>
        </w:rPr>
        <w:t xml:space="preserve"> (“PNAS”) of the first study to show a direct link between HuCNS-SC and restoration of motor function in spinal cord injured mice;</w:t>
      </w:r>
    </w:p>
    <w:p>
      <w:pPr>
        <w:spacing w:after="0" w:line="105" w:lineRule="exact"/>
        <w:rPr>
          <w:rFonts w:ascii="Arial" w:cs="Arial" w:eastAsia="Arial" w:hAnsi="Arial"/>
          <w:sz w:val="19"/>
          <w:szCs w:val="19"/>
          <w:color w:val="auto"/>
        </w:rPr>
      </w:pPr>
    </w:p>
    <w:p>
      <w:pPr>
        <w:ind w:left="1020" w:right="40" w:hanging="183"/>
        <w:spacing w:after="0" w:line="249" w:lineRule="auto"/>
        <w:tabs>
          <w:tab w:leader="none" w:pos="102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agreement with ReNeuron Limited, a UK biotech corporation, under which StemCells granted ReNeuron a license that allows ReNeuron to exploit their “c-mycER” conditionally immortalized adult human neural stem cell technology for therapy and other purposes. In return for the license, StemCells received a 7.5% fully-diluted equity interest in ReNeuron Group plc, the listed UK parent corporation of ReNeuron Limited, and a cross-license to the exclusive use of ReNeuron’s technology for certain diseases and conditions;</w:t>
      </w:r>
    </w:p>
    <w:p>
      <w:pPr>
        <w:spacing w:after="0" w:line="178" w:lineRule="exact"/>
        <w:rPr>
          <w:rFonts w:ascii="Arial" w:cs="Arial" w:eastAsia="Arial" w:hAnsi="Arial"/>
          <w:sz w:val="21"/>
          <w:szCs w:val="21"/>
          <w:color w:val="auto"/>
        </w:rPr>
      </w:pPr>
    </w:p>
    <w:p>
      <w:pPr>
        <w:ind w:left="1020" w:hanging="183"/>
        <w:spacing w:after="0"/>
        <w:tabs>
          <w:tab w:leader="none" w:pos="102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transfer of the listing of StemCells’ shares to the Nasdaq National Market from the Nasdaq Capital Market;</w:t>
      </w:r>
    </w:p>
    <w:p>
      <w:pPr>
        <w:spacing w:after="0" w:line="217" w:lineRule="exact"/>
        <w:rPr>
          <w:rFonts w:ascii="Arial" w:cs="Arial" w:eastAsia="Arial" w:hAnsi="Arial"/>
          <w:sz w:val="21"/>
          <w:szCs w:val="21"/>
          <w:color w:val="auto"/>
        </w:rPr>
      </w:pPr>
    </w:p>
    <w:p>
      <w:pPr>
        <w:ind w:left="1020" w:hanging="183"/>
        <w:spacing w:after="0" w:line="251"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receipt by the Company of a manufacturing license for its California-based cell processing facility from the State of California Department of Health Services; and</w:t>
      </w:r>
    </w:p>
    <w:p>
      <w:pPr>
        <w:spacing w:after="0" w:line="173" w:lineRule="exact"/>
        <w:rPr>
          <w:rFonts w:ascii="Arial" w:cs="Arial" w:eastAsia="Arial" w:hAnsi="Arial"/>
          <w:sz w:val="22"/>
          <w:szCs w:val="22"/>
          <w:color w:val="auto"/>
        </w:rPr>
      </w:pPr>
    </w:p>
    <w:p>
      <w:pPr>
        <w:ind w:left="1020" w:hanging="183"/>
        <w:spacing w:after="0"/>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appointment of a new Chief Financial Officer.</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“This has been a very exciting and gratifying quarter for the Company. We have seen many months of dedicated effort by our employees and collaborators bear fruit. We are particularly enthused that the FDA has approved our first IND to begin a Phase I clinical trial to evaluate the safety and preliminary efficacy of HuCNS-SC to treat Batten disease. We look forward to initiating that trial in due course,” said Martin McGlynn, President and Chief Executive Officer of StemCells.”</w:t>
      </w:r>
    </w:p>
    <w:p>
      <w:pPr>
        <w:spacing w:after="0" w:line="174" w:lineRule="exact"/>
        <w:rPr>
          <w:sz w:val="20"/>
          <w:szCs w:val="20"/>
          <w:color w:val="auto"/>
        </w:rPr>
      </w:pPr>
    </w:p>
    <w:p>
      <w:pPr>
        <w:jc w:val="both"/>
        <w:ind w:right="440"/>
        <w:spacing w:after="0" w:line="238" w:lineRule="auto"/>
        <w:rPr>
          <w:sz w:val="20"/>
          <w:szCs w:val="20"/>
          <w:color w:val="auto"/>
        </w:rPr>
      </w:pPr>
      <w:r>
        <w:rPr>
          <w:rFonts w:ascii="Arial" w:cs="Arial" w:eastAsia="Arial" w:hAnsi="Arial"/>
          <w:sz w:val="22"/>
          <w:szCs w:val="22"/>
          <w:color w:val="auto"/>
        </w:rPr>
        <w:t>Mr. McGlynn added, “We are also pleased with our financial performance year to date. Our recent accomplishments have been achieved with considerable operating efficiency — for the nine months year to date, our cash burn for operating activities was slightly over $1 million per month. With $35 million in cash on hand, we remain in a strong financial position as we prepare to initiate our first clinical trial in Batten disease.”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 </w:t>
      </w:r>
      <w:r>
        <w:rPr>
          <w:rFonts w:ascii="Arial" w:cs="Arial" w:eastAsia="Arial" w:hAnsi="Arial"/>
          <w:sz w:val="19"/>
          <w:szCs w:val="19"/>
          <w:u w:val="single" w:color="auto"/>
          <w:color w:val="auto"/>
        </w:rPr>
        <w:t>www.stemcellsinc.com</w:t>
      </w:r>
      <w:r>
        <w:rPr>
          <w:rFonts w:ascii="Arial" w:cs="Arial" w:eastAsia="Arial" w:hAnsi="Arial"/>
          <w:sz w:val="19"/>
          <w:szCs w:val="19"/>
          <w:color w:val="auto"/>
        </w:rPr>
        <w:t>.</w:t>
      </w:r>
    </w:p>
    <w:p>
      <w:pPr>
        <w:spacing w:after="0" w:line="158"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regarding whether a suitable site for the Company’s clinical trial in Batten disease will be identified, whether the Institutional Review Board approval that is</w:t>
      </w:r>
    </w:p>
    <w:p>
      <w:pPr>
        <w:sectPr>
          <w:pgSz w:w="11900" w:h="16838" w:orient="portrait"/>
          <w:cols w:equalWidth="0" w:num="1">
            <w:col w:w="11420"/>
          </w:cols>
          <w:pgMar w:left="240" w:top="328" w:right="239" w:bottom="0" w:gutter="0" w:footer="0" w:header="0"/>
          <w:type w:val="continuous"/>
        </w:sectPr>
      </w:pPr>
    </w:p>
    <w:bookmarkStart w:id="5" w:name="page6"/>
    <w:bookmarkEnd w:id="5"/>
    <w:p>
      <w:pPr>
        <w:spacing w:after="0" w:line="244" w:lineRule="auto"/>
        <w:rPr>
          <w:sz w:val="20"/>
          <w:szCs w:val="20"/>
          <w:color w:val="auto"/>
        </w:rPr>
      </w:pPr>
      <w:r>
        <w:rPr>
          <w:rFonts w:ascii="Arial" w:cs="Arial" w:eastAsia="Arial" w:hAnsi="Arial"/>
          <w:sz w:val="21"/>
          <w:szCs w:val="21"/>
          <w:i w:val="1"/>
          <w:iCs w:val="1"/>
          <w:color w:val="auto"/>
        </w:rPr>
        <w:t>required before a clinical trial may go forward will be obtained for any site, and whether results obtained in the animal models of Infantile NCL, spinal cord injury, or other diseases and conditions will be able to be translated into treatment for humans; uncertainty as to whether the FDA will permit the Company to continue clinical testing in the Batten disease trial or in future clinical trials of proposed therapies for other diseases or conditions despite the novel and unproven nature of the Company’s technology; uncertainties regarding the Company’s ability to obtain the capital resources needed to continue its current research and development operations and to conduct the research, preclinical development and clinical trials necessary for regulatory approvals; uncertainties regarding ReNeuron’s technology, the Company’s ability to develop products using the ReNeuron technology, the likelihood of obtaining milestone or royalty payments from ReNeuron under the license agreement, the likelihood of any future collaborations with ReNeuron, and the value of the Company’s equity interest in ReNeuron; uncertainty regarding the validity and enforceability of the Company’s patents; uncertainty as to whether HuCNS-SC and any products that may be generated in the future in the Company’s stem cell programs will prove safe and clinically effective and not cause tumors or other side effects; uncertainty as to whether the Company will achieve revenues from product sales or become profitable; and other factors that are described in Exhibit 99 to the Company’s Annual Report on Form 10-K titled “Cautionary Factors Relevant to Forward-Looking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13970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6"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Condensed Consolidated Statement of Operations</w:t>
      </w:r>
    </w:p>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4960" w:type="dxa"/>
            <w:vAlign w:val="bottom"/>
            <w:tcBorders>
              <w:top w:val="single" w:sz="8" w:color="auto"/>
            </w:tcBorders>
            <w:gridSpan w:val="5"/>
          </w:tcPr>
          <w:p>
            <w:pPr>
              <w:spacing w:after="0" w:line="207" w:lineRule="exact"/>
              <w:rPr>
                <w:sz w:val="20"/>
                <w:szCs w:val="20"/>
                <w:color w:val="auto"/>
              </w:rPr>
            </w:pPr>
            <w:r>
              <w:rPr>
                <w:rFonts w:ascii="Arial" w:cs="Arial" w:eastAsia="Arial" w:hAnsi="Arial"/>
                <w:sz w:val="20"/>
                <w:szCs w:val="20"/>
                <w:b w:val="1"/>
                <w:bCs w:val="1"/>
                <w:color w:val="auto"/>
                <w:w w:val="99"/>
              </w:rPr>
              <w:t>(in thousands, except share and per share amounts)</w:t>
            </w: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r>
      <w:tr>
        <w:trPr>
          <w:trHeight w:val="246"/>
        </w:trPr>
        <w:tc>
          <w:tcPr>
            <w:tcW w:w="3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left="521"/>
              <w:spacing w:after="0"/>
              <w:rPr>
                <w:sz w:val="20"/>
                <w:szCs w:val="20"/>
                <w:color w:val="auto"/>
              </w:rPr>
            </w:pPr>
            <w:r>
              <w:rPr>
                <w:rFonts w:ascii="Arial" w:cs="Arial" w:eastAsia="Arial" w:hAnsi="Arial"/>
                <w:sz w:val="20"/>
                <w:szCs w:val="20"/>
                <w:color w:val="auto"/>
                <w:w w:val="87"/>
              </w:rPr>
              <w:t>Three months ended</w:t>
            </w:r>
          </w:p>
        </w:tc>
        <w:tc>
          <w:tcPr>
            <w:tcW w:w="6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9"/>
          </w:tcPr>
          <w:p>
            <w:pPr>
              <w:jc w:val="right"/>
              <w:ind w:right="1120"/>
              <w:spacing w:after="0"/>
              <w:rPr>
                <w:sz w:val="20"/>
                <w:szCs w:val="20"/>
                <w:color w:val="auto"/>
              </w:rPr>
            </w:pPr>
            <w:r>
              <w:rPr>
                <w:rFonts w:ascii="Arial" w:cs="Arial" w:eastAsia="Arial" w:hAnsi="Arial"/>
                <w:sz w:val="20"/>
                <w:szCs w:val="20"/>
                <w:color w:val="auto"/>
                <w:w w:val="94"/>
              </w:rPr>
              <w:t>Nine months ended</w:t>
            </w:r>
          </w:p>
        </w:tc>
      </w:tr>
      <w:tr>
        <w:trPr>
          <w:trHeight w:val="237"/>
        </w:trPr>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left="521"/>
              <w:spacing w:after="0"/>
              <w:rPr>
                <w:sz w:val="20"/>
                <w:szCs w:val="20"/>
                <w:color w:val="auto"/>
              </w:rPr>
            </w:pPr>
            <w:r>
              <w:rPr>
                <w:rFonts w:ascii="Arial" w:cs="Arial" w:eastAsia="Arial" w:hAnsi="Arial"/>
                <w:sz w:val="20"/>
                <w:szCs w:val="20"/>
                <w:color w:val="auto"/>
                <w:w w:val="86"/>
              </w:rPr>
              <w:t>September 30,</w:t>
            </w: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9"/>
          </w:tcPr>
          <w:p>
            <w:pPr>
              <w:jc w:val="right"/>
              <w:ind w:right="1320"/>
              <w:spacing w:after="0"/>
              <w:rPr>
                <w:sz w:val="20"/>
                <w:szCs w:val="20"/>
                <w:color w:val="auto"/>
              </w:rPr>
            </w:pPr>
            <w:r>
              <w:rPr>
                <w:rFonts w:ascii="Arial" w:cs="Arial" w:eastAsia="Arial" w:hAnsi="Arial"/>
                <w:sz w:val="20"/>
                <w:szCs w:val="20"/>
                <w:color w:val="auto"/>
              </w:rPr>
              <w:t>September 30,</w:t>
            </w:r>
          </w:p>
        </w:tc>
      </w:tr>
      <w:tr>
        <w:trPr>
          <w:trHeight w:val="237"/>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2005</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2004</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2005</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2004</w:t>
            </w:r>
          </w:p>
        </w:tc>
        <w:tc>
          <w:tcPr>
            <w:tcW w:w="440" w:type="dxa"/>
            <w:vAlign w:val="bottom"/>
          </w:tcPr>
          <w:p>
            <w:pPr>
              <w:spacing w:after="0"/>
              <w:rPr>
                <w:sz w:val="20"/>
                <w:szCs w:val="20"/>
                <w:color w:val="auto"/>
              </w:rPr>
            </w:pPr>
          </w:p>
        </w:tc>
      </w:tr>
      <w:tr>
        <w:trPr>
          <w:trHeight w:val="220"/>
        </w:trPr>
        <w:tc>
          <w:tcPr>
            <w:tcW w:w="3420" w:type="dxa"/>
            <w:vAlign w:val="bottom"/>
            <w:gridSpan w:val="2"/>
          </w:tcPr>
          <w:p>
            <w:pPr>
              <w:spacing w:after="0" w:line="220" w:lineRule="exact"/>
              <w:rPr>
                <w:sz w:val="20"/>
                <w:szCs w:val="20"/>
                <w:color w:val="auto"/>
              </w:rPr>
            </w:pPr>
            <w:r>
              <w:rPr>
                <w:rFonts w:ascii="Arial" w:cs="Arial" w:eastAsia="Arial" w:hAnsi="Arial"/>
                <w:sz w:val="20"/>
                <w:szCs w:val="20"/>
                <w:color w:val="auto"/>
              </w:rPr>
              <w:t>Revenue from grants and licensing</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agreements</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91</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163</w:t>
            </w:r>
          </w:p>
        </w:tc>
        <w:tc>
          <w:tcPr>
            <w:tcW w:w="4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103</w:t>
            </w: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Operating Expenses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Research and development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2,527</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2,075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6,454</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5,882</w:t>
            </w: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General &amp; administrative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1,359</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904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3,480</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2,645</w:t>
            </w: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Wind-down expenses related to</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260"/>
              <w:spacing w:after="0"/>
              <w:rPr>
                <w:sz w:val="20"/>
                <w:szCs w:val="20"/>
                <w:color w:val="auto"/>
              </w:rPr>
            </w:pPr>
            <w:r>
              <w:rPr>
                <w:rFonts w:ascii="Arial" w:cs="Arial" w:eastAsia="Arial" w:hAnsi="Arial"/>
                <w:sz w:val="20"/>
                <w:szCs w:val="20"/>
                <w:color w:val="auto"/>
              </w:rPr>
              <w:t>our former corporate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260"/>
              <w:spacing w:after="0"/>
              <w:rPr>
                <w:sz w:val="20"/>
                <w:szCs w:val="20"/>
                <w:color w:val="auto"/>
              </w:rPr>
            </w:pPr>
            <w:r>
              <w:rPr>
                <w:rFonts w:ascii="Arial" w:cs="Arial" w:eastAsia="Arial" w:hAnsi="Arial"/>
                <w:sz w:val="20"/>
                <w:szCs w:val="20"/>
                <w:color w:val="auto"/>
              </w:rPr>
              <w:t>headquarters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297</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1,346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2,015</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1,944</w:t>
            </w: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Total operating expenses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4,183</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4,324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11,949</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rPr>
              <w:t>10,471</w:t>
            </w: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Loss from operations</w:t>
            </w:r>
          </w:p>
        </w:tc>
        <w:tc>
          <w:tcPr>
            <w:tcW w:w="1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20"/>
                <w:szCs w:val="20"/>
                <w:color w:val="auto"/>
              </w:rPr>
              <w:t>(4,092)</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rPr>
              <w:t>(4,320)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20"/>
                <w:szCs w:val="20"/>
                <w:color w:val="auto"/>
              </w:rPr>
              <w:t>(11,786)</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20"/>
                <w:szCs w:val="20"/>
                <w:color w:val="auto"/>
              </w:rPr>
              <w:t>(10,368)</w:t>
            </w: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Other income (expense)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License and settlement agreement,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4"/>
        </w:trPr>
        <w:tc>
          <w:tcPr>
            <w:tcW w:w="3420" w:type="dxa"/>
            <w:vAlign w:val="bottom"/>
            <w:gridSpan w:val="2"/>
          </w:tcPr>
          <w:p>
            <w:pPr>
              <w:ind w:left="260"/>
              <w:spacing w:after="0" w:line="224" w:lineRule="exact"/>
              <w:rPr>
                <w:sz w:val="20"/>
                <w:szCs w:val="20"/>
                <w:color w:val="auto"/>
              </w:rPr>
            </w:pPr>
            <w:r>
              <w:rPr>
                <w:rFonts w:ascii="Arial" w:cs="Arial" w:eastAsia="Arial" w:hAnsi="Arial"/>
                <w:sz w:val="20"/>
                <w:szCs w:val="20"/>
                <w:color w:val="auto"/>
              </w:rPr>
              <w:t>net</w:t>
            </w:r>
          </w:p>
        </w:tc>
        <w:tc>
          <w:tcPr>
            <w:tcW w:w="120" w:type="dxa"/>
            <w:vAlign w:val="bottom"/>
          </w:tcPr>
          <w:p>
            <w:pPr>
              <w:spacing w:after="0"/>
              <w:rPr>
                <w:sz w:val="19"/>
                <w:szCs w:val="19"/>
                <w:color w:val="auto"/>
              </w:rPr>
            </w:pPr>
          </w:p>
        </w:tc>
        <w:tc>
          <w:tcPr>
            <w:tcW w:w="900" w:type="dxa"/>
            <w:vAlign w:val="bottom"/>
          </w:tcPr>
          <w:p>
            <w:pPr>
              <w:jc w:val="right"/>
              <w:spacing w:after="0" w:line="224" w:lineRule="exact"/>
              <w:rPr>
                <w:sz w:val="20"/>
                <w:szCs w:val="20"/>
                <w:color w:val="auto"/>
              </w:rPr>
            </w:pPr>
            <w:r>
              <w:rPr>
                <w:rFonts w:ascii="Arial" w:cs="Arial" w:eastAsia="Arial" w:hAnsi="Arial"/>
                <w:sz w:val="20"/>
                <w:szCs w:val="20"/>
                <w:color w:val="auto"/>
              </w:rPr>
              <w:t>3,748</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440"/>
              <w:spacing w:after="0" w:line="224"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spacing w:after="0" w:line="224" w:lineRule="exact"/>
              <w:rPr>
                <w:sz w:val="20"/>
                <w:szCs w:val="20"/>
                <w:color w:val="auto"/>
              </w:rPr>
            </w:pPr>
            <w:r>
              <w:rPr>
                <w:rFonts w:ascii="Arial" w:cs="Arial" w:eastAsia="Arial" w:hAnsi="Arial"/>
                <w:sz w:val="20"/>
                <w:szCs w:val="20"/>
                <w:color w:val="auto"/>
              </w:rPr>
              <w:t>3,748</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40"/>
              <w:spacing w:after="0" w:line="224" w:lineRule="exact"/>
              <w:rPr>
                <w:sz w:val="20"/>
                <w:szCs w:val="20"/>
                <w:color w:val="auto"/>
              </w:rPr>
            </w:pPr>
            <w:r>
              <w:rPr>
                <w:rFonts w:ascii="Arial" w:cs="Arial" w:eastAsia="Arial" w:hAnsi="Arial"/>
                <w:sz w:val="20"/>
                <w:szCs w:val="20"/>
                <w:color w:val="auto"/>
              </w:rPr>
              <w:t>—</w:t>
            </w:r>
          </w:p>
        </w:tc>
      </w:tr>
      <w:tr>
        <w:trPr>
          <w:trHeight w:val="236"/>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Other income (expense</w:t>
            </w:r>
            <w:r>
              <w:rPr>
                <w:rFonts w:ascii="Arial" w:cs="Arial" w:eastAsia="Arial" w:hAnsi="Arial"/>
                <w:sz w:val="20"/>
                <w:szCs w:val="20"/>
                <w:b w:val="1"/>
                <w:bCs w:val="1"/>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250</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627</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20"/>
                <w:szCs w:val="20"/>
                <w:color w:val="auto"/>
              </w:rPr>
              <w:t>(43)</w:t>
            </w:r>
          </w:p>
        </w:tc>
      </w:tr>
      <w:tr>
        <w:trPr>
          <w:trHeight w:val="246"/>
        </w:trPr>
        <w:tc>
          <w:tcPr>
            <w:tcW w:w="3420" w:type="dxa"/>
            <w:vAlign w:val="bottom"/>
            <w:gridSpan w:val="2"/>
          </w:tcPr>
          <w:p>
            <w:pPr>
              <w:spacing w:after="0"/>
              <w:rPr>
                <w:sz w:val="20"/>
                <w:szCs w:val="20"/>
                <w:color w:val="auto"/>
              </w:rPr>
            </w:pPr>
            <w:r>
              <w:rPr>
                <w:rFonts w:ascii="Arial" w:cs="Arial" w:eastAsia="Arial" w:hAnsi="Arial"/>
                <w:sz w:val="20"/>
                <w:szCs w:val="20"/>
                <w:color w:val="auto"/>
              </w:rPr>
              <w:t>Total other income (expense)</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3,998</w:t>
            </w: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rPr>
              <w:t>(18)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4,375</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20"/>
                <w:szCs w:val="20"/>
                <w:color w:val="auto"/>
              </w:rPr>
              <w:t>(43)</w:t>
            </w:r>
          </w:p>
        </w:tc>
      </w:tr>
      <w:tr>
        <w:trPr>
          <w:trHeight w:val="220"/>
        </w:trPr>
        <w:tc>
          <w:tcPr>
            <w:tcW w:w="3420" w:type="dxa"/>
            <w:vAlign w:val="bottom"/>
            <w:gridSpan w:val="2"/>
          </w:tcPr>
          <w:p>
            <w:pPr>
              <w:spacing w:after="0" w:line="220" w:lineRule="exact"/>
              <w:rPr>
                <w:sz w:val="20"/>
                <w:szCs w:val="20"/>
                <w:color w:val="auto"/>
              </w:rPr>
            </w:pPr>
            <w:r>
              <w:rPr>
                <w:rFonts w:ascii="Arial" w:cs="Arial" w:eastAsia="Arial" w:hAnsi="Arial"/>
                <w:sz w:val="20"/>
                <w:szCs w:val="20"/>
                <w:color w:val="auto"/>
              </w:rPr>
              <w:t>Net loss per share applicable to</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common shareholders; basic and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diluted</w:t>
            </w:r>
          </w:p>
        </w:tc>
        <w:tc>
          <w:tcPr>
            <w:tcW w:w="1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20"/>
                <w:szCs w:val="20"/>
                <w:color w:val="auto"/>
              </w:rPr>
              <w:t>($94)</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w w:val="88"/>
              </w:rPr>
              <w:t>($4,338)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20"/>
                <w:szCs w:val="20"/>
                <w:color w:val="auto"/>
              </w:rPr>
              <w:t>($7,411)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20"/>
                <w:szCs w:val="20"/>
                <w:color w:val="auto"/>
              </w:rPr>
              <w:t>($10,411)</w:t>
            </w: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Net loss per share applicable to</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common shareholders; basic and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diluted</w:t>
            </w:r>
          </w:p>
        </w:tc>
        <w:tc>
          <w:tcPr>
            <w:tcW w:w="1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20"/>
                <w:szCs w:val="20"/>
                <w:color w:val="auto"/>
              </w:rPr>
              <w:t>($0.00)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rPr>
              <w:t>($0.08)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20"/>
                <w:szCs w:val="20"/>
                <w:color w:val="auto"/>
              </w:rPr>
              <w:t>($0.12)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5"/>
          </w:tcPr>
          <w:p>
            <w:pPr>
              <w:jc w:val="right"/>
              <w:ind w:right="380"/>
              <w:spacing w:after="0"/>
              <w:rPr>
                <w:sz w:val="20"/>
                <w:szCs w:val="20"/>
                <w:color w:val="auto"/>
              </w:rPr>
            </w:pPr>
            <w:r>
              <w:rPr>
                <w:rFonts w:ascii="Arial" w:cs="Arial" w:eastAsia="Arial" w:hAnsi="Arial"/>
                <w:sz w:val="20"/>
                <w:szCs w:val="20"/>
                <w:color w:val="auto"/>
              </w:rPr>
              <w:t>($0.23)</w:t>
            </w: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Weighted average shares – basic</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and diluted</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5"/>
              </w:rPr>
              <w:t>64,179,563</w:t>
            </w:r>
          </w:p>
        </w:tc>
        <w:tc>
          <w:tcPr>
            <w:tcW w:w="5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20"/>
                <w:szCs w:val="20"/>
                <w:color w:val="auto"/>
              </w:rPr>
              <w:t>54,232,231</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w w:val="87"/>
              </w:rPr>
              <w:t>63,226,214</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20"/>
                <w:szCs w:val="20"/>
                <w:color w:val="auto"/>
                <w:w w:val="87"/>
              </w:rPr>
              <w:t>46,132,704</w:t>
            </w:r>
          </w:p>
        </w:tc>
        <w:tc>
          <w:tcPr>
            <w:tcW w:w="440" w:type="dxa"/>
            <w:vAlign w:val="bottom"/>
          </w:tcPr>
          <w:p>
            <w:pPr>
              <w:spacing w:after="0"/>
              <w:rPr>
                <w:sz w:val="21"/>
                <w:szCs w:val="21"/>
                <w:color w:val="auto"/>
              </w:rPr>
            </w:pPr>
          </w:p>
        </w:tc>
      </w:tr>
      <w:tr>
        <w:trPr>
          <w:trHeight w:val="455"/>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StemCells, Inc.</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23"/>
        </w:trPr>
        <w:tc>
          <w:tcPr>
            <w:tcW w:w="342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b w:val="1"/>
                <w:bCs w:val="1"/>
                <w:color w:val="auto"/>
                <w:w w:val="86"/>
              </w:rPr>
              <w:t>Condensed Consolidated Balance Sheets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center"/>
              <w:ind w:right="260"/>
              <w:spacing w:after="0" w:line="223" w:lineRule="exact"/>
              <w:rPr>
                <w:sz w:val="20"/>
                <w:szCs w:val="20"/>
                <w:color w:val="auto"/>
              </w:rPr>
            </w:pPr>
            <w:r>
              <w:rPr>
                <w:rFonts w:ascii="Arial" w:cs="Arial" w:eastAsia="Arial" w:hAnsi="Arial"/>
                <w:sz w:val="20"/>
                <w:szCs w:val="20"/>
                <w:color w:val="auto"/>
                <w:w w:val="86"/>
              </w:rPr>
              <w:t>September 30,</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00"/>
              <w:spacing w:after="0" w:line="223" w:lineRule="exact"/>
              <w:rPr>
                <w:sz w:val="20"/>
                <w:szCs w:val="20"/>
                <w:color w:val="auto"/>
              </w:rPr>
            </w:pPr>
            <w:r>
              <w:rPr>
                <w:rFonts w:ascii="Arial" w:cs="Arial" w:eastAsia="Arial" w:hAnsi="Arial"/>
                <w:sz w:val="20"/>
                <w:szCs w:val="20"/>
                <w:color w:val="auto"/>
                <w:w w:val="87"/>
              </w:rPr>
              <w:t>December 31,</w:t>
            </w:r>
          </w:p>
        </w:tc>
      </w:tr>
      <w:tr>
        <w:trPr>
          <w:trHeight w:val="206"/>
        </w:trPr>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spacing w:after="0" w:line="207" w:lineRule="exact"/>
              <w:rPr>
                <w:sz w:val="20"/>
                <w:szCs w:val="20"/>
                <w:color w:val="auto"/>
              </w:rPr>
            </w:pPr>
            <w:r>
              <w:rPr>
                <w:rFonts w:ascii="Arial" w:cs="Arial" w:eastAsia="Arial" w:hAnsi="Arial"/>
                <w:sz w:val="20"/>
                <w:szCs w:val="20"/>
                <w:color w:val="auto"/>
                <w:w w:val="89"/>
              </w:rPr>
              <w:t>2005</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jc w:val="right"/>
              <w:spacing w:after="0" w:line="207" w:lineRule="exact"/>
              <w:rPr>
                <w:sz w:val="20"/>
                <w:szCs w:val="20"/>
                <w:color w:val="auto"/>
              </w:rPr>
            </w:pPr>
            <w:r>
              <w:rPr>
                <w:rFonts w:ascii="Arial" w:cs="Arial" w:eastAsia="Arial" w:hAnsi="Arial"/>
                <w:sz w:val="20"/>
                <w:szCs w:val="20"/>
                <w:color w:val="auto"/>
              </w:rPr>
              <w:t>2004</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20"/>
                <w:szCs w:val="20"/>
                <w:color w:val="auto"/>
                <w:w w:val="90"/>
              </w:rPr>
              <w:t>(unaudited)</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20"/>
                <w:szCs w:val="20"/>
                <w:color w:val="auto"/>
              </w:rPr>
              <w:t>(a)</w:t>
            </w: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Assets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Current assets: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Cash &amp; cash equivalents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$34,971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$41,060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3420" w:type="dxa"/>
            <w:vAlign w:val="bottom"/>
            <w:gridSpan w:val="2"/>
          </w:tcPr>
          <w:p>
            <w:pPr>
              <w:ind w:left="140"/>
              <w:spacing w:after="0"/>
              <w:rPr>
                <w:sz w:val="20"/>
                <w:szCs w:val="20"/>
                <w:color w:val="auto"/>
              </w:rPr>
            </w:pPr>
            <w:r>
              <w:rPr>
                <w:rFonts w:ascii="Arial" w:cs="Arial" w:eastAsia="Arial" w:hAnsi="Arial"/>
                <w:sz w:val="20"/>
                <w:szCs w:val="20"/>
                <w:color w:val="auto"/>
              </w:rPr>
              <w:t>Other current assets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598</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390</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0"/>
        </w:trPr>
        <w:tc>
          <w:tcPr>
            <w:tcW w:w="3420" w:type="dxa"/>
            <w:vAlign w:val="bottom"/>
            <w:gridSpan w:val="2"/>
          </w:tcPr>
          <w:p>
            <w:pPr>
              <w:spacing w:after="0" w:line="220" w:lineRule="exact"/>
              <w:rPr>
                <w:sz w:val="20"/>
                <w:szCs w:val="20"/>
                <w:color w:val="auto"/>
              </w:rPr>
            </w:pPr>
            <w:r>
              <w:rPr>
                <w:rFonts w:ascii="Arial" w:cs="Arial" w:eastAsia="Arial" w:hAnsi="Arial"/>
                <w:sz w:val="20"/>
                <w:szCs w:val="20"/>
                <w:color w:val="auto"/>
              </w:rPr>
              <w:t>Total current assets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560" w:type="dxa"/>
            <w:vAlign w:val="bottom"/>
            <w:tcBorders>
              <w:top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w w:val="84"/>
              </w:rPr>
              <w:t>35,569</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w w:val="88"/>
              </w:rPr>
              <w:t>41,450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Marketable securities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3,821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20"/>
                <w:szCs w:val="20"/>
                <w:color w:val="auto"/>
              </w:rPr>
              <w:t>—</w:t>
            </w: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Property, plant &amp; equipment, net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3,387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3,424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3420" w:type="dxa"/>
            <w:vAlign w:val="bottom"/>
            <w:gridSpan w:val="2"/>
          </w:tcPr>
          <w:p>
            <w:pPr>
              <w:spacing w:after="0"/>
              <w:rPr>
                <w:sz w:val="20"/>
                <w:szCs w:val="20"/>
                <w:color w:val="auto"/>
              </w:rPr>
            </w:pPr>
            <w:r>
              <w:rPr>
                <w:rFonts w:ascii="Arial" w:cs="Arial" w:eastAsia="Arial" w:hAnsi="Arial"/>
                <w:sz w:val="20"/>
                <w:szCs w:val="20"/>
                <w:color w:val="auto"/>
              </w:rPr>
              <w:t>Other assets, net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2,679</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2,753</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0"/>
        </w:trPr>
        <w:tc>
          <w:tcPr>
            <w:tcW w:w="3420" w:type="dxa"/>
            <w:vAlign w:val="bottom"/>
            <w:gridSpan w:val="2"/>
          </w:tcPr>
          <w:p>
            <w:pPr>
              <w:spacing w:after="0" w:line="220" w:lineRule="exact"/>
              <w:rPr>
                <w:sz w:val="20"/>
                <w:szCs w:val="20"/>
                <w:color w:val="auto"/>
              </w:rPr>
            </w:pPr>
            <w:r>
              <w:rPr>
                <w:rFonts w:ascii="Arial" w:cs="Arial" w:eastAsia="Arial" w:hAnsi="Arial"/>
                <w:sz w:val="20"/>
                <w:szCs w:val="20"/>
                <w:color w:val="auto"/>
              </w:rPr>
              <w:t>Total assets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560" w:type="dxa"/>
            <w:vAlign w:val="bottom"/>
            <w:tcBorders>
              <w:top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w w:val="84"/>
              </w:rPr>
              <w:t>45,456</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w w:val="88"/>
              </w:rPr>
              <w:t>47,627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Liabilities and stockholders’ equity</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Current 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2,859</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3,383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20"/>
                <w:szCs w:val="20"/>
                <w:color w:val="auto"/>
              </w:rPr>
              <w:t>Non-current 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20"/>
                <w:szCs w:val="20"/>
                <w:color w:val="auto"/>
              </w:rPr>
              <w:t>8,211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7,295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3420" w:type="dxa"/>
            <w:vAlign w:val="bottom"/>
            <w:gridSpan w:val="2"/>
          </w:tcPr>
          <w:p>
            <w:pPr>
              <w:spacing w:after="0"/>
              <w:rPr>
                <w:sz w:val="20"/>
                <w:szCs w:val="20"/>
                <w:color w:val="auto"/>
              </w:rPr>
            </w:pPr>
            <w:r>
              <w:rPr>
                <w:rFonts w:ascii="Arial" w:cs="Arial" w:eastAsia="Arial" w:hAnsi="Arial"/>
                <w:sz w:val="20"/>
                <w:szCs w:val="20"/>
                <w:color w:val="auto"/>
              </w:rPr>
              <w:t>Stockholders’ equity</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20"/>
                <w:szCs w:val="20"/>
                <w:color w:val="auto"/>
              </w:rPr>
              <w:t>34,386</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20"/>
                <w:szCs w:val="20"/>
                <w:color w:val="auto"/>
              </w:rPr>
              <w:t>36,949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4"/>
        </w:trPr>
        <w:tc>
          <w:tcPr>
            <w:tcW w:w="3420" w:type="dxa"/>
            <w:vAlign w:val="bottom"/>
            <w:gridSpan w:val="2"/>
          </w:tcPr>
          <w:p>
            <w:pPr>
              <w:spacing w:after="0"/>
              <w:rPr>
                <w:sz w:val="20"/>
                <w:szCs w:val="20"/>
                <w:color w:val="auto"/>
              </w:rPr>
            </w:pPr>
            <w:r>
              <w:rPr>
                <w:rFonts w:ascii="Arial" w:cs="Arial" w:eastAsia="Arial" w:hAnsi="Arial"/>
                <w:sz w:val="20"/>
                <w:szCs w:val="20"/>
                <w:color w:val="auto"/>
                <w:w w:val="98"/>
              </w:rPr>
              <w:t>Total liabilities and stockholders’ equity</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u w:val="single" w:color="auto"/>
                <w:color w:val="auto"/>
                <w:w w:val="84"/>
              </w:rPr>
              <w:t>45,456</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20"/>
                <w:szCs w:val="20"/>
                <w:u w:val="single" w:color="auto"/>
                <w:color w:val="auto"/>
                <w:w w:val="88"/>
              </w:rPr>
              <w:t>47,627</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5" w:lineRule="exact"/>
        <w:rPr>
          <w:sz w:val="20"/>
          <w:szCs w:val="20"/>
          <w:color w:val="auto"/>
        </w:rPr>
      </w:pPr>
    </w:p>
    <w:p>
      <w:pPr>
        <w:sectPr>
          <w:pgSz w:w="11900" w:h="16838" w:orient="portrait"/>
          <w:cols w:equalWidth="0" w:num="1">
            <w:col w:w="11400"/>
          </w:cols>
          <w:pgMar w:left="240" w:top="118" w:right="259" w:bottom="0" w:gutter="0" w:footer="0" w:header="0"/>
        </w:sectPr>
      </w:pPr>
    </w:p>
    <w:p>
      <w:pPr>
        <w:ind w:left="560" w:right="5600" w:hanging="262"/>
        <w:spacing w:after="0" w:line="277" w:lineRule="auto"/>
        <w:tabs>
          <w:tab w:leader="none" w:pos="5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audited financial statements included in StemCells’ annual report on form 10-K filed with the SEC.</w:t>
      </w:r>
    </w:p>
    <w:sectPr>
      <w:pgSz w:w="11900" w:h="16838" w:orient="portrait"/>
      <w:cols w:equalWidth="0" w:num="1">
        <w:col w:w="11400"/>
      </w:cols>
      <w:pgMar w:left="240" w:top="118" w:right="2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2019-12-13T21:52:12Z</dcterms:created>
  <dcterms:modified xsi:type="dcterms:W3CDTF">2019-12-13T21:52:12Z</dcterms:modified>
</cp:coreProperties>
</file>