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01/01/2021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280" w:hanging="4"/>
        <w:spacing w:after="0" w:line="563" w:lineRule="auto"/>
        <w:tabs>
          <w:tab w:leader="none" w:pos="95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[_] Rule 13d-1(c)</w:t>
      </w:r>
    </w:p>
    <w:p>
      <w:pPr>
        <w:ind w:left="660"/>
        <w:spacing w:after="0"/>
        <w:rPr>
          <w:rFonts w:ascii="Arial" w:cs="Arial" w:eastAsia="Arial" w:hAnsi="Arial"/>
          <w:sz w:val="16"/>
          <w:szCs w:val="16"/>
          <w:color w:val="auto"/>
        </w:rPr>
      </w:pPr>
      <w:r>
        <w:rPr>
          <w:rFonts w:ascii="Arial" w:cs="Arial" w:eastAsia="Arial" w:hAnsi="Arial"/>
          <w:sz w:val="18"/>
          <w:szCs w:val="18"/>
          <w:color w:val="auto"/>
        </w:rPr>
        <w:t>[_] Rule 13d-1(d)</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154305</wp:posOffset>
            </wp:positionV>
            <wp:extent cx="284607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59503A204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171450</wp:posOffset>
            </wp:positionV>
            <wp:extent cx="7132320" cy="5177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177790"/>
                    </a:xfrm>
                    <a:prstGeom prst="rect">
                      <a:avLst/>
                    </a:prstGeom>
                    <a:noFill/>
                  </pic:spPr>
                </pic:pic>
              </a:graphicData>
            </a:graphic>
          </wp:anchor>
        </w:drawing>
      </w:r>
    </w:p>
    <w:p>
      <w:pPr>
        <w:spacing w:after="0" w:line="259" w:lineRule="exact"/>
        <w:rPr>
          <w:sz w:val="20"/>
          <w:szCs w:val="20"/>
          <w:color w:val="auto"/>
        </w:rPr>
      </w:pPr>
    </w:p>
    <w:p>
      <w:pPr>
        <w:ind w:left="740" w:hanging="615"/>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Chasing Value Asset Management Inc. (TIN: 27-4574274)</w:t>
      </w:r>
    </w:p>
    <w:p>
      <w:pPr>
        <w:spacing w:after="0" w:line="32" w:lineRule="exact"/>
        <w:rPr>
          <w:sz w:val="20"/>
          <w:szCs w:val="20"/>
          <w:color w:val="auto"/>
        </w:rPr>
      </w:pPr>
    </w:p>
    <w:p>
      <w:pPr>
        <w:ind w:left="740" w:hanging="615"/>
        <w:spacing w:after="0"/>
        <w:tabs>
          <w:tab w:leader="none" w:pos="7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9" w:lineRule="exact"/>
        <w:rPr>
          <w:rFonts w:ascii="Arial" w:cs="Arial" w:eastAsia="Arial" w:hAnsi="Arial"/>
          <w:sz w:val="18"/>
          <w:szCs w:val="18"/>
          <w:b w:val="1"/>
          <w:bCs w:val="1"/>
          <w:color w:val="auto"/>
        </w:rPr>
      </w:pPr>
    </w:p>
    <w:p>
      <w:pPr>
        <w:ind w:left="980" w:hanging="248"/>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980" w:hanging="248"/>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8" w:lineRule="exact"/>
        <w:rPr>
          <w:sz w:val="20"/>
          <w:szCs w:val="20"/>
          <w:color w:val="auto"/>
        </w:rPr>
      </w:pPr>
    </w:p>
    <w:p>
      <w:pPr>
        <w:ind w:left="740" w:hanging="615"/>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52" w:lineRule="exact"/>
        <w:rPr>
          <w:sz w:val="20"/>
          <w:szCs w:val="20"/>
          <w:color w:val="auto"/>
        </w:rPr>
      </w:pPr>
    </w:p>
    <w:p>
      <w:pPr>
        <w:ind w:left="740" w:hanging="615"/>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California</w:t>
      </w:r>
    </w:p>
    <w:p>
      <w:pPr>
        <w:spacing w:after="0" w:line="32"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5"/>
          <w:szCs w:val="15"/>
          <w:b w:val="1"/>
          <w:bCs w:val="1"/>
          <w:color w:val="auto"/>
        </w:rPr>
        <w:t>Sole Voting Power</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p>
        </w:tc>
        <w:tc>
          <w:tcPr>
            <w:tcW w:w="6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6</w:t>
            </w: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207,000</w:t>
            </w:r>
          </w:p>
        </w:tc>
        <w:tc>
          <w:tcPr>
            <w:tcW w:w="0" w:type="dxa"/>
            <w:vAlign w:val="bottom"/>
          </w:tcPr>
          <w:p>
            <w:pPr>
              <w:spacing w:after="0"/>
              <w:rPr>
                <w:sz w:val="1"/>
                <w:szCs w:val="1"/>
                <w:color w:val="auto"/>
              </w:rPr>
            </w:pPr>
          </w:p>
        </w:tc>
      </w:tr>
      <w:tr>
        <w:trPr>
          <w:trHeight w:val="225"/>
        </w:trPr>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vMerge w:val="continue"/>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5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Beneficially</w:t>
            </w:r>
          </w:p>
        </w:tc>
        <w:tc>
          <w:tcPr>
            <w:tcW w:w="60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Owned by Each</w:t>
            </w:r>
          </w:p>
        </w:tc>
        <w:tc>
          <w:tcPr>
            <w:tcW w:w="6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Reporting Person</w:t>
            </w:r>
          </w:p>
        </w:tc>
        <w:tc>
          <w:tcPr>
            <w:tcW w:w="6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With:</w:t>
            </w:r>
          </w:p>
        </w:tc>
        <w:tc>
          <w:tcPr>
            <w:tcW w:w="60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610,657</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600" w:type="dxa"/>
            <w:vAlign w:val="bottom"/>
          </w:tcPr>
          <w:p>
            <w:pPr>
              <w:jc w:val="right"/>
              <w:ind w:right="270"/>
              <w:spacing w:after="0"/>
              <w:rPr>
                <w:sz w:val="20"/>
                <w:szCs w:val="20"/>
                <w:color w:val="auto"/>
              </w:rPr>
            </w:pPr>
            <w:r>
              <w:rPr>
                <w:rFonts w:ascii="Arial" w:cs="Arial" w:eastAsia="Arial" w:hAnsi="Arial"/>
                <w:sz w:val="18"/>
                <w:szCs w:val="18"/>
                <w:b w:val="1"/>
                <w:bCs w:val="1"/>
                <w:color w:val="auto"/>
              </w:rPr>
              <w:t>8</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0</w:t>
      </w:r>
    </w:p>
    <w:p>
      <w:pPr>
        <w:spacing w:after="0" w:line="32" w:lineRule="exact"/>
        <w:rPr>
          <w:sz w:val="20"/>
          <w:szCs w:val="20"/>
          <w:color w:val="auto"/>
        </w:rPr>
      </w:pPr>
    </w:p>
    <w:p>
      <w:pPr>
        <w:ind w:left="740" w:hanging="615"/>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610,657</w:t>
      </w:r>
    </w:p>
    <w:p>
      <w:pPr>
        <w:spacing w:after="0" w:line="32" w:lineRule="exact"/>
        <w:rPr>
          <w:sz w:val="20"/>
          <w:szCs w:val="20"/>
          <w:color w:val="auto"/>
        </w:rPr>
      </w:pPr>
    </w:p>
    <w:p>
      <w:pPr>
        <w:ind w:left="740" w:right="3780" w:hanging="615"/>
        <w:spacing w:after="0" w:line="391" w:lineRule="auto"/>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740" w:right="6680" w:hanging="615"/>
        <w:spacing w:after="0" w:line="391" w:lineRule="auto"/>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8.6%</w:t>
      </w:r>
    </w:p>
    <w:p>
      <w:pPr>
        <w:ind w:left="740" w:hanging="615"/>
        <w:spacing w:after="0"/>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9"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660" w:right="8960" w:hanging="652"/>
        <w:spacing w:after="0" w:line="530"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 of Issuer: </w:t>
      </w:r>
      <w:r>
        <w:rPr>
          <w:rFonts w:ascii="Arial" w:cs="Arial" w:eastAsia="Arial" w:hAnsi="Arial"/>
          <w:sz w:val="17"/>
          <w:szCs w:val="17"/>
          <w:color w:val="auto"/>
        </w:rPr>
        <w:t>Microbot Medical Inc.</w:t>
      </w: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 Recreation Park Drive, Unit 108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Hingham, MA 02043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Chasing Value Asset Management, Inc.</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660" w:right="80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2444 Wilshire Boulevard, Suite 300 Santa Monica, California 90403</w:t>
      </w:r>
    </w:p>
    <w:p>
      <w:pPr>
        <w:spacing w:after="0" w:line="119" w:lineRule="exact"/>
        <w:rPr>
          <w:rFonts w:ascii="Arial" w:cs="Arial" w:eastAsia="Arial" w:hAnsi="Arial"/>
          <w:sz w:val="18"/>
          <w:szCs w:val="18"/>
          <w:b w:val="1"/>
          <w:bCs w:val="1"/>
          <w:color w:val="auto"/>
        </w:rPr>
      </w:pPr>
    </w:p>
    <w:p>
      <w:pPr>
        <w:ind w:left="660" w:right="9400" w:hanging="652"/>
        <w:spacing w:after="0" w:line="530"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Citizenship: </w:t>
      </w:r>
      <w:r>
        <w:rPr>
          <w:rFonts w:ascii="Arial" w:cs="Arial" w:eastAsia="Arial" w:hAnsi="Arial"/>
          <w:sz w:val="17"/>
          <w:szCs w:val="17"/>
          <w:color w:val="auto"/>
        </w:rPr>
        <w:t>California, USA</w:t>
      </w:r>
    </w:p>
    <w:p>
      <w:pPr>
        <w:ind w:left="660" w:right="8260" w:hanging="652"/>
        <w:spacing w:after="0" w:line="563"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and Class of Securities: </w:t>
      </w:r>
      <w:r>
        <w:rPr>
          <w:rFonts w:ascii="Arial" w:cs="Arial" w:eastAsia="Arial" w:hAnsi="Arial"/>
          <w:sz w:val="16"/>
          <w:szCs w:val="16"/>
          <w:color w:val="auto"/>
        </w:rPr>
        <w:t>Common Stock, par value $0.01</w:t>
      </w: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CUSIP No.:</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2280" w:right="20" w:hanging="1300"/>
        <w:spacing w:after="0" w:line="277" w:lineRule="auto"/>
        <w:tabs>
          <w:tab w:leader="none" w:pos="16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25" w:lineRule="exact"/>
        <w:rPr>
          <w:rFonts w:ascii="Arial" w:cs="Arial" w:eastAsia="Arial" w:hAnsi="Arial"/>
          <w:sz w:val="18"/>
          <w:szCs w:val="18"/>
          <w:color w:val="auto"/>
        </w:rPr>
      </w:pPr>
    </w:p>
    <w:p>
      <w:pPr>
        <w:ind w:left="2280" w:hanging="1300"/>
        <w:spacing w:after="0" w:line="277" w:lineRule="auto"/>
        <w:tabs>
          <w:tab w:leader="none" w:pos="16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[_]Group, in accordance with Rule 240.13d-1(b)(1)(ii)(K). If filing as a non-U.S. institution in accordance with Rule 240.13d-1(b)(1)(ii)(J), please specify the type of institution: ____</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660" w:right="8360" w:hanging="652"/>
        <w:spacing w:after="0" w:line="500"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610,657</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8.6%</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25" w:lineRule="exact"/>
        <w:rPr>
          <w:rFonts w:ascii="Arial" w:cs="Arial" w:eastAsia="Arial" w:hAnsi="Arial"/>
          <w:sz w:val="18"/>
          <w:szCs w:val="18"/>
          <w:b w:val="1"/>
          <w:bCs w:val="1"/>
          <w:color w:val="auto"/>
        </w:rPr>
      </w:pPr>
    </w:p>
    <w:p>
      <w:pPr>
        <w:ind w:left="1300" w:right="6920" w:hanging="644"/>
        <w:spacing w:after="0" w:line="500" w:lineRule="auto"/>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207,000</w:t>
      </w:r>
    </w:p>
    <w:p>
      <w:pPr>
        <w:spacing w:after="0" w:line="1" w:lineRule="exact"/>
        <w:rPr>
          <w:rFonts w:ascii="Arial" w:cs="Arial" w:eastAsia="Arial" w:hAnsi="Arial"/>
          <w:sz w:val="18"/>
          <w:szCs w:val="18"/>
          <w:b w:val="1"/>
          <w:bCs w:val="1"/>
          <w:color w:val="auto"/>
        </w:rPr>
      </w:pPr>
    </w:p>
    <w:p>
      <w:pPr>
        <w:ind w:left="1300" w:right="6700" w:hanging="644"/>
        <w:spacing w:after="0" w:line="500" w:lineRule="auto"/>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1" w:lineRule="exact"/>
        <w:rPr>
          <w:rFonts w:ascii="Arial" w:cs="Arial" w:eastAsia="Arial" w:hAnsi="Arial"/>
          <w:sz w:val="18"/>
          <w:szCs w:val="18"/>
          <w:b w:val="1"/>
          <w:bCs w:val="1"/>
          <w:color w:val="auto"/>
        </w:rPr>
      </w:pPr>
    </w:p>
    <w:p>
      <w:pPr>
        <w:ind w:left="1300" w:right="5980" w:hanging="644"/>
        <w:spacing w:after="0" w:line="500" w:lineRule="auto"/>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610,657</w:t>
      </w:r>
    </w:p>
    <w:p>
      <w:pPr>
        <w:spacing w:after="0" w:line="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0440" w:type="dxa"/>
            <w:vAlign w:val="bottom"/>
          </w:tcPr>
          <w:p>
            <w:pPr>
              <w:ind w:left="500"/>
              <w:spacing w:after="0"/>
              <w:rPr>
                <w:sz w:val="20"/>
                <w:szCs w:val="20"/>
                <w:color w:val="auto"/>
              </w:rPr>
            </w:pPr>
            <w:r>
              <w:rPr>
                <w:rFonts w:ascii="Arial" w:cs="Arial" w:eastAsia="Arial" w:hAnsi="Arial"/>
                <w:sz w:val="18"/>
                <w:szCs w:val="18"/>
                <w:color w:val="auto"/>
              </w:rPr>
              <w:t>0</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18"/>
        </w:trPr>
        <w:tc>
          <w:tcPr>
            <w:tcW w:w="800" w:type="dxa"/>
            <w:vAlign w:val="bottom"/>
          </w:tcPr>
          <w:p>
            <w:pPr>
              <w:spacing w:after="0"/>
              <w:rPr>
                <w:sz w:val="24"/>
                <w:szCs w:val="24"/>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If this statement is being filed to report the fact that as of the date hereof the reporting person has ceased to be the beneficial owner of more</w:t>
            </w:r>
          </w:p>
        </w:tc>
      </w:tr>
      <w:tr>
        <w:trPr>
          <w:trHeight w:val="230"/>
        </w:trPr>
        <w:tc>
          <w:tcPr>
            <w:tcW w:w="80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than five percent of the class of securities, check the following [   ].</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800" w:type="dxa"/>
            <w:vAlign w:val="bottom"/>
          </w:tcPr>
          <w:p>
            <w:pPr>
              <w:spacing w:after="0"/>
              <w:rPr>
                <w:sz w:val="24"/>
                <w:szCs w:val="24"/>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14"/>
        </w:trPr>
        <w:tc>
          <w:tcPr>
            <w:tcW w:w="8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w w:val="92"/>
              </w:rPr>
              <w:t>Identification and classification of the subsidiary which acquired the security being reported on by the parent holding company or</w:t>
            </w:r>
          </w:p>
        </w:tc>
      </w:tr>
      <w:tr>
        <w:trPr>
          <w:trHeight w:val="234"/>
        </w:trPr>
        <w:tc>
          <w:tcPr>
            <w:tcW w:w="80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rPr>
              <w:t>control person.</w:t>
            </w:r>
          </w:p>
        </w:tc>
      </w:tr>
      <w:tr>
        <w:trPr>
          <w:trHeight w:val="432"/>
        </w:trPr>
        <w:tc>
          <w:tcPr>
            <w:tcW w:w="800" w:type="dxa"/>
            <w:vAlign w:val="bottom"/>
          </w:tcPr>
          <w:p>
            <w:pPr>
              <w:spacing w:after="0"/>
              <w:rPr>
                <w:sz w:val="24"/>
                <w:szCs w:val="24"/>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800" w:type="dxa"/>
            <w:vAlign w:val="bottom"/>
          </w:tcPr>
          <w:p>
            <w:pPr>
              <w:spacing w:after="0"/>
              <w:rPr>
                <w:sz w:val="24"/>
                <w:szCs w:val="24"/>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800" w:type="dxa"/>
            <w:vAlign w:val="bottom"/>
          </w:tcPr>
          <w:p>
            <w:pPr>
              <w:spacing w:after="0"/>
              <w:rPr>
                <w:sz w:val="24"/>
                <w:szCs w:val="24"/>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rPr>
              <w:t>Certifications.</w:t>
            </w:r>
          </w:p>
        </w:tc>
      </w:tr>
      <w:tr>
        <w:trPr>
          <w:trHeight w:val="418"/>
        </w:trPr>
        <w:tc>
          <w:tcPr>
            <w:tcW w:w="800" w:type="dxa"/>
            <w:vAlign w:val="bottom"/>
          </w:tcPr>
          <w:p>
            <w:pPr>
              <w:spacing w:after="0"/>
              <w:rPr>
                <w:sz w:val="24"/>
                <w:szCs w:val="24"/>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acquired and are held in the</w:t>
            </w:r>
          </w:p>
        </w:tc>
      </w:tr>
      <w:tr>
        <w:trPr>
          <w:trHeight w:val="216"/>
        </w:trPr>
        <w:tc>
          <w:tcPr>
            <w:tcW w:w="80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1"/>
              </w:rPr>
              <w:t>ordinary course of business and were not acquired and are not held for the purpose of or with the effect of changing or influencing the control</w:t>
            </w:r>
          </w:p>
        </w:tc>
      </w:tr>
      <w:tr>
        <w:trPr>
          <w:trHeight w:val="216"/>
        </w:trPr>
        <w:tc>
          <w:tcPr>
            <w:tcW w:w="80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w w:val="94"/>
              </w:rPr>
              <w:t>of the issuer of the securities and were not acquired and are not held in connection with or as a participant in any transaction having that</w:t>
            </w:r>
          </w:p>
        </w:tc>
      </w:tr>
      <w:tr>
        <w:trPr>
          <w:trHeight w:val="230"/>
        </w:trPr>
        <w:tc>
          <w:tcPr>
            <w:tcW w:w="80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purpose or effect.</w:t>
            </w:r>
          </w:p>
        </w:tc>
      </w:tr>
      <w:tr>
        <w:trPr>
          <w:trHeight w:val="439"/>
        </w:trPr>
        <w:tc>
          <w:tcPr>
            <w:tcW w:w="80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ind w:left="4420"/>
              <w:spacing w:after="0"/>
              <w:rPr>
                <w:sz w:val="20"/>
                <w:szCs w:val="20"/>
                <w:color w:val="auto"/>
              </w:rPr>
            </w:pPr>
            <w:r>
              <w:rPr>
                <w:rFonts w:ascii="Arial" w:cs="Arial" w:eastAsia="Arial" w:hAnsi="Arial"/>
                <w:sz w:val="18"/>
                <w:szCs w:val="18"/>
                <w:color w:val="auto"/>
              </w:rPr>
              <w:t>Page 4 of 5</w:t>
            </w: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Chasing Value Asset Management,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Sheldon D. Liber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Sheldon D. Liber</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68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2021-01-20T05:22:27Z</dcterms:created>
  <dcterms:modified xsi:type="dcterms:W3CDTF">2021-01-20T05:22:27Z</dcterms:modified>
</cp:coreProperties>
</file>