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333-276487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jc w:val="center"/>
        <w:spacing w:after="0" w:line="228"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22" w:orient="portrait"/>
          <w:cols w:equalWidth="0" w:num="1">
            <w:col w:w="11240"/>
          </w:cols>
          <w:pgMar w:left="320" w:top="441"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922" w:orient="portrait"/>
          <w:cols w:equalWidth="0" w:num="2">
            <w:col w:w="4900" w:space="720"/>
            <w:col w:w="5620"/>
          </w:cols>
          <w:pgMar w:left="320" w:top="441"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922" w:orient="portrait"/>
          <w:cols w:equalWidth="0" w:num="1">
            <w:col w:w="11240"/>
          </w:cols>
          <w:pgMar w:left="320" w:top="441" w:right="339" w:bottom="0" w:gutter="0" w:footer="0" w:header="0"/>
          <w:type w:val="continuous"/>
        </w:sectPr>
      </w:pPr>
    </w:p>
    <w:bookmarkStart w:id="1" w:name="page2"/>
    <w:bookmarkEnd w:id="1"/>
    <w:p>
      <w:pPr>
        <w:jc w:val="both"/>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to the Registration Statement on Form S-1, as amended (File No. 333-276487) (as amended, the “Registration Statement”) of Microbot Medical Inc. (the “Company”), as originally declared effective by the Securities and Exchange Commission (the “SEC”) on January 25, 2024, is being filed pursuant to the undertakings in Item 17 of the Registration Statement to include the audited consolidated financial statements and related notes of the Company as and for the year ended December 31, 2023 and updated disclosures in the prospectus related thereto.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contains an updated prospectus, and is being filed by the Company (i) to include the Company’s audited financial statements for the year ended December 31, 2023, (ii) to update the corresponding discussion of such financial information contained in the section “Management’s Discussion and Analysis of Financial Conditions and Results of Operations” and other sections of the prospectus, and (iii) to update certain other information in the prospectus, including business activities since the effective date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11,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sale or other disposition from time to time of up to 1,769,966 shares of our common stock, $0.01 par value per share, representing shares issuable upon the exercise of outstanding preferred investment options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65.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June 7, 2024, the last reported closing price of our common stock on the Nasdaq Capital Market was $1.08.</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194" w:lineRule="exact"/>
        <w:rPr>
          <w:rFonts w:ascii="Times New Roman" w:cs="Times New Roman" w:eastAsia="Times New Roman" w:hAnsi="Times New Roman"/>
          <w:sz w:val="18"/>
          <w:szCs w:val="18"/>
          <w:color w:val="auto"/>
        </w:rPr>
      </w:pPr>
    </w:p>
    <w:p>
      <w:pPr>
        <w:ind w:left="660" w:right="20" w:hanging="328"/>
        <w:spacing w:after="0" w:line="204"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feature is subject to a buy-back clause which was triggered, thus causing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options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The study will be conducted in the U.S., and we have signed a clinical trial service agreement with a leading academic medical center. We are also in the process of engaging additional leading centers to participate in the trial. In parallel to commencing the pivotal human clinical trial, we are completing our biocompatibility tests as required by its IDE application.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w:t>
      </w:r>
    </w:p>
    <w:p>
      <w:pPr>
        <w:sectPr>
          <w:pgSz w:w="11900" w:h="16838" w:orient="portrait"/>
          <w:cols w:equalWidth="0" w:num="1">
            <w:col w:w="11240"/>
          </w:cols>
          <w:pgMar w:left="320" w:top="684" w:right="339" w:bottom="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“Business-Government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 See “Risk Factors–Risks Relating to the Development and Commercialization of Microbot’s Product Candidates”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1,769,966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preferred investment options expiring in July 2029, at an exercise price per share of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1,769,966 shares</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15,965,633 shares</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17,735,599 shares</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17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June 7, 2024.</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1,769,966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the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1,769,966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stated elsewhere in this prospectus, we have not generated any revenues, have sustained losses and have accumulated a significant deficit since our inception. Also, we estimate that our cash resources are only sufficient to fund our operations for less than one year from the filing date of this prospectus. As a result, our continued existence is dependent upon our ability to obtain additional debt or equity financing and to ultimately become a commercially viable organization. As of March 31, 2024, the Company had unrestricted cash, cash equivalents and marketable securities of approximately $6.35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preclinical studies in large animals and potentially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programs relating to the SCS device,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04"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7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85"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37"/>
          <w:szCs w:val="37"/>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 is subject to a buy-back clause which was triggered, causing us to lose rights to the technology.</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affect our ability to develop and 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as, if and when we restart that feature with our Nitiloop technology.</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5540" w:right="1300" w:hanging="5208"/>
        <w:spacing w:after="0" w:line="563" w:lineRule="auto"/>
        <w:tabs>
          <w:tab w:leader="none" w:pos="6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standard of care.</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 for its planned applications.</w:t>
      </w:r>
    </w:p>
    <w:p>
      <w:pPr>
        <w:spacing w:after="0" w:line="2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strike w:val="1"/>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7, 2024, there were approximately 97 holders of record of our common stock, and the closing price of our common stock as reported on the NASDAQ Capital Market was $1.08.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 net of insurance loss recoveries.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month periods ended March 31, 2024 and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(1,215)</w:t>
            </w:r>
          </w:p>
        </w:tc>
        <w:tc>
          <w:tcPr>
            <w:tcW w:w="3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reduction in payroll due to an increase in vacation utilization, deduction of government grants and decrease in expenses related to the outsourcing of the manufacturing of the Company’s LIBERTY product.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lower travel expenses in the first quarter of 2024 and lower payroll expenses compared to the comparable period in 2023, offset by increase in stock base compensation due to new option grants and increase in professional services.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three months ended March 31, 2024 compared to March 31,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differences and a decrease in interest income.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0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(7,736)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decrease in research and development expenses of approximately $2.0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net. The decrease in general and administrative expenses of approximately $1.4 million in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Income, net. </w:t>
      </w:r>
      <w:r>
        <w:rPr>
          <w:rFonts w:ascii="Times New Roman" w:cs="Times New Roman" w:eastAsia="Times New Roman" w:hAnsi="Times New Roman"/>
          <w:sz w:val="18"/>
          <w:szCs w:val="18"/>
          <w:color w:val="auto"/>
        </w:rPr>
        <w:t>Financing income for the year ended December 31, 2023 included income from interest, net, totaling $283,000 and was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exchange rate losses of $55,000, compared to 2022, which consisted of income from interest, net, totaling $54,000, combined with exchange rate gains of $64,000.</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legal settlement, net. </w:t>
      </w:r>
      <w:r>
        <w:rPr>
          <w:rFonts w:ascii="Times New Roman" w:cs="Times New Roman" w:eastAsia="Times New Roman" w:hAnsi="Times New Roman"/>
          <w:sz w:val="18"/>
          <w:szCs w:val="18"/>
          <w:color w:val="auto"/>
        </w:rPr>
        <w:t>Loss on legal settlement, net for the year ended December 31, 2023 is related to the January 2024 issuance of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settle the Lawsuit pursuant to the Settlement Agreement. See “Part I-Recent Developments-Settlement of Lawsuit.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March 31,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March 31, 2024, Microbot has raised cash proceeds of approximately $69.3 million and incurred a total cumulative loss of approximately $81.9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March 31,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$2.7 million in gross proceeds, before fees and expenses of approximately $333,000, from financing activities in January 2024, and approximately $2.35 million in gross proceeds, before fees and expenses of approximately $264,000 (not including legal fees and other company expenses), from financing activities in June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744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(3,203)</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14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(1,284)</w:t>
            </w:r>
          </w:p>
        </w:tc>
        <w:tc>
          <w:tcPr>
            <w:tcW w:w="1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2,397</w:t>
            </w:r>
          </w:p>
        </w:tc>
        <w:tc>
          <w:tcPr>
            <w:tcW w:w="1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14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decrease in 2024 in net cash flows from operating activities was primarily from a decrease in research and development expenses 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2024 in net cash flows from investing activities was mainly due to an increase in the acquisition of marketable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2024 in net cash flows from financing activities was due to the Company’s raising of capital pursuant to its warrant reset offering which closed in January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6"/>
        </w:trPr>
        <w:tc>
          <w:tcPr>
            <w:tcW w:w="7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(3,836)</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2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2023 of cash flows used in operating activities compared to 2022 was primarily from a decrease in research and development expenses</w:t>
      </w:r>
    </w:p>
    <w:p>
      <w:pPr>
        <w:spacing w:after="0" w:line="2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8"/>
          <w:szCs w:val="18"/>
          <w:color w:val="auto"/>
        </w:rPr>
        <w:t>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in 2023 as a result of the Company’s May 2023 cost reduction plan and core-business focus program.</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investing activities increased in 2023 compared to 2022 by approximately $5.8 million, primarily from the net purchases of marketable securities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2023 by approximately $2.2 million due to increased issuances of common stock and warrants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March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 See “Risk Factors–Risks Relating to the Development and Commercialization of Microbot’s Product Candidates”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37"/>
          <w:szCs w:val="37"/>
          <w:b w:val="1"/>
          <w:bCs w:val="1"/>
          <w:i w:val="1"/>
          <w:iCs w:val="1"/>
          <w:color w:val="auto"/>
          <w:vertAlign w:val="superscript"/>
        </w:rPr>
        <w:t>®</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options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The study will be conducted in the U.S., and we have signed a clinical trial service agreement with a leading academic medical center. We are also in the process of engaging additional leading centers to participate in the trial. In parallel to commencing the pivotal human clinical trial, we are completing our biocompatibility tests as required by its IDE application.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ectPr>
          <w:pgSz w:w="11900" w:h="16838" w:orient="portrait"/>
          <w:cols w:equalWidth="0" w:num="1">
            <w:col w:w="11240"/>
          </w:cols>
          <w:pgMar w:left="320" w:top="688" w:right="339"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other off-the-shelf products, it is well-positioned to deliver a value-added endovascular robotic system, with a focus on improving the ease and access and enhancing the safety of endovascular interventions.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18"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and The Technion Research and Development</w:t>
      </w:r>
    </w:p>
    <w:p>
      <w:pPr>
        <w:jc w:val="both"/>
        <w:spacing w:after="0" w:line="217" w:lineRule="auto"/>
        <w:rPr>
          <w:sz w:val="20"/>
          <w:szCs w:val="20"/>
          <w:color w:val="auto"/>
        </w:rPr>
      </w:pPr>
      <w:r>
        <w:rPr>
          <w:rFonts w:ascii="Times New Roman" w:cs="Times New Roman" w:eastAsia="Times New Roman" w:hAnsi="Times New Roman"/>
          <w:sz w:val="18"/>
          <w:szCs w:val="18"/>
          <w:color w:val="auto"/>
        </w:rPr>
        <w:t>Foundation Ltd., or TRDF. The NovaCross</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47 patent applications pending worldwide. Microbot also holds 10 design patents issued/allowed and 5 design patents pending worldwide. It also has registered</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NovaCross trademark.</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As of March 31, 2024, the Company received approximately $50,000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2023, respectively, Microbot incurred research and development expenses of approximately $7,736,000 and $5,724,000.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Microbot has not yet established a sales, marketing or product distribution infrastructure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52"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the IDE process. </w:t>
      </w:r>
      <w:r>
        <w:rPr>
          <w:rFonts w:ascii="Times New Roman" w:cs="Times New Roman" w:eastAsia="Times New Roman" w:hAnsi="Times New Roman"/>
          <w:sz w:val="18"/>
          <w:szCs w:val="18"/>
          <w:color w:val="auto"/>
        </w:rPr>
        <w:t>The IDE will become effective 30 days after receipt by the FDA, unless the FDA otherwise informs the sponsor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744"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656"/>
        <w:spacing w:after="0" w:line="282"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ectPr>
          <w:pgSz w:w="11900" w:h="16838" w:orient="portrait"/>
          <w:cols w:equalWidth="0" w:num="1">
            <w:col w:w="11240"/>
          </w:cols>
          <w:pgMar w:left="320" w:top="688" w:right="339" w:bottom="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7" w:name="page58"/>
    <w:bookmarkEnd w:id="57"/>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quarterly financial statements for the quarter ended March 31, 2024, included elsewhere in this prospectus.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7, 2024, we have 22 employees (including full-time and hourly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June 7,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Bornstein, Burell, Madden, Laxminarain and Wenderow, and Ms. Stockburger.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June 7,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7</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59"/>
        </w:trPr>
        <w:tc>
          <w:tcPr>
            <w:tcW w:w="3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40" w:type="dxa"/>
            <w:vAlign w:val="bottom"/>
          </w:tcPr>
          <w:p>
            <w:pPr>
              <w:spacing w:after="0"/>
              <w:rPr>
                <w:sz w:val="22"/>
                <w:szCs w:val="22"/>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194"/>
        </w:trPr>
        <w:tc>
          <w:tcPr>
            <w:tcW w:w="384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Directors</w:t>
            </w: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June 7, 2024.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514,049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1,838,166</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255,621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115,874(6)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146,403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181,235(8)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284,024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137,245(8)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142,012</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47,372(9)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120,847</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96,000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14,170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2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84" w:right="3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9,375</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11,375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23,625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12,500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4,750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07/18/2032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5,200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Eyal Morag</w:t>
            </w: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$ 13,125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74,123</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$ 11,250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$ 10,625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$ 64,386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75,011</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$ 63,701</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83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30"/>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1,463,806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556,846</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688,431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-882015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-333375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p>
      <w:pPr>
        <w:spacing w:after="0" w:line="38"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June 7,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June 7, 2024. We calculated percentage ownership in accordance with the rules of the SEC. The percentage of common stock beneficially owned is based on 15,965,633 shares outstanding as of June 7, 2024. In addition, shares issuable pursuant to options or other convertible securities that may be acquired within 60 days of June 7,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1,056,773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300,687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53,563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89,170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51,972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55,650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1,790,042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842,080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58,659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June 7, 2024.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The percentage of shares beneficially owned prior to the offering is based on 15,965,633 shares of our common stock outstanding as of June 7,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 Owned After Sale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All Shares of Common Stock</w:t>
            </w: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7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Pursuant to this Prospectus</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Before</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Any Sale</w:t>
            </w:r>
          </w:p>
        </w:tc>
        <w:tc>
          <w:tcPr>
            <w:tcW w:w="3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2,143,853</w:t>
            </w:r>
          </w:p>
        </w:tc>
        <w:tc>
          <w:tcPr>
            <w:tcW w:w="3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1,360,517</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783,336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57"/>
        </w:trPr>
        <w:tc>
          <w:tcPr>
            <w:tcW w:w="41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1,004,398</w:t>
            </w:r>
          </w:p>
        </w:tc>
        <w:tc>
          <w:tcPr>
            <w:tcW w:w="380" w:type="dxa"/>
            <w:vAlign w:val="bottom"/>
          </w:tcPr>
          <w:p>
            <w:pPr>
              <w:spacing w:after="0"/>
              <w:rPr>
                <w:sz w:val="22"/>
                <w:szCs w:val="22"/>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221,062</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783,336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56"/>
        </w:trPr>
        <w:tc>
          <w:tcPr>
            <w:tcW w:w="41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887,433</w:t>
            </w:r>
          </w:p>
        </w:tc>
        <w:tc>
          <w:tcPr>
            <w:tcW w:w="3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104,103</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783,330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2800" w:type="dxa"/>
            <w:vAlign w:val="bottom"/>
            <w:gridSpan w:val="2"/>
          </w:tcPr>
          <w:p>
            <w:pPr>
              <w:jc w:val="right"/>
              <w:ind w:right="2345"/>
              <w:spacing w:after="0" w:line="135"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1"/>
                <w:szCs w:val="11"/>
                <w:color w:val="auto"/>
              </w:rPr>
            </w:pPr>
          </w:p>
        </w:tc>
        <w:tc>
          <w:tcPr>
            <w:tcW w:w="11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117,593</w:t>
            </w:r>
          </w:p>
        </w:tc>
        <w:tc>
          <w:tcPr>
            <w:tcW w:w="380" w:type="dxa"/>
            <w:vAlign w:val="bottom"/>
          </w:tcPr>
          <w:p>
            <w:pPr>
              <w:spacing w:after="0"/>
              <w:rPr>
                <w:sz w:val="11"/>
                <w:szCs w:val="11"/>
                <w:color w:val="auto"/>
              </w:rPr>
            </w:pPr>
          </w:p>
        </w:tc>
        <w:tc>
          <w:tcPr>
            <w:tcW w:w="1480" w:type="dxa"/>
            <w:vAlign w:val="bottom"/>
            <w:gridSpan w:val="2"/>
            <w:vMerge w:val="restart"/>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26,549</w:t>
            </w:r>
          </w:p>
        </w:tc>
        <w:tc>
          <w:tcPr>
            <w:tcW w:w="1440" w:type="dxa"/>
            <w:vAlign w:val="bottom"/>
            <w:gridSpan w:val="2"/>
            <w:vMerge w:val="restart"/>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91,044</w:t>
            </w:r>
          </w:p>
        </w:tc>
        <w:tc>
          <w:tcPr>
            <w:tcW w:w="1260" w:type="dxa"/>
            <w:vAlign w:val="bottom"/>
            <w:gridSpan w:val="2"/>
            <w:vMerge w:val="restart"/>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Noam Rubenstein</w:t>
            </w:r>
          </w:p>
        </w:tc>
        <w:tc>
          <w:tcPr>
            <w:tcW w:w="2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80" w:type="dxa"/>
            <w:vAlign w:val="bottom"/>
            <w:vMerge w:val="restart"/>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w w:val="85"/>
              </w:rPr>
              <w:t>(5)</w:t>
            </w:r>
          </w:p>
        </w:tc>
        <w:tc>
          <w:tcPr>
            <w:tcW w:w="148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540" w:type="dxa"/>
            <w:vAlign w:val="bottom"/>
            <w:shd w:val="clear" w:color="auto" w:fill="CCEEFF"/>
          </w:tcPr>
          <w:p>
            <w:pPr>
              <w:jc w:val="right"/>
              <w:ind w:right="2125"/>
              <w:spacing w:after="0" w:line="135"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239,388</w:t>
            </w:r>
          </w:p>
        </w:tc>
        <w:tc>
          <w:tcPr>
            <w:tcW w:w="380" w:type="dxa"/>
            <w:vAlign w:val="bottom"/>
            <w:shd w:val="clear" w:color="auto" w:fill="CCEEFF"/>
          </w:tcPr>
          <w:p>
            <w:pPr>
              <w:spacing w:after="0"/>
              <w:rPr>
                <w:sz w:val="11"/>
                <w:szCs w:val="11"/>
                <w:color w:val="auto"/>
              </w:rPr>
            </w:pPr>
          </w:p>
        </w:tc>
        <w:tc>
          <w:tcPr>
            <w:tcW w:w="1480" w:type="dxa"/>
            <w:vAlign w:val="bottom"/>
            <w:gridSpan w:val="2"/>
            <w:vMerge w:val="restart"/>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1.48%</w:t>
            </w:r>
          </w:p>
        </w:tc>
        <w:tc>
          <w:tcPr>
            <w:tcW w:w="144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54,047</w:t>
            </w:r>
          </w:p>
        </w:tc>
        <w:tc>
          <w:tcPr>
            <w:tcW w:w="1440" w:type="dxa"/>
            <w:vAlign w:val="bottom"/>
            <w:gridSpan w:val="2"/>
            <w:vMerge w:val="restart"/>
            <w:shd w:val="clear" w:color="auto" w:fill="CCEEFF"/>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185,341</w:t>
            </w:r>
          </w:p>
        </w:tc>
        <w:tc>
          <w:tcPr>
            <w:tcW w:w="1260" w:type="dxa"/>
            <w:vAlign w:val="bottom"/>
            <w:gridSpan w:val="2"/>
            <w:vMerge w:val="restart"/>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54"/>
        </w:trPr>
        <w:tc>
          <w:tcPr>
            <w:tcW w:w="4120" w:type="dxa"/>
            <w:vAlign w:val="bottom"/>
            <w:gridSpan w:val="4"/>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Michael Vasinkevich</w:t>
            </w:r>
          </w:p>
        </w:tc>
        <w:tc>
          <w:tcPr>
            <w:tcW w:w="1120" w:type="dxa"/>
            <w:vAlign w:val="bottom"/>
            <w:vMerge w:val="continue"/>
            <w:shd w:val="clear" w:color="auto" w:fill="CCEEFF"/>
          </w:tcPr>
          <w:p>
            <w:pPr>
              <w:spacing w:after="0"/>
              <w:rPr>
                <w:sz w:val="4"/>
                <w:szCs w:val="4"/>
                <w:color w:val="auto"/>
              </w:rPr>
            </w:pPr>
          </w:p>
        </w:tc>
        <w:tc>
          <w:tcPr>
            <w:tcW w:w="380" w:type="dxa"/>
            <w:vAlign w:val="bottom"/>
            <w:vMerge w:val="restart"/>
            <w:shd w:val="clear" w:color="auto" w:fill="CCEEFF"/>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w w:val="85"/>
              </w:rPr>
              <w:t>(5)</w:t>
            </w:r>
          </w:p>
        </w:tc>
        <w:tc>
          <w:tcPr>
            <w:tcW w:w="1480" w:type="dxa"/>
            <w:vAlign w:val="bottom"/>
            <w:gridSpan w:val="2"/>
            <w:vMerge w:val="continue"/>
            <w:shd w:val="clear" w:color="auto" w:fill="CCEEFF"/>
          </w:tcPr>
          <w:p>
            <w:pPr>
              <w:spacing w:after="0"/>
              <w:rPr>
                <w:sz w:val="4"/>
                <w:szCs w:val="4"/>
                <w:color w:val="auto"/>
              </w:rPr>
            </w:pPr>
          </w:p>
        </w:tc>
        <w:tc>
          <w:tcPr>
            <w:tcW w:w="1440" w:type="dxa"/>
            <w:vAlign w:val="bottom"/>
            <w:gridSpan w:val="2"/>
            <w:vMerge w:val="continue"/>
            <w:shd w:val="clear" w:color="auto" w:fill="CCEEFF"/>
          </w:tcPr>
          <w:p>
            <w:pPr>
              <w:spacing w:after="0"/>
              <w:rPr>
                <w:sz w:val="4"/>
                <w:szCs w:val="4"/>
                <w:color w:val="auto"/>
              </w:rPr>
            </w:pPr>
          </w:p>
        </w:tc>
        <w:tc>
          <w:tcPr>
            <w:tcW w:w="1440" w:type="dxa"/>
            <w:vAlign w:val="bottom"/>
            <w:gridSpan w:val="2"/>
            <w:vMerge w:val="continue"/>
            <w:shd w:val="clear" w:color="auto" w:fill="CCEEFF"/>
          </w:tcPr>
          <w:p>
            <w:pPr>
              <w:spacing w:after="0"/>
              <w:rPr>
                <w:sz w:val="4"/>
                <w:szCs w:val="4"/>
                <w:color w:val="auto"/>
              </w:rPr>
            </w:pPr>
          </w:p>
        </w:tc>
        <w:tc>
          <w:tcPr>
            <w:tcW w:w="126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1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w w:val="98"/>
              </w:rPr>
              <w:t>Craig Schwabe</w:t>
            </w:r>
          </w:p>
        </w:tc>
        <w:tc>
          <w:tcPr>
            <w:tcW w:w="260" w:type="dxa"/>
            <w:vAlign w:val="bottom"/>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w w:val="91"/>
              </w:rPr>
              <w:t>(5)</w:t>
            </w: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12,600</w:t>
            </w:r>
          </w:p>
        </w:tc>
        <w:tc>
          <w:tcPr>
            <w:tcW w:w="380" w:type="dxa"/>
            <w:vAlign w:val="bottom"/>
            <w:vMerge w:val="restart"/>
          </w:tcPr>
          <w:p>
            <w:pPr>
              <w:jc w:val="right"/>
              <w:ind w:right="148"/>
              <w:spacing w:after="0"/>
              <w:rPr>
                <w:sz w:val="20"/>
                <w:szCs w:val="20"/>
                <w:color w:val="auto"/>
              </w:rPr>
            </w:pPr>
            <w:r>
              <w:rPr>
                <w:rFonts w:ascii="Times New Roman" w:cs="Times New Roman" w:eastAsia="Times New Roman" w:hAnsi="Times New Roman"/>
                <w:sz w:val="15"/>
                <w:szCs w:val="15"/>
                <w:color w:val="auto"/>
                <w:w w:val="79"/>
              </w:rPr>
              <w:t>(5)</w:t>
            </w:r>
          </w:p>
        </w:tc>
        <w:tc>
          <w:tcPr>
            <w:tcW w:w="1480" w:type="dxa"/>
            <w:vAlign w:val="bottom"/>
            <w:gridSpan w:val="2"/>
            <w:vMerge w:val="restart"/>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2,845</w:t>
            </w:r>
          </w:p>
        </w:tc>
        <w:tc>
          <w:tcPr>
            <w:tcW w:w="1440" w:type="dxa"/>
            <w:vAlign w:val="bottom"/>
            <w:gridSpan w:val="2"/>
            <w:vMerge w:val="restart"/>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9,755</w:t>
            </w:r>
          </w:p>
        </w:tc>
        <w:tc>
          <w:tcPr>
            <w:tcW w:w="1260" w:type="dxa"/>
            <w:vAlign w:val="bottom"/>
            <w:gridSpan w:val="2"/>
            <w:vMerge w:val="restart"/>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60" w:type="dxa"/>
            <w:vAlign w:val="bottom"/>
            <w:gridSpan w:val="2"/>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Charles Worthman</w:t>
            </w:r>
          </w:p>
        </w:tc>
        <w:tc>
          <w:tcPr>
            <w:tcW w:w="2540" w:type="dxa"/>
            <w:vAlign w:val="bottom"/>
            <w:shd w:val="clear" w:color="auto" w:fill="CCEEFF"/>
          </w:tcPr>
          <w:p>
            <w:pPr>
              <w:jc w:val="right"/>
              <w:ind w:right="2285"/>
              <w:spacing w:after="0" w:line="162" w:lineRule="exact"/>
              <w:rPr>
                <w:sz w:val="20"/>
                <w:szCs w:val="20"/>
                <w:color w:val="auto"/>
              </w:rPr>
            </w:pPr>
            <w:r>
              <w:rPr>
                <w:rFonts w:ascii="Times New Roman" w:cs="Times New Roman" w:eastAsia="Times New Roman" w:hAnsi="Times New Roman"/>
                <w:sz w:val="15"/>
                <w:szCs w:val="15"/>
                <w:color w:val="auto"/>
                <w:w w:val="91"/>
              </w:rPr>
              <w:t>(5)</w:t>
            </w:r>
          </w:p>
        </w:tc>
        <w:tc>
          <w:tcPr>
            <w:tcW w:w="2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3,734</w:t>
            </w:r>
          </w:p>
        </w:tc>
        <w:tc>
          <w:tcPr>
            <w:tcW w:w="38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5"/>
                <w:szCs w:val="15"/>
                <w:color w:val="auto"/>
                <w:w w:val="79"/>
              </w:rPr>
              <w:t>(5)</w:t>
            </w:r>
          </w:p>
        </w:tc>
        <w:tc>
          <w:tcPr>
            <w:tcW w:w="1480" w:type="dxa"/>
            <w:vAlign w:val="bottom"/>
            <w:gridSpan w:val="2"/>
            <w:vMerge w:val="restart"/>
            <w:shd w:val="clear" w:color="auto" w:fill="CCEEFF"/>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843</w:t>
            </w:r>
          </w:p>
        </w:tc>
        <w:tc>
          <w:tcPr>
            <w:tcW w:w="1440" w:type="dxa"/>
            <w:vAlign w:val="bottom"/>
            <w:gridSpan w:val="2"/>
            <w:vMerge w:val="restart"/>
            <w:shd w:val="clear" w:color="auto" w:fill="CCEEFF"/>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2,891</w:t>
            </w:r>
          </w:p>
        </w:tc>
        <w:tc>
          <w:tcPr>
            <w:tcW w:w="1260" w:type="dxa"/>
            <w:vAlign w:val="bottom"/>
            <w:gridSpan w:val="2"/>
            <w:vMerge w:val="restart"/>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vMerge w:val="continue"/>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vMerge w:val="continue"/>
            <w:shd w:val="clear" w:color="auto" w:fill="CCEEFF"/>
          </w:tcPr>
          <w:p>
            <w:pPr>
              <w:spacing w:after="0"/>
              <w:rPr>
                <w:sz w:val="2"/>
                <w:szCs w:val="2"/>
                <w:color w:val="auto"/>
              </w:rPr>
            </w:pPr>
          </w:p>
        </w:tc>
        <w:tc>
          <w:tcPr>
            <w:tcW w:w="380" w:type="dxa"/>
            <w:vAlign w:val="bottom"/>
            <w:vMerge w:val="continue"/>
            <w:shd w:val="clear" w:color="auto" w:fill="CCEEFF"/>
          </w:tcPr>
          <w:p>
            <w:pPr>
              <w:spacing w:after="0"/>
              <w:rPr>
                <w:sz w:val="2"/>
                <w:szCs w:val="2"/>
                <w:color w:val="auto"/>
              </w:rPr>
            </w:pPr>
          </w:p>
        </w:tc>
        <w:tc>
          <w:tcPr>
            <w:tcW w:w="1480" w:type="dxa"/>
            <w:vAlign w:val="bottom"/>
            <w:gridSpan w:val="2"/>
            <w:vMerge w:val="continue"/>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126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110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25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9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(6)</w:t>
            </w: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4,408,999</w:t>
            </w:r>
          </w:p>
        </w:tc>
        <w:tc>
          <w:tcPr>
            <w:tcW w:w="38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1,769,966</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2,639,033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ectPr>
          <w:pgSz w:w="11900" w:h="16913" w:orient="portrait"/>
          <w:cols w:equalWidth="0" w:num="1">
            <w:col w:w="11240"/>
          </w:cols>
          <w:pgMar w:left="320" w:top="684" w:right="339"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84" w:right="339" w:bottom="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6" w:name="page77"/>
    <w:bookmarkEnd w:id="76"/>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15,965,633 shares were issued and outstanding as of June 7,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2,591,804 shares of our common stock issuable upon the exercise of outstanding stock options granted to employees, directors and consultants, with exercise prices ranging from approximately $0.005 to $15.75 and having a weighted-average exercise price of $4.62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35,404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7, 2024, we had outstanding:</w:t>
      </w:r>
    </w:p>
    <w:p>
      <w:pPr>
        <w:spacing w:after="0" w:line="225" w:lineRule="exact"/>
        <w:rPr>
          <w:sz w:val="20"/>
          <w:szCs w:val="20"/>
          <w:color w:val="auto"/>
        </w:rPr>
      </w:pPr>
    </w:p>
    <w:p>
      <w:pPr>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660" w:right="20" w:hanging="328"/>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ectPr>
          <w:pgSz w:w="11900" w:h="16907" w:orient="portrait"/>
          <w:cols w:equalWidth="0" w:num="1">
            <w:col w:w="11240"/>
          </w:cols>
          <w:pgMar w:left="320" w:top="688" w:right="339" w:bottom="0" w:gutter="0" w:footer="0" w:header="0"/>
        </w:sectPr>
      </w:pPr>
    </w:p>
    <w:bookmarkStart w:id="77" w:name="page78"/>
    <w:bookmarkEnd w:id="77"/>
    <w:p>
      <w:pPr>
        <w:ind w:left="660" w:right="2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 and</w:t>
      </w:r>
    </w:p>
    <w:p>
      <w:pPr>
        <w:ind w:left="66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S-1 of which this prospectus forms a part, are underlying our 1,685,682 outstanding series E preferred investment options expiring in July 2029 and our 84,284 outstanding placement agent preferred investment options expiring in July 2029. See “Prospectus Summary-Recent Developments-Preferred Investment Option Inducement Transaction” above, for a summary of the terms of the series E preferred investment options and the placement agent preferred investment options.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7"/>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 F-34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March 31, 2024 (Unaudited) and December 31, 2023 (Audited)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F-39 - F-47</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6"/>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2" w:name="page83"/>
    <w:bookmarkEnd w:id="82"/>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Contingencies - Settlement of litigation resulting from the 2017 financing - Refer to Notes 9G and 16C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amount was recorded in the Company’s consolidated financial statements as non-operating loss, offset by loss recovery received from the Company’s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calculation of the contingent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3,917</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2,211</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2022; 11,707,317 and 7,890,628 shares issued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4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(79,501)</w:t>
            </w:r>
          </w:p>
        </w:tc>
        <w:tc>
          <w:tcPr>
            <w:tcW w:w="6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8"/>
                <w:szCs w:val="18"/>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(4,131)</w:t>
            </w:r>
          </w:p>
        </w:tc>
        <w:tc>
          <w:tcPr>
            <w:tcW w:w="6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w:t>
            </w:r>
          </w:p>
        </w:tc>
        <w:tc>
          <w:tcPr>
            <w:tcW w:w="6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CCEEFF"/>
              <w:bottom w:val="single" w:sz="8" w:color="CCEEFF"/>
            </w:tcBorders>
          </w:tcPr>
          <w:p>
            <w:pPr>
              <w:spacing w:after="0"/>
              <w:rPr>
                <w:sz w:val="22"/>
                <w:szCs w:val="22"/>
                <w:color w:val="auto"/>
              </w:rPr>
            </w:pPr>
          </w:p>
        </w:tc>
        <w:tc>
          <w:tcPr>
            <w:tcW w:w="1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6"/>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10,199,984</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7,260,344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4180" w:type="dxa"/>
            <w:vAlign w:val="bottom"/>
          </w:tcPr>
          <w:p>
            <w:pPr>
              <w:spacing w:after="0"/>
              <w:rPr>
                <w:sz w:val="22"/>
                <w:szCs w:val="22"/>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782,495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(10,740)</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580" w:firstLine="8"/>
        <w:spacing w:after="0" w:line="312" w:lineRule="auto"/>
        <w:tabs>
          <w:tab w:leader="none" w:pos="32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issuance costs in the amount of $676. (**) Net of issuance costs in the amount of $1,075.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6"/>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(10,060)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4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2,899</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9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02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1620" w:hanging="64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Acquisitions of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of $49 as of December 31, 2023, serves as collateral for the Company’s lease agreement, and $77 as of December 31, 2022, serves as collateral for lease agreements and credit cards.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480" w:type="dxa"/>
            <w:vAlign w:val="bottom"/>
          </w:tcPr>
          <w:p>
            <w:pPr>
              <w:spacing w:after="0"/>
              <w:rPr>
                <w:sz w:val="21"/>
                <w:szCs w:val="21"/>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6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Research and development expenses, net: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2023 and 2022:</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4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r>
      <w:tr>
        <w:trPr>
          <w:trHeight w:val="257"/>
        </w:trPr>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5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3,761</w:t>
            </w:r>
          </w:p>
        </w:tc>
      </w:tr>
      <w:tr>
        <w:trPr>
          <w:trHeight w:val="22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6,385</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$59 and $12 for the years ended December 31, 2023 and 2022,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2023 and 2022:</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6"/>
        </w:trPr>
        <w:tc>
          <w:tcPr>
            <w:tcW w:w="29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3"/>
              </w:rPr>
              <w:t>3,917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298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932"/>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2023 and 2022:</w:t>
      </w:r>
    </w:p>
    <w:tbl>
      <w:tblPr>
        <w:tblLayout w:type="fixed"/>
        <w:tblInd w:w="98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2023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5"/>
        </w:trPr>
        <w:tc>
          <w:tcPr>
            <w:tcW w:w="8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5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r>
      <w:tr>
        <w:trPr>
          <w:trHeight w:val="203"/>
        </w:trPr>
        <w:tc>
          <w:tcPr>
            <w:tcW w:w="8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7"/>
        </w:trPr>
        <w:tc>
          <w:tcPr>
            <w:tcW w:w="8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2023 and 2022:</w:t>
      </w:r>
    </w:p>
    <w:p>
      <w:pPr>
        <w:spacing w:after="0" w:line="23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1"/>
              </w:rPr>
              <w:t>9%</w:t>
            </w:r>
          </w:p>
        </w:tc>
        <w:tc>
          <w:tcPr>
            <w:tcW w:w="2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vMerge w:val="continue"/>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Cost: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top w:val="single" w:sz="8" w:color="CCEEFF"/>
              <w:bottom w:val="single" w:sz="8" w:color="CCEEFF"/>
            </w:tcBorders>
          </w:tcPr>
          <w:p>
            <w:pPr>
              <w:spacing w:after="0"/>
              <w:rPr>
                <w:sz w:val="18"/>
                <w:szCs w:val="18"/>
                <w:color w:val="auto"/>
              </w:rPr>
            </w:pPr>
          </w:p>
        </w:tc>
        <w:tc>
          <w:tcPr>
            <w:tcW w:w="19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top w:val="single" w:sz="8" w:color="CCEEFF"/>
              <w:bottom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F-17</w:t>
            </w: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2023, the Company received approximately $27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Company’s Self-Cleaning Shunt (SCS)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620" w:hanging="640"/>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Lawsuit was settled in January 2024. Refer to Note 16C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11,707,317 and 7,890,628 shares of common stock issued and outstanding, respectively.</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Preferred investment options amendment: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c>
          <w:tcPr>
            <w:tcW w:w="7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101.31%-122.39%</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3.85%- 4.93%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F-24</w:t>
            </w: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784"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1,507,137</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711,308</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997,148</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530,822</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899,609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aggregate intrinsic value of the outstanding options is $277 and $185, respectively, and the aggregate intrinsic value of the exercisable options is $102 and $185,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$1.40 and $4.50,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2023 and December 31, 2022,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of 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c>
          <w:tcPr>
            <w:tcW w:w="0" w:type="dxa"/>
            <w:vAlign w:val="bottom"/>
          </w:tcPr>
          <w:p>
            <w:pPr>
              <w:spacing w:after="0"/>
              <w:rPr>
                <w:sz w:val="1"/>
                <w:szCs w:val="1"/>
                <w:color w:val="auto"/>
              </w:rPr>
            </w:pPr>
          </w:p>
        </w:tc>
      </w:tr>
      <w:tr>
        <w:trPr>
          <w:trHeight w:val="245"/>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3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860,808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639,232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687,482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484,871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315,807</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49"/>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166,206</w:t>
            </w:r>
          </w:p>
        </w:tc>
        <w:tc>
          <w:tcPr>
            <w:tcW w:w="0" w:type="dxa"/>
            <w:vAlign w:val="bottom"/>
          </w:tcPr>
          <w:p>
            <w:pPr>
              <w:spacing w:after="0"/>
              <w:rPr>
                <w:sz w:val="1"/>
                <w:szCs w:val="1"/>
                <w:color w:val="auto"/>
              </w:rPr>
            </w:pPr>
          </w:p>
        </w:tc>
      </w:tr>
      <w:tr>
        <w:trPr>
          <w:trHeight w:val="217"/>
        </w:trPr>
        <w:tc>
          <w:tcPr>
            <w:tcW w:w="1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2023 and 2022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44"/>
        </w:trPr>
        <w:tc>
          <w:tcPr>
            <w:tcW w:w="558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111.2%-161.7%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3.3%- 4.7%</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1.7%- 3.7%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45"/>
        </w:trPr>
        <w:tc>
          <w:tcPr>
            <w:tcW w:w="3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45,045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1,022,495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limit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350,878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2028</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2028</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17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October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1,022,495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2,044,990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51,125</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60,476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350,878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312,309</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2,095,362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1,507,137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color w:val="auto"/>
              </w:rPr>
              <w:t>F-29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2023 and 2022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2023 and 2022.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2023 and 2022. Microbot Israel has not received a final tax assessment since 2018.</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55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6"/>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115,778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113,393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accrual</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 from IIA</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116,371</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113,569</w:t>
            </w:r>
          </w:p>
        </w:tc>
        <w:tc>
          <w:tcPr>
            <w:tcW w:w="80" w:type="dxa"/>
            <w:vAlign w:val="bottom"/>
            <w:tcBorders>
              <w:top w:val="single" w:sz="8" w:color="CCEEFF"/>
            </w:tcBorders>
          </w:tcPr>
          <w:p>
            <w:pPr>
              <w:spacing w:after="0"/>
              <w:rPr>
                <w:sz w:val="17"/>
                <w:szCs w:val="17"/>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(116,014)</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 (Ministry of Economy)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18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Reinstatement of annual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reinstated in full of the annual compensation of the CEO, effective as of January 1, 2024. Such compensation was reduced by 50% in May 2023 as a result of the Company’s cost reduction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Settlement of litigation resulting from the 2017 financing: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Stock option grants and 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Return of CardioSert intellectual property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54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4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540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54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14,398,964 and 11,707,317</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March 31, 2024 and December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31, 2023, respectively.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54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(1,169)</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7"/>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69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97"/>
        </w:trPr>
        <w:tc>
          <w:tcPr>
            <w:tcW w:w="69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14,055,973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8,013,295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gridSpan w:val="2"/>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20"/>
                <w:szCs w:val="20"/>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Net of issuance costs in the amount of $333.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Note 3G.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80" w:type="dxa"/>
            <w:vAlign w:val="bottom"/>
            <w:gridSpan w:val="6"/>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(2,371)</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7"/>
        </w:trPr>
        <w:tc>
          <w:tcPr>
            <w:tcW w:w="3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March 31, 2024, the Company had cash equivalents and marketable securities balance of approximately $6,349, excluding restricted cash. Due to continuing research and development activities, the Company expects to continue to incur additional losses for the foreseeable future. The Company implemented a cost reduction program in May 2023, and consummated capital raises in May,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Company’s latest annual audited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5,187</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5,187</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2,497</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3,917</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3"/>
              </w:rPr>
              <w:t>3,917</w:t>
            </w: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F-41</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March 31,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March 31,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jc w:val="both"/>
        <w:spacing w:after="0" w:line="221"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The Company expects the transfer of the Technology back to CardioSert will occur in the second fiscal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 contingent total bonus of NIS 230,736 (approximately $60), which is payable upon the Company raising at least $3,000 in new funds by September 30, 2024. The Company’s management is unable to predict the likelihood of securing additional capital; therefore, as of March 31, 2024, the Company has not recorded a liability for any contingent bonus.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respectively, 14,398,964 and 11,707,317 shares of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analyzed the accounting treatment for the series E preferred investment options and concluded that they should be classified as equity.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The Company’s management believes that meeting the performance conditions is tied to the Company’s ability to secure additional capital. Therefore, as of March 31, 2024, the Company has not recorded any expense related to this performance condition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Pr>
          <w:p>
            <w:pPr>
              <w:spacing w:after="0"/>
              <w:rPr>
                <w:sz w:val="21"/>
                <w:szCs w:val="21"/>
                <w:color w:val="auto"/>
              </w:rPr>
            </w:pPr>
          </w:p>
        </w:tc>
        <w:tc>
          <w:tcPr>
            <w:tcW w:w="19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r>
      <w:tr>
        <w:trPr>
          <w:trHeight w:val="249"/>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2,638.23*</w:t>
            </w:r>
          </w:p>
        </w:tc>
      </w:tr>
      <w:tr>
        <w:trPr>
          <w:trHeight w:val="217"/>
        </w:trPr>
        <w:tc>
          <w:tcPr>
            <w:tcW w:w="9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1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353" w:gutter="0" w:footer="0" w:header="0"/>
        </w:sectPr>
      </w:pPr>
    </w:p>
    <w:bookmarkStart w:id="129" w:name="page130"/>
    <w:bookmarkEnd w:id="129"/>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26, 2024, the Company issued an aggregate of 1,005,965 shares of restricted Common Stock (the “Settlement Shares”), as partial settlement to the plaintiffs in the lawsuit entitled Empery Asset Master Ltd., Empery Tax Efficient, LP, Empery Tax Efficient II, LP, Hudson Bay Master Fund Ltd., Plaintiffs, against Microbot Medical Inc., Defendant, in the Supreme Court of the State of New York, County of New York (Index No. 651182/2020). The Settlement Shares were issued pursuant to the exemption from the registration requirements of the Securities Act available under Section 4(a)(2) as a transaction by an issuer not involving any public offering.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2024, the Company sold in a private placement and issued to investors Series F preferred investment options to purchase up to 3,133,338 shares of Common Stock at an exercise price of $1.50 per share. Such Series F preferred investment options and the shares of Common Stock issuable upon the exercise of the Series F preferred investment options were offered pursuant to the exemption provided in Section 4(a)(2) under the Securities Act, and Rule 506(b) promulgated thereunder. In connection with such private placement, the Company issued to the placement agent or its designees warrants to purchase 78,333 shares of Common Stock at an exercise price of $1.875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300" w:hanging="968"/>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9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10120" w:type="dxa"/>
            <w:vAlign w:val="bottom"/>
            <w:tcBorders>
              <w:top w:val="single" w:sz="8" w:color="auto"/>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c>
          <w:tcPr>
            <w:tcW w:w="20" w:type="dxa"/>
            <w:vAlign w:val="bottom"/>
            <w:tcBorders>
              <w:bottom w:val="single" w:sz="8" w:color="0000EE"/>
            </w:tcBorders>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8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fiscal year ended December 31, 2006 and filed on March 15, 2007).</w:t>
              </w:r>
            </w:hyperlink>
          </w:p>
        </w:tc>
        <w:tc>
          <w:tcPr>
            <w:tcW w:w="528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Report on Form 8-K filed on November 29, 2016).</w:t>
              </w:r>
            </w:hyperlink>
          </w:p>
        </w:tc>
        <w:tc>
          <w:tcPr>
            <w:tcW w:w="648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39">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9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6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Report on Form 8-K filed on May 3, 2021).</w:t>
              </w:r>
            </w:hyperlink>
          </w:p>
        </w:tc>
        <w:tc>
          <w:tcPr>
            <w:tcW w:w="702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ended December 31, 2019).</w:t>
              </w:r>
            </w:hyperlink>
          </w:p>
        </w:tc>
        <w:tc>
          <w:tcPr>
            <w:tcW w:w="8160" w:type="dxa"/>
            <w:vAlign w:val="bottom"/>
            <w:gridSpan w:val="2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8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10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8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2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9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8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1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4">
              <w:r>
                <w:rPr>
                  <w:rFonts w:ascii="Times New Roman" w:cs="Times New Roman" w:eastAsia="Times New Roman" w:hAnsi="Times New Roman"/>
                  <w:sz w:val="18"/>
                  <w:szCs w:val="18"/>
                  <w:color w:val="0000EE"/>
                  <w:w w:val="90"/>
                </w:rPr>
                <w:t>2024)</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Series F Preferred Investment Option (incorporated by reference to the Registrant’s Current Report on Form 8-K filed on June 4,</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5">
              <w:r>
                <w:rPr>
                  <w:rFonts w:ascii="Times New Roman" w:cs="Times New Roman" w:eastAsia="Times New Roman" w:hAnsi="Times New Roman"/>
                  <w:sz w:val="18"/>
                  <w:szCs w:val="18"/>
                  <w:color w:val="0000EE"/>
                  <w:w w:val="90"/>
                </w:rPr>
                <w:t>2024)</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6">
              <w:r>
                <w:rPr>
                  <w:rFonts w:ascii="Times New Roman" w:cs="Times New Roman" w:eastAsia="Times New Roman" w:hAnsi="Times New Roman"/>
                  <w:sz w:val="18"/>
                  <w:szCs w:val="18"/>
                  <w:color w:val="0000EE"/>
                  <w:w w:val="90"/>
                </w:rPr>
                <w:t>2024)</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5.1+</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Opinion of Ruskin Moscou Faltischek, PC</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Indemnification Agreement, between the Company and each of its Directors and Officers (incorporated by reference to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Company’s Current Report on Form 8-K filed on November 29, 2016).</w:t>
              </w:r>
            </w:hyperlink>
          </w:p>
        </w:tc>
        <w:tc>
          <w:tcPr>
            <w:tcW w:w="500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Employment Agreement with Harel Gadot (incorporated by reference to the Company’s Current Report on Form 8-K filed on November 29,</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59">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License Agreement, dated June 20, 2012, by and between Technion Research and Development Foundation, and Microbot Medical Ltd.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(incorporated by reference to the Company’s Annual Report on Form 10-K for the fiscal year ended December 31, 2016 and filed on March</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60">
              <w:r>
                <w:rPr>
                  <w:rFonts w:ascii="Times New Roman" w:cs="Times New Roman" w:eastAsia="Times New Roman" w:hAnsi="Times New Roman"/>
                  <w:sz w:val="18"/>
                  <w:szCs w:val="18"/>
                  <w:color w:val="0000EE"/>
                  <w:w w:val="95"/>
                </w:rPr>
                <w:t>21, 2017).</w:t>
              </w:r>
            </w:hyperlink>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Stock Option Agreement under the Microbot Medical Inc. 2017 Equity Incentive Plan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Quarterly Report on Form 10-Q for the Quarter ended September 30, 2017, filed on November 14, 2017).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Agreement, dated January 4, 2018, by and between CardioSert Ltd. and Microbot Medical Ltd.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Current Report on Form 8-K filed on January 8, 2018).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1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Employment Agreement with Dr. Eyal Morag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ended December 31, 2019 filed on April 14, 2020).</w:t>
              </w:r>
            </w:hyperlink>
          </w:p>
        </w:tc>
        <w:tc>
          <w:tcPr>
            <w:tcW w:w="646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Microbot Medical Inc. 2017 Equity Incentive Plan (incorporated by reference to Exhibit A of the Company’s Definitive Proxy Statement on</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Schedule 14A filed on August 11, 2017).</w:t>
              </w:r>
            </w:hyperlink>
          </w:p>
        </w:tc>
        <w:tc>
          <w:tcPr>
            <w:tcW w:w="7200" w:type="dxa"/>
            <w:vAlign w:val="bottom"/>
            <w:gridSpan w:val="1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Microbot Medical Inc. 2020 Omnibus Performance Award Plan (incorporated by reference to Exhibit A of the Company’s definitive Proxy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Statement on Schedule 14A filed on July 31, 2020)</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1" w:name="page132"/>
    <w:bookmarkEnd w:id="131"/>
    <w:p>
      <w:pPr>
        <w:jc w:val="both"/>
        <w:ind w:left="110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66">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67">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1100" w:hanging="850"/>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68">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69">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70">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71">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72">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3">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1100" w:right="20" w:hanging="89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4">
        <w:r>
          <w:rPr>
            <w:rFonts w:ascii="Times New Roman" w:cs="Times New Roman" w:eastAsia="Times New Roman" w:hAnsi="Times New Roman"/>
            <w:sz w:val="18"/>
            <w:szCs w:val="18"/>
            <w:u w:val="single" w:color="auto"/>
            <w:color w:val="0000EE"/>
          </w:rPr>
          <w:t>Strategic Collaboration Agreement for Technology Co-Development with Stryker Corporation, acting through its Neurovascular Division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75">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5">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2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76">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77">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77">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78">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79">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80">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81">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82">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83">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84">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85">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86">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87">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88">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89">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90">
        <w:r>
          <w:rPr>
            <w:rFonts w:ascii="Times New Roman" w:cs="Times New Roman" w:eastAsia="Times New Roman" w:hAnsi="Times New Roman"/>
            <w:sz w:val="18"/>
            <w:szCs w:val="18"/>
            <w:u w:val="single" w:color="auto"/>
            <w:color w:val="0000EE"/>
          </w:rPr>
          <w:t>Settlement Agreement and Release dated as of January 26, 2024 (incorporated by reference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filed on January 30,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91">
        <w:r>
          <w:rPr>
            <w:rFonts w:ascii="Times New Roman" w:cs="Times New Roman" w:eastAsia="Times New Roman" w:hAnsi="Times New Roman"/>
            <w:sz w:val="18"/>
            <w:szCs w:val="18"/>
            <w:u w:val="single" w:color="auto"/>
            <w:color w:val="0000EE"/>
          </w:rPr>
          <w:t>Registration Rights Agreement dated as of January 26, 2024 (incorporated by reference to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on January 30, 2024)</w:t>
        </w:r>
      </w:hyperlink>
    </w:p>
    <w:p>
      <w:pPr>
        <w:spacing w:after="0" w:line="1" w:lineRule="exact"/>
        <w:rPr>
          <w:sz w:val="20"/>
          <w:szCs w:val="20"/>
          <w:color w:val="auto"/>
        </w:rPr>
      </w:pPr>
    </w:p>
    <w:p>
      <w:pPr>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92">
        <w:r>
          <w:rPr>
            <w:rFonts w:ascii="Times New Roman" w:cs="Times New Roman" w:eastAsia="Times New Roman" w:hAnsi="Times New Roman"/>
            <w:sz w:val="18"/>
            <w:szCs w:val="18"/>
            <w:u w:val="single" w:color="auto"/>
            <w:color w:val="0000EE"/>
          </w:rPr>
          <w:t>Form of Securities Purchase Agreement, dated as of June 3, 2024,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(incorporated by reference to the Registrant’s Current Report on Form 8-K filed on June 4, 2024)</w:t>
        </w:r>
      </w:hyperlink>
    </w:p>
    <w:p>
      <w:pPr>
        <w:spacing w:after="0" w:line="1"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93">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sz w:val="20"/>
          <w:szCs w:val="20"/>
          <w:color w:val="auto"/>
        </w:rPr>
      </w:pPr>
    </w:p>
    <w:p>
      <w:pPr>
        <w:ind w:left="28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r:id="rId157">
        <w:r>
          <w:rPr>
            <w:rFonts w:ascii="Times New Roman" w:cs="Times New Roman" w:eastAsia="Times New Roman" w:hAnsi="Times New Roman"/>
            <w:sz w:val="17"/>
            <w:szCs w:val="17"/>
            <w:u w:val="single" w:color="auto"/>
            <w:color w:val="0000EE"/>
          </w:rPr>
          <w:t>Consent of Ruskin Moscou Faltischek PC (included in Exhibit 5.1)</w:t>
        </w:r>
      </w:hyperlink>
    </w:p>
    <w:p>
      <w:pPr>
        <w:spacing w:after="0" w:line="9" w:lineRule="exact"/>
        <w:rPr>
          <w:sz w:val="20"/>
          <w:szCs w:val="20"/>
          <w:color w:val="auto"/>
        </w:rPr>
      </w:pPr>
    </w:p>
    <w:p>
      <w:pPr>
        <w:ind w:left="2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194">
        <w:r>
          <w:rPr>
            <w:rFonts w:ascii="Times New Roman" w:cs="Times New Roman" w:eastAsia="Times New Roman" w:hAnsi="Times New Roman"/>
            <w:sz w:val="18"/>
            <w:szCs w:val="18"/>
            <w:u w:val="single" w:color="auto"/>
            <w:color w:val="0000EE"/>
          </w:rPr>
          <w:t>Power of Attorney (included on signature page)</w:t>
        </w:r>
      </w:hyperlink>
    </w:p>
    <w:p>
      <w:pPr>
        <w:spacing w:after="0" w:line="9" w:lineRule="exact"/>
        <w:rPr>
          <w:sz w:val="20"/>
          <w:szCs w:val="20"/>
          <w:color w:val="auto"/>
        </w:rPr>
      </w:pPr>
    </w:p>
    <w:p>
      <w:pPr>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95">
        <w:r>
          <w:rPr>
            <w:rFonts w:ascii="Times New Roman" w:cs="Times New Roman" w:eastAsia="Times New Roman" w:hAnsi="Times New Roman"/>
            <w:sz w:val="18"/>
            <w:szCs w:val="18"/>
            <w:u w:val="single" w:color="auto"/>
            <w:color w:val="0000EE"/>
          </w:rPr>
          <w:t>Clawback Policy (incorporated by reference to the Company’s Annual Report on Form 10-K for the fiscal year ended December 31, 2023</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and filed on March 27, 2024)</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96">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7" w:lineRule="exact"/>
        <w:rPr>
          <w:sz w:val="20"/>
          <w:szCs w:val="20"/>
          <w:color w:val="auto"/>
        </w:rPr>
      </w:pPr>
    </w:p>
    <w:p>
      <w:pPr>
        <w:ind w:left="340" w:right="2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w:t>
        <w:tab/>
        <w:t>Certain identified information has been excluded from this exhibit because it is both (i) not material and (ii) would be competitively harmful if publicly disclosed.</w:t>
      </w:r>
    </w:p>
    <w:p>
      <w:pPr>
        <w:spacing w:after="0" w:line="1"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623"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344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7"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June 11,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4"/>
        </w:trPr>
        <w:tc>
          <w:tcPr>
            <w:tcW w:w="68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453"/>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5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5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4"/>
                <w:szCs w:val="24"/>
                <w:color w:val="auto"/>
              </w:rPr>
            </w:pP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i w:val="1"/>
                <w:iCs w:val="1"/>
                <w:color w:val="auto"/>
              </w:rPr>
              <w:t>/s/ Harel Gadot</w:t>
            </w: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Harel Gadot, Attorney-in-Fact</w:t>
            </w:r>
          </w:p>
        </w:tc>
        <w:tc>
          <w:tcPr>
            <w:tcW w:w="24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3"/>
          </w:tcPr>
          <w:p>
            <w:pPr>
              <w:ind w:left="1860"/>
              <w:spacing w:after="0"/>
              <w:rPr>
                <w:sz w:val="20"/>
                <w:szCs w:val="20"/>
                <w:color w:val="auto"/>
              </w:rPr>
            </w:pPr>
            <w:r>
              <w:rPr>
                <w:rFonts w:ascii="Times New Roman" w:cs="Times New Roman" w:eastAsia="Times New Roman" w:hAnsi="Times New Roman"/>
                <w:sz w:val="18"/>
                <w:szCs w:val="18"/>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333-276487 on Form S-1 of our report dated March 27, 2024, relating to the financial statements of Microbot Medical Inc.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5"/>
    </w:lvl>
  </w:abstractNum>
  <w:abstractNum w:abstractNumId="35">
    <w:nsid w:val="684A481A"/>
    <w:multiLevelType w:val="hybridMultilevel"/>
    <w:lvl w:ilvl="0">
      <w:lvlJc w:val="left"/>
      <w:lvlText w:val="(%1)"/>
      <w:numFmt w:val="lowerRoman"/>
      <w:start w:val="2"/>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lowerRoman"/>
      <w:start w:val="2"/>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lowerRoman"/>
      <w:start w:val="1"/>
    </w:lvl>
  </w:abstractNum>
  <w:abstractNum w:abstractNumId="58">
    <w:nsid w:val="D34B6A8"/>
    <w:multiLevelType w:val="hybridMultilevel"/>
    <w:lvl w:ilvl="0">
      <w:lvlJc w:val="left"/>
      <w:lvlText w:val="(%1)"/>
      <w:numFmt w:val="decimal"/>
      <w:start w:val="2"/>
    </w:lvl>
  </w:abstractNum>
  <w:abstractNum w:abstractNumId="59">
    <w:nsid w:val="10233C99"/>
    <w:multiLevelType w:val="hybridMultilevel"/>
    <w:lvl w:ilvl="0">
      <w:lvlJc w:val="left"/>
      <w:lvlText w:val="(%1)"/>
      <w:numFmt w:val="decimal"/>
      <w:start w:val="5"/>
    </w:lvl>
  </w:abstractNum>
  <w:abstractNum w:abstractNumId="60">
    <w:nsid w:val="3F6AB60F"/>
    <w:multiLevelType w:val="hybridMultilevel"/>
    <w:lvl w:ilvl="0">
      <w:lvlJc w:val="left"/>
      <w:lvlText w:val="(%1)"/>
      <w:numFmt w:val="lowerLetter"/>
      <w:start w:val="2"/>
    </w:lvl>
  </w:abstractNum>
  <w:abstractNum w:abstractNumId="61">
    <w:nsid w:val="61574095"/>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65"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135" Type="http://schemas.openxmlformats.org/officeDocument/2006/relationships/hyperlink" Target="https://www.sec.gov/Archives/edgar/data/883975/000119312516682077/d161430dex21.htm" TargetMode="External"/><Relationship Id="rId136" Type="http://schemas.openxmlformats.org/officeDocument/2006/relationships/hyperlink" Target="https://www.sec.gov/Archives/edgar/data/883975/000095013407005808/f27726exv3w1.htm" TargetMode="External"/><Relationship Id="rId137" Type="http://schemas.openxmlformats.org/officeDocument/2006/relationships/hyperlink" Target="https://www.sec.gov/Archives/edgar/data/883975/000119312516779597/d296933dex31.htm" TargetMode="External"/><Relationship Id="rId138" Type="http://schemas.openxmlformats.org/officeDocument/2006/relationships/hyperlink" Target="https://www.sec.gov/Archives/edgar/data/883975/000149315218012872/ex3-1.htm" TargetMode="External"/><Relationship Id="rId139" Type="http://schemas.openxmlformats.org/officeDocument/2006/relationships/hyperlink" Target="https://www.sec.gov/Archives/edgar/data/883975/000129993316002374/exhibit1.htm" TargetMode="External"/><Relationship Id="rId140" Type="http://schemas.openxmlformats.org/officeDocument/2006/relationships/hyperlink" Target="https://www.sec.gov/Archives/edgar/data/883975/000149315218017395/ex3-1.htm" TargetMode="External"/><Relationship Id="rId141" Type="http://schemas.openxmlformats.org/officeDocument/2006/relationships/hyperlink" Target="https://www.sec.gov/Archives/edgar/data/883975/000149315219013998/ex3-1.htm" TargetMode="External"/><Relationship Id="rId142" Type="http://schemas.openxmlformats.org/officeDocument/2006/relationships/hyperlink" Target="https://www.sec.gov/Archives/edgar/data/883975/000149315221010347/ex3-1.htm" TargetMode="External"/><Relationship Id="rId143" Type="http://schemas.openxmlformats.org/officeDocument/2006/relationships/hyperlink" Target="https://www.sec.gov/Archives/edgar/data/883975/000149315220006338/ex4-10.htm" TargetMode="External"/><Relationship Id="rId144" Type="http://schemas.openxmlformats.org/officeDocument/2006/relationships/hyperlink" Target="https://www.sec.gov/Archives/edgar/data/883975/000149315222029541/ex4-2.htm" TargetMode="External"/><Relationship Id="rId145" Type="http://schemas.openxmlformats.org/officeDocument/2006/relationships/hyperlink" Target="https://www.sec.gov/Archives/edgar/data/883975/000149315222029541/ex4-4.htm" TargetMode="External"/><Relationship Id="rId146" Type="http://schemas.openxmlformats.org/officeDocument/2006/relationships/hyperlink" Target="https://www.sec.gov/Archives/edgar/data/883975/000149315223018718/ex4-1.htm" TargetMode="External"/><Relationship Id="rId147" Type="http://schemas.openxmlformats.org/officeDocument/2006/relationships/hyperlink" Target="https://www.sec.gov/Archives/edgar/data/883975/000149315223018932/ex4-2.htm" TargetMode="External"/><Relationship Id="rId148" Type="http://schemas.openxmlformats.org/officeDocument/2006/relationships/hyperlink" Target="https://www.sec.gov/Archives/edgar/data/883975/000149315223018932/ex10-2.htm" TargetMode="External"/><Relationship Id="rId149" Type="http://schemas.openxmlformats.org/officeDocument/2006/relationships/hyperlink" Target="https://www.sec.gov/Archives/edgar/data/883975/000149315223020309/ex4-1.htm" TargetMode="External"/><Relationship Id="rId150" Type="http://schemas.openxmlformats.org/officeDocument/2006/relationships/hyperlink" Target="https://www.sec.gov/Archives/edgar/data/883975/000149315223020309/ex4-2.htm" TargetMode="External"/><Relationship Id="rId151" Type="http://schemas.openxmlformats.org/officeDocument/2006/relationships/hyperlink" Target="https://www.sec.gov/Archives/edgar/data/883975/000149315223022814/ex4-1.htm" TargetMode="External"/><Relationship Id="rId152" Type="http://schemas.openxmlformats.org/officeDocument/2006/relationships/hyperlink" Target="https://www.sec.gov/Archives/edgar/data/883975/000149315223022814/ex4-2.htm" TargetMode="External"/><Relationship Id="rId153" Type="http://schemas.openxmlformats.org/officeDocument/2006/relationships/hyperlink" Target="https://www.sec.gov/Archives/edgar/data/883975/000149315224000109/ex4-1.htm" TargetMode="External"/><Relationship Id="rId154" Type="http://schemas.openxmlformats.org/officeDocument/2006/relationships/hyperlink" Target="https://www.sec.gov/Archives/edgar/data/883975/000149315224000109/ex4-2.htm" TargetMode="External"/><Relationship Id="rId155" Type="http://schemas.openxmlformats.org/officeDocument/2006/relationships/hyperlink" Target="https://www.sec.gov/Archives/edgar/data/883975/000149315224022560/ex4-1.htm" TargetMode="External"/><Relationship Id="rId156" Type="http://schemas.openxmlformats.org/officeDocument/2006/relationships/hyperlink" Target="https://www.sec.gov/Archives/edgar/data/883975/000149315224022560/ex4-2.htm" TargetMode="External"/><Relationship Id="rId157" Type="http://schemas.openxmlformats.org/officeDocument/2006/relationships/hyperlink" Target="https://www.sec.gov/Archives/edgar/data/883975/000149315224003322/ex5-1.htm" TargetMode="External"/><Relationship Id="rId158" Type="http://schemas.openxmlformats.org/officeDocument/2006/relationships/hyperlink" Target="https://www.sec.gov/Archives/edgar/data/883975/000119312516779729/d296933dex104.htm" TargetMode="External"/><Relationship Id="rId159" Type="http://schemas.openxmlformats.org/officeDocument/2006/relationships/hyperlink" Target="https://www.sec.gov/Archives/edgar/data/883975/000119312516779729/d296933dex105.htm" TargetMode="External"/><Relationship Id="rId160" Type="http://schemas.openxmlformats.org/officeDocument/2006/relationships/hyperlink" Target="https://www.sec.gov/Archives/edgar/data/883975/000149315217002678/ex10-14.htm" TargetMode="External"/><Relationship Id="rId161" Type="http://schemas.openxmlformats.org/officeDocument/2006/relationships/hyperlink" Target="https://www.sec.gov/Archives/edgar/data/883975/000149315217013222/ex10-1.htm" TargetMode="External"/><Relationship Id="rId162" Type="http://schemas.openxmlformats.org/officeDocument/2006/relationships/hyperlink" Target="https://www.sec.gov/Archives/edgar/data/883975/000149315218000286/ex10-1.htm" TargetMode="External"/><Relationship Id="rId163" Type="http://schemas.openxmlformats.org/officeDocument/2006/relationships/hyperlink" Target="https://www.sec.gov/Archives/edgar/data/883975/000149315217008987/def14a.htm" TargetMode="External"/><Relationship Id="rId164" Type="http://schemas.openxmlformats.org/officeDocument/2006/relationships/hyperlink" Target="https://www.sec.gov/Archives/edgar/data/883975/000149315220014354/def14a.htm" TargetMode="External"/><Relationship Id="rId166" Type="http://schemas.openxmlformats.org/officeDocument/2006/relationships/hyperlink" Target="https://www.sec.gov/Archives/edgar/data/883975/000149315220022543/ex4-2.htm" TargetMode="External"/><Relationship Id="rId167" Type="http://schemas.openxmlformats.org/officeDocument/2006/relationships/hyperlink" Target="https://www.sec.gov/Archives/edgar/data/883975/000149315220022543/ex4-3.htm" TargetMode="External"/><Relationship Id="rId168" Type="http://schemas.openxmlformats.org/officeDocument/2006/relationships/hyperlink" Target="https://www.sec.gov/Archives/edgar/data/883975/000149315220022543/ex4-4.htm" TargetMode="External"/><Relationship Id="rId169" Type="http://schemas.openxmlformats.org/officeDocument/2006/relationships/hyperlink" Target="https://www.sec.gov/Archives/edgar/data/883975/000149315220022543/ex4-5.htm" TargetMode="External"/><Relationship Id="rId170" Type="http://schemas.openxmlformats.org/officeDocument/2006/relationships/hyperlink" Target="https://www.sec.gov/Archives/edgar/data/883975/000149315220022543/ex4-6.htm" TargetMode="External"/><Relationship Id="rId171" Type="http://schemas.openxmlformats.org/officeDocument/2006/relationships/hyperlink" Target="https://www.sec.gov/Archives/edgar/data/883975/000149315221008148/ex10-1.htm" TargetMode="External"/><Relationship Id="rId172" Type="http://schemas.openxmlformats.org/officeDocument/2006/relationships/hyperlink" Target="https://www.sec.gov/Archives/edgar/data/883975/000149315221009469/ex10-1.htm" TargetMode="External"/><Relationship Id="rId173" Type="http://schemas.openxmlformats.org/officeDocument/2006/relationships/hyperlink" Target="https://www.sec.gov/Archives/edgar/data/883975/000149315221014052/ex10-1.htm" TargetMode="External"/><Relationship Id="rId174" Type="http://schemas.openxmlformats.org/officeDocument/2006/relationships/hyperlink" Target="https://www.sec.gov/Archives/edgar/data/883975/000149315221032474/ex10-1.htm" TargetMode="External"/><Relationship Id="rId175" Type="http://schemas.openxmlformats.org/officeDocument/2006/relationships/hyperlink" Target="https://www.sec.gov/Archives/edgar/data/883975/000149315222027872/ex10-1.htm" TargetMode="External"/><Relationship Id="rId176" Type="http://schemas.openxmlformats.org/officeDocument/2006/relationships/hyperlink" Target="https://www.sec.gov/Archives/edgar/data/883975/000149315222009272/ex10-1.htm" TargetMode="External"/><Relationship Id="rId177" Type="http://schemas.openxmlformats.org/officeDocument/2006/relationships/hyperlink" Target="https://www.sec.gov/Archives/edgar/data/883975/000149315222002881/ex10-1.htm" TargetMode="External"/><Relationship Id="rId178" Type="http://schemas.openxmlformats.org/officeDocument/2006/relationships/hyperlink" Target="https://www.sec.gov/Archives/edgar/data/883975/000149315223010223/ex10-21.htm" TargetMode="External"/><Relationship Id="rId179" Type="http://schemas.openxmlformats.org/officeDocument/2006/relationships/hyperlink" Target="https://www.sec.gov/Archives/edgar/data/883975/000149315222029541/ex10-1.htm" TargetMode="External"/><Relationship Id="rId180" Type="http://schemas.openxmlformats.org/officeDocument/2006/relationships/hyperlink" Target="https://www.sec.gov/Archives/edgar/data/883975/000149315223018456/ex10-1.htm" TargetMode="External"/><Relationship Id="rId181" Type="http://schemas.openxmlformats.org/officeDocument/2006/relationships/hyperlink" Target="https://www.sec.gov/Archives/edgar/data/883975/000149315223018456/ex10-2.htm" TargetMode="External"/><Relationship Id="rId182" Type="http://schemas.openxmlformats.org/officeDocument/2006/relationships/hyperlink" Target="https://www.sec.gov/Archives/edgar/data/883975/000149315223018456/ex10-3.htm" TargetMode="External"/><Relationship Id="rId183" Type="http://schemas.openxmlformats.org/officeDocument/2006/relationships/hyperlink" Target="https://www.sec.gov/Archives/edgar/data/883975/000149315223018456/ex10-4.htm" TargetMode="External"/><Relationship Id="rId184" Type="http://schemas.openxmlformats.org/officeDocument/2006/relationships/hyperlink" Target="https://www.sec.gov/Archives/edgar/data/883975/000149315223018718/ex10-1.htm" TargetMode="External"/><Relationship Id="rId185" Type="http://schemas.openxmlformats.org/officeDocument/2006/relationships/hyperlink" Target="https://www.sec.gov/Archives/edgar/data/883975/000149315223018932/ex10-1.htm" TargetMode="External"/><Relationship Id="rId186" Type="http://schemas.openxmlformats.org/officeDocument/2006/relationships/hyperlink" Target="https://www.sec.gov/Archives/edgar/data/883975/000149315223020309/ex10-1.htm" TargetMode="External"/><Relationship Id="rId187" Type="http://schemas.openxmlformats.org/officeDocument/2006/relationships/hyperlink" Target="https://www.sec.gov/Archives/edgar/data/883975/000149315223022814/ex10-1.htm" TargetMode="External"/><Relationship Id="rId188" Type="http://schemas.openxmlformats.org/officeDocument/2006/relationships/hyperlink" Target="https://www.sec.gov/Archives/edgar/data/883975/000149315223042204/ex10-1.htm" TargetMode="External"/><Relationship Id="rId189" Type="http://schemas.openxmlformats.org/officeDocument/2006/relationships/hyperlink" Target="https://www.sec.gov/Archives/edgar/data/883975/000149315224000109/ex10-1.htm" TargetMode="External"/><Relationship Id="rId190" Type="http://schemas.openxmlformats.org/officeDocument/2006/relationships/hyperlink" Target="https://www.sec.gov/Archives/edgar/data/883975/000149315224004231/ex10-1.htm" TargetMode="External"/><Relationship Id="rId191" Type="http://schemas.openxmlformats.org/officeDocument/2006/relationships/hyperlink" Target="https://www.sec.gov/Archives/edgar/data/883975/000149315224004231/ex10-2.htm" TargetMode="External"/><Relationship Id="rId192" Type="http://schemas.openxmlformats.org/officeDocument/2006/relationships/hyperlink" Target="https://www.sec.gov/Archives/edgar/data/883975/000149315224022560/ex10-1.htm" TargetMode="External"/><Relationship Id="rId193" Type="http://schemas.openxmlformats.org/officeDocument/2006/relationships/hyperlink" Target="https://www.sec.gov/Archives/edgar/data/883975/000149315217002678/ex21-1.htm" TargetMode="External"/><Relationship Id="rId194" Type="http://schemas.openxmlformats.org/officeDocument/2006/relationships/hyperlink" Target="https://www.sec.gov/Archives/edgar/data/883975/000149315224003322/forms-1a.htm#poa_001" TargetMode="External"/><Relationship Id="rId195" Type="http://schemas.openxmlformats.org/officeDocument/2006/relationships/hyperlink" Target="https://www.sec.gov/Archives/edgar/data/883975/000149315224011521/ex97-1.htm" TargetMode="External"/><Relationship Id="rId196" Type="http://schemas.openxmlformats.org/officeDocument/2006/relationships/hyperlink" Target="https://www.sec.gov/Archives/edgar/data/883975/000149315224002198/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2024-06-11T12:22:14Z</dcterms:created>
  <dcterms:modified xsi:type="dcterms:W3CDTF">2024-06-11T12:22:14Z</dcterms:modified>
</cp:coreProperties>
</file>