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1400" w:hanging="1311"/>
        <w:spacing w:after="0"/>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25" w:lineRule="exact"/>
        <w:rPr>
          <w:sz w:val="24"/>
          <w:szCs w:val="24"/>
          <w:color w:val="auto"/>
        </w:rPr>
      </w:pPr>
    </w:p>
    <w:p>
      <w:pPr>
        <w:ind w:left="3920" w:right="860" w:hanging="3831"/>
        <w:spacing w:after="0" w:line="500" w:lineRule="auto"/>
        <w:tabs>
          <w:tab w:leader="none" w:pos="119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189"/>
        </w:trPr>
        <w:tc>
          <w:tcPr>
            <w:tcW w:w="55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of 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gridSpan w:val="5"/>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registered under Section 12(b) of the Act:</w:t>
            </w:r>
          </w:p>
        </w:tc>
      </w:tr>
      <w:tr>
        <w:trPr>
          <w:trHeight w:val="432"/>
        </w:trPr>
        <w:tc>
          <w:tcPr>
            <w:tcW w:w="348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80" w:type="dxa"/>
            <w:vAlign w:val="bottom"/>
            <w:tcBorders>
              <w:top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under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22"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740" w:right="339" w:bottom="122"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122" w:gutter="0" w:footer="0" w:header="0"/>
          <w:type w:val="continuous"/>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$15,900,000.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outstanding as of March 24, 2025: 34,744,476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FORWARD-LOOKING STATEMENTS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13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60" w:type="dxa"/>
            <w:vAlign w:val="bottom"/>
            <w:gridSpan w:val="15"/>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6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6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0000EE"/>
            </w:tcBorders>
            <w:gridSpan w:val="2"/>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0000EE"/>
                <w:w w:val="95"/>
              </w:rPr>
              <w:t>PART I</w:t>
            </w:r>
          </w:p>
        </w:tc>
        <w:tc>
          <w:tcPr>
            <w:tcW w:w="4760" w:type="dxa"/>
            <w:vAlign w:val="bottom"/>
            <w:tcBorders>
              <w:bottom w:val="single" w:sz="8" w:color="CCEEFF"/>
            </w:tcBorders>
            <w:gridSpan w:val="8"/>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Item 1B.</w:t>
            </w: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Description of Property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40" w:type="dxa"/>
            <w:vAlign w:val="bottom"/>
            <w:gridSpan w:val="11"/>
          </w:tcPr>
          <w:p>
            <w:pPr>
              <w:jc w:val="center"/>
              <w:ind w:right="474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64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8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48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106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Item 7A.</w:t>
            </w: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auto"/>
              </w:rPr>
              <w:t>Item 9B.</w:t>
            </w: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6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380" w:type="dxa"/>
            <w:vAlign w:val="bottom"/>
            <w:gridSpan w:val="13"/>
            <w:shd w:val="clear" w:color="auto" w:fill="CCEEFF"/>
          </w:tcPr>
          <w:p>
            <w:pPr>
              <w:jc w:val="center"/>
              <w:ind w:right="468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640" w:type="dxa"/>
            <w:vAlign w:val="bottom"/>
            <w:shd w:val="clear" w:color="auto" w:fill="CCEEFF"/>
          </w:tcPr>
          <w:p>
            <w:pPr>
              <w:spacing w:after="0"/>
              <w:rPr>
                <w:sz w:val="17"/>
                <w:szCs w:val="17"/>
                <w:color w:val="auto"/>
              </w:rPr>
            </w:pP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580" w:type="dxa"/>
            <w:vAlign w:val="bottom"/>
            <w:tcBorders>
              <w:top w:val="single" w:sz="8" w:color="CCEEFF"/>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60" w:type="dxa"/>
            <w:vAlign w:val="bottom"/>
            <w:tcBorders>
              <w:top w:val="single" w:sz="8" w:color="0000EE"/>
            </w:tcBorders>
            <w:gridSpan w:val="6"/>
          </w:tcPr>
          <w:p>
            <w:pPr>
              <w:spacing w:after="0"/>
              <w:rPr>
                <w:sz w:val="15"/>
                <w:szCs w:val="15"/>
                <w:color w:val="auto"/>
              </w:rPr>
            </w:pPr>
          </w:p>
        </w:tc>
        <w:tc>
          <w:tcPr>
            <w:tcW w:w="470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9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50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6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80" w:type="dxa"/>
            <w:vAlign w:val="bottom"/>
            <w:gridSpan w:val="13"/>
          </w:tcPr>
          <w:p>
            <w:pPr>
              <w:jc w:val="center"/>
              <w:ind w:right="4700"/>
              <w:spacing w:after="0" w:line="176" w:lineRule="exact"/>
              <w:rPr>
                <w:sz w:val="20"/>
                <w:szCs w:val="20"/>
                <w:color w:val="auto"/>
              </w:rPr>
            </w:pPr>
            <w:r>
              <w:rPr>
                <w:rFonts w:ascii="Times New Roman" w:cs="Times New Roman" w:eastAsia="Times New Roman" w:hAnsi="Times New Roman"/>
                <w:sz w:val="18"/>
                <w:szCs w:val="18"/>
                <w:color w:val="0000EE"/>
                <w:w w:val="97"/>
              </w:rPr>
              <w:t>PART IV</w:t>
            </w:r>
          </w:p>
        </w:tc>
        <w:tc>
          <w:tcPr>
            <w:tcW w:w="64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78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9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6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REFERENCES TO OUR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this Form 10-K, the words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 owned subsidiary of the Company on November 28, 2016. The capitalized term “Merger” refers to the November 28, 2016 merger of C&amp;RD Israel Ltd, a then wholly owned subsidiary of the Company, with and into Microbot Israel, with Microbot Israel surviving as a wholly owned subsidiary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studies, trials or procedures relating to product candidates under development or that we may develop, or applications for such candidates, could have a material adverse effect on our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whether the data submitted with its 510(k) application will satisfy all FDA requirements to support clearance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20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ind w:left="660" w:right="20" w:hanging="328"/>
        <w:spacing w:after="0" w:line="188"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203" w:lineRule="auto"/>
        <w:tabs>
          <w:tab w:leader="none" w:pos="66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attractive. Microbot products may in the future be subject to mandatory product recalls that could harm its reputation, business and financial results.</w:t>
      </w:r>
    </w:p>
    <w:p>
      <w:pPr>
        <w:spacing w:after="0" w:line="200"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geopolitical conditions can adversely affect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uncertainty may have an adverse impact on our operating performance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failures and data security breaches could harm our business.</w:t>
      </w:r>
    </w:p>
    <w:p>
      <w:pPr>
        <w:sectPr>
          <w:pgSz w:w="11900" w:h="16838" w:orient="portrait"/>
          <w:cols w:equalWidth="0" w:num="1">
            <w:col w:w="11240"/>
          </w:cols>
          <w:pgMar w:left="320" w:top="692" w:right="339" w:bottom="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4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 (“FDA”).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34"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a human clinical study. On January 29, 2024, the Company submitted an IDE application with the U.S. Food and Drug Administration, in order to commence its pivotal clinical trial in humans.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human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 However, we can give no assurance that we will meet this projected milestone, if ever. See “Risk Factors-Risks Relating to the Development and Commercialization of Microbot’s Product Candidates” below.</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Minimally Invasive Robot-Assisted Endovascular Interventions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 products and other off-the-shelf products, it is well-positioned to deliver a value-added endovascular robotic system, with a focus on improving the ease and access and enhancing the safety of endovascular interventions.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8" w:lineRule="exact"/>
        <w:rPr>
          <w:sz w:val="20"/>
          <w:szCs w:val="20"/>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refine existing product candidates and develop additional surgical robotic solutions. As Microbot prepares to bring its initial 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3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leverage relationships with key institutions and leading clinicians. Microbot’s objective will be to maintain clinical focus with 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invest in research and development. Microbot’s most significant expense has historically been research and development, and 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partnerships for the introduction of Microbot’s products. In parallel to its efforts to establish direct sales and marketing capabilities, 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IP and technologies to complement and strengthen Microbot’s current IP portfolio. Microbot intends to continue exploring new technologies, IP and know-how to add to its current portfolio through licensing, mergers and/or acquisitions and to allow Microbot to enter new spaces and strengthen its overall product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and is CE-marked for neurovascular interventions.. Another competitor is R-One+ by Robocath (CE Marked, NMPA, South Africa for PCI only), and we believe there are many other competitors in the endovascular robotics space. We believe these systems of our competitors that we have identified have drawbacks, such as limited maneuverability, the requirement to exchange and use multiple expensive surgical tools,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Medical® and The Technion Research and Development Foundation Ltd., or TRDF. The NovaCross®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16 patents issued/allowed and 59 patent applications pending worldwide. Microbot also holds 14 design patents issued/allowed worldwide. It also has registered</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registered in the U.S., Israel, Europe, and UK, and Microbot Medical logo registered in Israel, Europe, and UK, in addition to having registered trademarks for the “One &amp; Done” wordmark in Israel, Europe, the U.S., UK, and Japan. Microbot also has a registered trademark in the U.S. for the NovaCross trademark.</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2024 totaling approximately $1.9 million. This includes amounts received of approximately $378,000, which is a portion of an additional grant from the IIA in the amount of approximately NIS 1,620,000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received approximately $50,000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2024 and 2023, respectively, Microbot incurred research and development expenses, net of approximately $6,630,000 and 5,724,000.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filing date of this Annual Report on Form 10-K, we are working with the subcontractor to transfer the production to the subcontractor.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 has recently commenced the establishment of a sales, marketing and product distribution infrastructure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while it awaits potential FDA clearance of its 510(k) application.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filing date of this Annual Report on Form 10-K, although there have been temporary cease fires in such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filing date of this Annual Report on Form 10-K,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Description of the IDE process. The IDE will become effective 30 days after receipt by the FDA, unless the FDA otherwise informs the sponsor prior to the 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Europe. The primary regulatory body in Europe is the European Union, or E.U., which consists of 27 member states and has a coordinated system for the authorization of medical devices.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8"/>
        <w:spacing w:after="0" w:line="282" w:lineRule="auto"/>
        <w:tabs>
          <w:tab w:leader="none" w:pos="2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1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right="20" w:firstLine="8"/>
        <w:spacing w:after="0" w:line="282" w:lineRule="auto"/>
        <w:tabs>
          <w:tab w:leader="none" w:pos="2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19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Israel.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24, 2025, we have 21 employees (including full-time and hourly employees).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based in its office located in Yokneam, Israel. These employees oversee day-to-day operations of the Company and leading engineering, manufacturing, intellectual property and administration functions of the Company. In 2025, the Company commenced hiring a commercialization and sales team, in advance of its planned 510(k) clearance from the FDA. The Company expects to continue to increase hirings for that team, assuming it receives clearance.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two years, we have increased the total number of women in management positions.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potentially conducts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applications and product candidates. This is the case even with the Company’s past suspension or termination of the research and development programs relating to the SCS device, the technology we originally acquired from CardioSert,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will likely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 in which case it may be unable to meet its obligations or fully implement its business plan, if at all.</w:t>
      </w:r>
    </w:p>
    <w:p>
      <w:pPr>
        <w:spacing w:after="0" w:line="20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or otherwise in order to meet expected future liquidity needs, including the commercial 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studies, trials or procedures relating to product candidates under development or that we may develop, or applications for such candidates, could have a material adverse effect on our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potential future uses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prospects with respect to other uses or other product candidates we may pursue or identify from time to time.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20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We previously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These goals relate to technology and design improvements as well as to dates for</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achieving specific development, commercialization and results.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exhibits technical defects or are unable to meet cost or performance goals, Microbot’s commercialization schedule could be delayed and potential purchasers may decline to purchase such products or may opt to pursue alternative products, which would materially harm its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7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whether the data submitted with its 510(k) application will satisfy all FDA requirements to support clearance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used in its 510(k) application. However, there is no guarantee that the FDA will agree with the Company’s determination or that the FDA would accept the predicate device that Microbot submitted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clinical-stage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and related conflicts,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spacing w:after="0" w:line="204"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attractive.</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doctors of the product for its planned applications.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Israeli military operation at first in Gaza and then in Lebanon. These include security and economic risks, risks relating to our ability to sell or buy internationally, risk of economic instability, risk of exchange rate fluctuation negatively affecting operating costs, and the risk of employees leaving to perform military service. These military operations and related activities, such as the recent collapse of the Assad regime in Syria and Israel’s subsequent military operations in Syria, and the recent escalation of military operations by and against the Houthis in Yemen, are on-going as of the filing date of this Annual Report on Form 10-K, although there have been temporary cease fires in such military operations from time to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Annual Report on Form 10-K, the Company has determined that there have not been any materially adverse effects on its business or operations, but it continues to monitor the situation, as any collapse of a cease-fire from time to time or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$1.9 million through December 31, 2024. During 2023 through December 31, 2024,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our 2022 agreement with Nitiloop, we took over the liability to repay Nitiloop’s IIA grants in the amount of approximately $925,000.</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social and geopolitical conditions can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Political, social and geopolitical conditions in the markets in which our products are expected to be sold have been and could continue to be difficult to predict, resulting in adverse effects on our business. The results of elections, referendums or other political conditions (including government shutdowns), geopolitical events and tensions, wars and other military conflicts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 retaliatory tariffs against certain countries or covering certain products or ingredients, sanctions, environmental and climate change regulations, taxes, benefit programs, the movement of goods, services and people between countries, relationships between countries, customer or consumer perception of a particular country or its government and other matters. Such conditions have resulted in and could continue to result in exchange rate fluctuation, limitations on access to credit markets and other corporate banking services, including working capital facilities, volatility in global stock markets and global economic uncertainty and heightened risk to employee safety, any of which can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It is presently unclear as to all of the actions the second Trump administration in the U.S. will implement, and if implemented, how these actions may impact us or how we operate in the U.S., particularly any changes in personnel or processes or procedures at the FDA. Any actions taken by the Trump administration, including the many recent executive orders, may have a negative impact on the U.S. economy in general and on our business, financial condition, and results of operations in particular, especially if any such impact delays our planned 510(k) approval.</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and 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failures and data security breaches could harm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information technology, digital communications and other computer resources to carry out important operational and marketing activities and to maintain our business records. We have implemented systems and processes intended to address ongoing and evolving cyber security risks, secure our information technology, applications and computer systems, and prevent unauthorized access to or loss of sensitive, confidential and personal data. We also depend on various partners and providers, and our software partners, to secure personal identifiable and confidential information. We provide regular personnel awareness training regarding potential cyber security threats, including the use of internal tips, reminders and phishing assessments, to help ensure employees remain diligent in identifying potential risks. In addition, we have deployed monitoring capabilities to support early detection, internal and external escalation, and effective responses to potential anomalies. However, cyberattacks or other security breaches may remain undetected over an extended period of time and may not be addressed in a timely manner to minimize the impact, which could result in substantial costs. Many of our information technology and other computer resources are provided to us and/or maintained on our behalf by third-party service providers pursuant to agreements that specify to varying degrees certain security and service level standards. We also rely upon our third-party service providers to maintain effective cyber security measures to keep our information secure and to carry cyber insurance. Although we and our service providers employ what we believe are adequate security, disaster recovery and other preventative and corrective measures, our security measures, taken as a whole, may not be sufficient for all possible situations and may be vulnerable to, among other things, hacking, employee error, system error and faulty password management.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conduct our business may be impaired if these information technology and computer resources, including our website and customer-facing applications, are compromised, degraded or damaged or if they fail, whether due to a virus or other harmful circumstance, intentional penetration or disruption of our information technology resources by a third party, natural disaster, hardware or software corruption or failure or error (including a failure of security controls incorporated into or applied to such hardware or software), telecommunications system failure, service provider error or failure or intentional or unintentional personnel actions (including the failure to follow our security protocols), or lost connectivity to our networked resources. A significant disruption in the functioning of these resources, or breach thereof, including our website, could damage our reputation and cause us to lose customers, sales and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breaches of our information technology systems or data security systems, including cyberattacks and malicious uses of artificial intelligence, could result in the unintended and/or unauthorized public disclosure or the misappropriation of proprietary, personal identifying and confidential information (including information we collect and retain in connection with our business, business partners and employees), and require us to incur significant expense (that we may not be able to recover in whole or in part from our service providers or responsible parties, or their or our insurers) to address and remediate or otherwise resolve. The unintended and/or unauthorized public disclosure or the misappropriation of proprietary, personal identifying or confidential information may also lead to litigation or other proceedings against us by affected individuals and/or business partners and/or by regulators, and the outcome of such proceedings, which could include losses, penalties, fines, injunctions, expenses and charges recorded against our earnings, could have a material and adverse effect on our financial condition, results of operations and cash flows and harm our reputation. In addition, the costs of maintaining adequate protection against such threats, based on considerations of their evolution, increasing sophistication, pervasiveness and frequency and/or increasingly demanding government-mandated standards or obligations regarding information security and privacy, could be material to our consolidated financial statements in a particular period or over various periods.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5540" w:right="5060" w:hanging="5208"/>
        <w:spacing w:after="0" w:line="409" w:lineRule="auto"/>
        <w:tabs>
          <w:tab w:leader="none" w:pos="66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or annual operating results;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u w:val="single" w:color="auto"/>
          <w:color w:val="auto"/>
        </w:rPr>
        <w:t>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formation, we have been primarily focused on research and development activities and pursuing FDA approval of our planned products, and recently commenced building our commercial team. We have 22 employees and currently use third-party vendors and service providers for certain product development and regulatory approval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 a third-party sub-contractor to manage all Information Technology (IT) issues, including protection against, detection, and response to cyberattacks.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measures that are taken to ensure proper protection include:</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computers are protected using a cloud-powered endpoint security solution that helps enterprises prevent, detect, investigate, and respond to advanced threats on their networks. It offers endpoint protection, endpoint detection and response, mobile threat defense, and integrated vulnerability management. It also provides, among other things, malware and spyware detection and remediation, rootkit detection and remediation and network vulnerability detection.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computer hard drives are automatically encrypted.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e-mails are protected by a cloud-based email filtering service designed to protect the Company against advanced threats related to email and collaboration tools.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all users on the Company’s computer network are required to perform multi-factor authentication.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a cloud-based identity and access management service that enables access to external resources.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Backup is performed using a secure, automatic cloud-based backup and restore service.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believe that our third-party vendors and service providers have their own respective cybersecurity protocols which our management believes to be adequate for protecting any of the Company’s data that might be in their possession from time to time; however, having such protocols is not necessarily a condition for us using or not using the services of any such vendors or providers.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Our Chief Technology Officer and General Manager is responsible for assessing and managing cybersecurity risks, through his oversight of our IT service provider that manages our IT, but he does not have specific cybersecurity expertise. The Company has an Information Technology Policy that, among other things, governs and provides for cybersecurity policies and processes, including to define safety measures to protect the Company’s confidentiality, integrity and availability of data and other intellectual property, as well as to define the manner in which information is stored, saved and routed in the Company’s network. Additionally, the Board and management believe cybersecurity represents an important component of the Company’s overall approach to risk management and oversight, especially as the Company moves towards commercialization of its first product.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Cybersecurity threats have not materially affected, and are not reasonably likely to affect, the Company, including its business strategy, results of operations or financial condition while we are strategically focused on pursuing FDA approval and have pre-commercial operations. The Company is not aware of any material security breach to date. Accordingly, the Company has not incurred any material expenses over the last two years relating to information security breaches. The occurrence of cyber-incidents, or a deficiency in our cybersecurity or in those of any of our third-party service providers could negatively impact our business by causing a disruption to our operations, a compromise or corruption of our confidential information and systems, or damage to our business relationships or reputation, all of which could negatively impact our business and results of operations. There can be no assurance that the Company’s third-party vendors’ and service providers’ cybersecurity risk management processes, including their policies, controls or procedures, will be fully implemented, complied with or effective in protecting the Company’s systems and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These facilities are expected to provide the space and infrastructure necessary to accommodate its commercial and business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24, 2025, there were approximately 117 holders of record of our common stock, and the closing price of our common stock as reported on the NASDAQ Capital Market was $1.60.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2024.</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 warrants</w:t>
            </w:r>
          </w:p>
        </w:tc>
        <w:tc>
          <w:tcPr>
            <w:tcW w:w="160" w:type="dxa"/>
            <w:vAlign w:val="bottom"/>
          </w:tcPr>
          <w:p>
            <w:pPr>
              <w:spacing w:after="0"/>
              <w:rPr>
                <w:sz w:val="18"/>
                <w:szCs w:val="18"/>
                <w:color w:val="auto"/>
              </w:rPr>
            </w:pPr>
          </w:p>
        </w:tc>
        <w:tc>
          <w:tcPr>
            <w:tcW w:w="17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38"/>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future issuance</w:t>
            </w:r>
          </w:p>
        </w:tc>
      </w:tr>
      <w:tr>
        <w:trPr>
          <w:trHeight w:val="623"/>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467,133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156,585</w:t>
            </w:r>
          </w:p>
        </w:tc>
      </w:tr>
      <w:tr>
        <w:trPr>
          <w:trHeight w:val="234"/>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1,890,810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729,842</w:t>
            </w:r>
          </w:p>
        </w:tc>
      </w:tr>
      <w:tr>
        <w:trPr>
          <w:trHeight w:val="414"/>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77, 846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2,497,366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886,427</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-1156335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-873760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-599440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-325120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684" w:right="339" w:bottom="1440" w:gutter="0" w:footer="0" w:header="0"/>
          <w:type w:val="continuous"/>
        </w:sectPr>
      </w:pPr>
    </w:p>
    <w:p>
      <w:pPr>
        <w:spacing w:after="0" w:line="25" w:lineRule="exact"/>
        <w:rPr>
          <w:sz w:val="20"/>
          <w:szCs w:val="20"/>
          <w:color w:val="auto"/>
        </w:rPr>
      </w:pPr>
    </w:p>
    <w:p>
      <w:pPr>
        <w:jc w:val="both"/>
        <w:ind w:left="340" w:hanging="332"/>
        <w:spacing w:after="0" w:line="257"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benefits and related expenses and overhead for Microbot’s research, development and engineering personnel, prototype materials and research studies, obtaining and maintaining Microbot’s patent portfolio, net of government grants and NRE payments.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benefits and related expenses, professional fees for accounting, auditing, consulting, legal services, and insurance expenses, net of insurance loss recoveries.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(6,630)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(5,724)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9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(1,111)</w:t>
            </w: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of approximately $0.9 million in 2024 as compared to 2023 was primarily due to increases in headcount, employees’ salaries and bonuses. Additionally, there were increased regulatory expenses in 2024 due to the Investigational Device Exemption and 510K submission, as well as higher costs associated with clinical studies conducted in 2024 compared to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 net</w:t>
      </w:r>
      <w:r>
        <w:rPr>
          <w:rFonts w:ascii="Times New Roman" w:cs="Times New Roman" w:eastAsia="Times New Roman" w:hAnsi="Times New Roman"/>
          <w:sz w:val="18"/>
          <w:szCs w:val="18"/>
          <w:color w:val="auto"/>
        </w:rPr>
        <w:t>. The increase in general and administrative expenses of approximately $0.9 million in 2024 as compared to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certain cost reduction plans targeting employee salaries and bonuses as well as board of director fees that were implemented in 2023 and later relaxed in 2024.</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 net</w:t>
      </w:r>
      <w:r>
        <w:rPr>
          <w:rFonts w:ascii="Times New Roman" w:cs="Times New Roman" w:eastAsia="Times New Roman" w:hAnsi="Times New Roman"/>
          <w:sz w:val="18"/>
          <w:szCs w:val="18"/>
          <w:color w:val="auto"/>
        </w:rPr>
        <w:t>. The decrease in Finance income in 2024 as compared to 2023 is due to a decrease in market gains offset by increase in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and foreign exchange changes.</w:t>
      </w:r>
    </w:p>
    <w:p>
      <w:pPr>
        <w:spacing w:after="0" w:line="16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Loss on legal settlement, net. Loss on legal settlement, net for the year ended December 31, 2023 is related to the issuance of restricted shares of our common stock to settle the Lawsuit pursuant to the Settlement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December 31, 2024, Microbot had a net working capital of approximately $3.4 million, consisting primarily of cash and cash equivalents and marketable securities. This compares to net working capital of approximately $4.1 million as of December 31, 2023. This does not include any of the approximately $30.6 million we have raised subsequent to December 31, 2024, discussed further below. Microbot anticipates that it will continue to incur net losses for the foreseeable future as it continues research and development efforts and ramps up commercialization of its primary product candidate and continues to incur costs associated with being a public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December 31, 2024, Microbot has raised cash proceeds of approximately $74.9 million. Since inception (November 2010) through December 31, 2024, Microbot incurred a total cumulative loss of approximately $90.9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January 1, 2025, we have raised the following amounts: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approximately $1.1 million in January 2025, before fees and expenses of $35,179, through our ATM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an aggregate of approximately $15.6 million in gross proceeds, before fees and expenses of approximately $1.4 million, from institutional investors;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approximately $916,000 in gross proceeds from the exercise of outstanding preferred investment options, before fees and expenses of $64,164;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an aggregate of approximately $13.0 million in gross proceeds, before fees and expenses of approximately $1.2 million, from institutional investors.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December 31, 2024 in the total amount of approximately $1.9 million. This amount includes amounts received of approximately $378,000, which are a portion of an additional grant from the IIA in the amount of approximately NIS 1.6 million (approximately $447,000) approved on June 1, 2023, to further</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 in the aggregate amount of approximately $530,000. During the 3rd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w:t>
      </w:r>
    </w:p>
    <w:p>
      <w:pPr>
        <w:jc w:val="both"/>
        <w:spacing w:after="0" w:line="228" w:lineRule="auto"/>
        <w:rPr>
          <w:sz w:val="20"/>
          <w:szCs w:val="20"/>
          <w:color w:val="auto"/>
        </w:rPr>
      </w:pPr>
      <w:r>
        <w:rPr>
          <w:rFonts w:ascii="Times New Roman" w:cs="Times New Roman" w:eastAsia="Times New Roman" w:hAnsi="Times New Roman"/>
          <w:sz w:val="18"/>
          <w:szCs w:val="18"/>
          <w:color w:val="auto"/>
        </w:rPr>
        <w:t>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the extent available, Microbot intends to continue to raise capital through future public and private issuances of debt and/or equity securities, to fund its commercial activities and working capital and general business purposes.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 commercialization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filing date of this Annual Report on Form 10-K, management believes we have sufficient funds for our operations for in excess of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0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gridSpan w:val="2"/>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investing activities</w:t>
            </w: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tcPr>
          <w:p>
            <w:pPr>
              <w:spacing w:after="0"/>
              <w:rPr>
                <w:sz w:val="18"/>
                <w:szCs w:val="18"/>
                <w:color w:val="auto"/>
              </w:rPr>
            </w:pPr>
          </w:p>
        </w:tc>
      </w:tr>
      <w:tr>
        <w:trPr>
          <w:trHeight w:val="22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0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7,936</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40" w:type="dxa"/>
            <w:vAlign w:val="bottom"/>
          </w:tcPr>
          <w:p>
            <w:pPr>
              <w:spacing w:after="0"/>
              <w:rPr>
                <w:sz w:val="19"/>
                <w:szCs w:val="19"/>
                <w:color w:val="auto"/>
              </w:rPr>
            </w:pPr>
          </w:p>
        </w:tc>
        <w:tc>
          <w:tcPr>
            <w:tcW w:w="122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cash flows used in operating activities was primarily from an increase in research and development expenses and general and administration expenses discussed above.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of net cash flows provided by investing activities was primarily due to a decrease in proceeds from maturities of marketable securities in 2024 compared to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cash flows provided by financing activities was due to increased issuances of common stock and warrants in 2024 compared to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December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Foreign Exchange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supplementary data required by this item are included in this Annual Report on Form 10-K immediately following Part IV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2024. Based on that review and evaluation, the Chief Executive Officer and Chief Financial Officer, along with the management of the Company, have determined that as of December 31,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r>
        <w:rPr>
          <w:rFonts w:ascii="Times New Roman" w:cs="Times New Roman" w:eastAsia="Times New Roman" w:hAnsi="Times New Roman"/>
          <w:sz w:val="18"/>
          <w:szCs w:val="18"/>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2024, and have concluded that, as of December 31, 2024, our internal control over financial reporting was effective.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u w:val="single" w:color="auto"/>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March 24,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30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6"/>
                <w:szCs w:val="16"/>
                <w:color w:val="auto"/>
              </w:rPr>
            </w:pPr>
          </w:p>
        </w:tc>
        <w:tc>
          <w:tcPr>
            <w:tcW w:w="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16"/>
                <w:szCs w:val="16"/>
                <w:color w:val="auto"/>
              </w:rPr>
            </w:pPr>
          </w:p>
        </w:tc>
        <w:tc>
          <w:tcPr>
            <w:tcW w:w="73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 (1)(3)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David J. Wilson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David J. Wilson</w:t>
      </w:r>
      <w:r>
        <w:rPr>
          <w:rFonts w:ascii="Times New Roman" w:cs="Times New Roman" w:eastAsia="Times New Roman" w:hAnsi="Times New Roman"/>
          <w:sz w:val="18"/>
          <w:szCs w:val="18"/>
          <w:color w:val="auto"/>
        </w:rPr>
        <w:t>, was elected at our December 17, 2024 Annual Meeting of Stockholders as a Class III director for a three-year term, was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by the Board of Directors of the Company 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March 24, 2025.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18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Harel Gadot</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6"/>
                <w:szCs w:val="16"/>
                <w:color w:val="auto"/>
              </w:rPr>
            </w:pPr>
          </w:p>
        </w:tc>
        <w:tc>
          <w:tcPr>
            <w:tcW w:w="7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managing FP&amp;A, leading teams with respect to preparing quarterly financial statements, obtaining and managing grant monies, and Sarbanes-Oxley controls.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five meetings during the fiscal year ended December 31, 2024.</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four meetings during the fiscal year ended December 31, 2024 and acted by unanimous written consent one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held three meetings during the fiscal year ended December 31, 2024.</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Code of Ethics and Conduct that applies to all of our directors, officers, employees, and consultants. A copy of our code of ethics is posted on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is filed as Exhibit 14.1 to this Form 10-K. We intend to disclose any substantive amendment or waivers to this code on our website. There were no substantive amendments or waivers to this code in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2024, all Section 16(a) filing requirements applicable to our officers, directors and greater than 10% beneficial owners have been met, other than a Form 3 for Mr. Wilson, which was not timely filed.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the Company. Such policies and procedures are filed as Exhibit 19.2 to this Form 10-K, and are also included in the Company’s Code of Ethics and Conducts, which is filed as Exhibit 14.1 to this Form 10-K, and in its Blackout Period and Trading Window Policy, which is filed as Exhibit 19.1 to this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u w:val="single" w:color="auto"/>
          <w:color w:val="auto"/>
        </w:rPr>
        <w:t>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300" w:type="dxa"/>
            <w:vAlign w:val="bottom"/>
          </w:tcPr>
          <w:p>
            <w:pPr>
              <w:spacing w:after="0"/>
              <w:rPr>
                <w:sz w:val="20"/>
                <w:szCs w:val="20"/>
                <w:color w:val="auto"/>
              </w:rPr>
            </w:pPr>
          </w:p>
        </w:tc>
        <w:tc>
          <w:tcPr>
            <w:tcW w:w="12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09"/>
        </w:trPr>
        <w:tc>
          <w:tcPr>
            <w:tcW w:w="2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149,189(5)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514,141(9)</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1,241,479</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470,302</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241,455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84,754(4)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123,785(9)</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89,435(6)</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539,429</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88,418</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Juan Diaz-Cartelle</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350,000</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26,478(9)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376,478</w:t>
            </w: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CMO (7)</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14,808</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15,528</w:t>
            </w:r>
          </w:p>
        </w:tc>
      </w:tr>
      <w:tr>
        <w:trPr>
          <w:trHeight w:val="216"/>
        </w:trPr>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162,793</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40,816(4)</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105,862(9)</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53,694(8)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363,165</w:t>
            </w:r>
          </w:p>
        </w:tc>
      </w:tr>
      <w:tr>
        <w:trPr>
          <w:trHeight w:val="216"/>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76,533</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8"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2024 included elsewhere in this Annual Report on Form 10-K for the fiscal year ended December 31, 2024.</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2023 fiscal year, which amount was actually paid in 2024. For the 2023 fiscal year, Mr. Gadot received in 2024 $149,188.50 of a possible maximum of $298,377, and a bonus in the form of 79,567 stock options.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 Diaz-Cartelle commenced employment on December 1, 2023.</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certain performance-based options granted and vested to the executive in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 Units 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 Units of</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Have Not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1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09"/>
        </w:trPr>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77,846</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1/01/2025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120,847</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9/14/2027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166,666</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2/25/2030</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02/01/2031</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01/26/2032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08/01/2033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4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08/13/2028</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08/12/2029</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23,125</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01/26/2032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08/01/2033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42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01/26/2032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7,750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07/18/2032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12/21/2032</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08/01/2033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Juan Diaz-</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Cartelle</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01/12/2033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5,687</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02/22/2034</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10,500</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02/26/2034</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is $556,972.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82"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vested in accordance with their terms as of February 5,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dated November 22, 2021, amended as of May 15, 2023 and February 5, 2025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is 720,000 NIS.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vested in accordance with their terms as of February 5,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further amended as of May 15, 2023 and on February 5, 2025 (as so amended, the “Sharon Agreement”),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Sharon Agreement, for the fiscal year ending December 31, 2025, Mr. Sharon’s annual salary is 960,000.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vested in accordance with their terms as of February 5, 2025.</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effective as of December 1, 2023 and as amended on February 5, 2025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is $367,500.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35% (up from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vested in accordance with their terms as of February 5,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Policies and Practices Related to the Grant of Equity Awards Close in Time to the Release of Material Nonpublic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does not have any adopted policies and practices on the timing of awards of options in relation to the disclosure of material nonpublic information by the Company. The Company’s Compensation Committee and Board of Directors, as applicable, typically grants options in the first quarter of each fiscal year to the Company’s executive officers and employees, and would typically grants options to independent members of the Board of Directors after each annual meeting of stockholders (which was not followed in 2024, with such options being granted in January 2025), although such awards are not granted on a predetermined schedule. The board and compensation committee takes material nonpublic information into account when determining the timing and terms of such an award and whether any disclosure of material nonpublic information is timed for the purpose of affecting the value of executive compensation, and will, for instance, delay the grant of awards if material news is expected to be made public based on discussions with management.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during the last completed fiscal year, did not award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For the 2024 fiscal year, in January 2025 the independent members of the Board were each granted 10,000 options with Mr. Wilson, as a newly elected director, being granted an additional 10,000 options. Additionally, as a result of the Company’s May 2023 cost reduction plan, the independent members of the Board agreed to a suspension of their quarterly director fees, with reinstatement of such fees effective as of January 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 (2)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$ 39,375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106,266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111,891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$ 33,750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100,641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$ 31,875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98,766</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$ 30,000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$ 66,891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96,891</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Wilson (3)</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Bornstein’s term as a director expired in December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Wilson’s term as a director commenced in December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March 24, 2025,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24, 2025. We calculated percentage ownership in accordance with the rules of the SEC. The percentage of common stock beneficially owned is based on 34,744,476 shares outstanding as of March 24, 2025. In addition, shares issuable pursuant to options or other convertible securities that may be acquired within 60 days of March 24, 2025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c>
          <w:tcPr>
            <w:tcW w:w="0" w:type="dxa"/>
            <w:vAlign w:val="bottom"/>
          </w:tcPr>
          <w:p>
            <w:pPr>
              <w:spacing w:after="0"/>
              <w:rPr>
                <w:sz w:val="1"/>
                <w:szCs w:val="1"/>
                <w:color w:val="auto"/>
              </w:rPr>
            </w:pPr>
          </w:p>
        </w:tc>
      </w:t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60" w:type="dxa"/>
            <w:vAlign w:val="bottom"/>
          </w:tcPr>
          <w:p>
            <w:pPr>
              <w:spacing w:after="0"/>
              <w:rPr>
                <w:sz w:val="20"/>
                <w:szCs w:val="20"/>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Harel Gadot</w:t>
            </w:r>
            <w:r>
              <w:rPr>
                <w:rFonts w:ascii="Times New Roman" w:cs="Times New Roman" w:eastAsia="Times New Roman" w:hAnsi="Times New Roman"/>
                <w:sz w:val="28"/>
                <w:szCs w:val="28"/>
                <w:color w:val="auto"/>
                <w:vertAlign w:val="superscript"/>
              </w:rPr>
              <w:t>(1)(2)</w:t>
            </w:r>
          </w:p>
        </w:tc>
        <w:tc>
          <w:tcPr>
            <w:tcW w:w="200" w:type="dxa"/>
            <w:vAlign w:val="bottom"/>
            <w:vMerge w:val="continue"/>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1,097,927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56"/>
        </w:trPr>
        <w:tc>
          <w:tcPr>
            <w:tcW w:w="6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80,120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80,120</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80,120</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75,024</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(2)(3)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126,491</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73,433</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(2)(3)</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85,146</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(2)(3)</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30,687</w:t>
            </w:r>
          </w:p>
        </w:tc>
        <w:tc>
          <w:tcPr>
            <w:tcW w:w="2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(2)</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1,729,068</w:t>
            </w:r>
          </w:p>
        </w:tc>
        <w:tc>
          <w:tcPr>
            <w:tcW w:w="2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both"/>
        <w:ind w:left="34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961,080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and (2).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Burell, Madden, Laxminarain, Wenderow and Wilson, and Ms. Stockburger.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u w:val="single" w:color="auto"/>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Tax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upon the recommendation of the Audit Committee, has selected the independent accounting firm of Brightman Almagor Zohar &amp; Co., a Firm in the Deloitte Global Network, to audit the accounts of the Company for the year ending December 31,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2024.</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received the following information concerning the fees of the independent accountants for the years ended December 31, 2024 and 2023, has considered whether the provision of these services is compatible with independence of the independent accountants, and concluded that it 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6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8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2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 (2)</w:t>
            </w:r>
          </w:p>
        </w:tc>
        <w:tc>
          <w:tcPr>
            <w:tcW w:w="2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7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represents fees for the audit of our annual consolidated financial statements and reviews of the interim consolidated financial statements, and review of audit-related SEC filings.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related to issuing an Auditor consents and comfort letters, for Registration Statements on Forms S-1 and ATM filling.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and tax fees include administrative overhead charges and reimbursement for out-of-pocket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u w:val="single" w:color="auto"/>
          <w:color w:val="auto"/>
        </w:rPr>
        <w:t>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are filed as part of this Annual Report on Form 10-K commencing on page F-1 and are hereby incorporated by reference.</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are omitted as they are either not applicable or the information required is presented in the financial statements and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60" w:type="dxa"/>
            <w:vAlign w:val="bottom"/>
            <w:gridSpan w:val="11"/>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4"/>
                <w:szCs w:val="14"/>
                <w:color w:val="auto"/>
              </w:rPr>
            </w:pPr>
          </w:p>
        </w:tc>
        <w:tc>
          <w:tcPr>
            <w:tcW w:w="10120" w:type="dxa"/>
            <w:vAlign w:val="bottom"/>
            <w:tcBorders>
              <w:top w:val="single" w:sz="8" w:color="auto"/>
              <w:bottom w:val="single" w:sz="8" w:color="0000EE"/>
            </w:tcBorders>
            <w:gridSpan w:val="20"/>
          </w:tcPr>
          <w:p>
            <w:pPr>
              <w:spacing w:after="0" w:line="169"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Microbot Medical Ltd. (incorporated by reference to the Company’s Current Report on Form 8-K filed on August 15, 2016).</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fiscal year ended December 31, 2006 and filed on March 15, 2007).</w:t>
              </w:r>
            </w:hyperlink>
          </w:p>
        </w:tc>
        <w:tc>
          <w:tcPr>
            <w:tcW w:w="5240" w:type="dxa"/>
            <w:vAlign w:val="bottom"/>
            <w:gridSpan w:val="1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Report on Form 8-K filed on November 29, 2016).</w:t>
              </w:r>
            </w:hyperlink>
          </w:p>
        </w:tc>
        <w:tc>
          <w:tcPr>
            <w:tcW w:w="6460" w:type="dxa"/>
            <w:vAlign w:val="bottom"/>
            <w:gridSpan w:val="1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8-K filed on September 4, 2018).</w:t>
              </w:r>
            </w:hyperlink>
          </w:p>
        </w:tc>
        <w:tc>
          <w:tcPr>
            <w:tcW w:w="774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83">
              <w:r>
                <w:rPr>
                  <w:rFonts w:ascii="Times New Roman" w:cs="Times New Roman" w:eastAsia="Times New Roman" w:hAnsi="Times New Roman"/>
                  <w:sz w:val="18"/>
                  <w:szCs w:val="18"/>
                  <w:color w:val="0000EE"/>
                  <w:w w:val="94"/>
                </w:rPr>
                <w:t>2016).</w:t>
              </w:r>
            </w:hyperlink>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Certificate of Elimination (incorporated by reference to the Company’s Current Report on Form 8-K filed on December 12,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7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Report on Form 8-K filed on May 3, 2021).</w:t>
              </w:r>
            </w:hyperlink>
          </w:p>
        </w:tc>
        <w:tc>
          <w:tcPr>
            <w:tcW w:w="698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ended December 31,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92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of Series A Warrant (incorporated by reference to the Registrant’s Current Report on Form 8-K filed on October 25, 2022)</w:t>
              </w:r>
            </w:hyperlink>
          </w:p>
        </w:tc>
        <w:tc>
          <w:tcPr>
            <w:tcW w:w="88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240" w:type="dxa"/>
            <w:vAlign w:val="bottom"/>
            <w:tcBorders>
              <w:top w:val="single" w:sz="8" w:color="0000EE"/>
            </w:tcBorders>
            <w:gridSpan w:val="3"/>
          </w:tcPr>
          <w:p>
            <w:pPr>
              <w:spacing w:after="0"/>
              <w:rPr>
                <w:sz w:val="17"/>
                <w:szCs w:val="17"/>
                <w:color w:val="auto"/>
              </w:rPr>
            </w:pPr>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9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90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101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Series C Warrant (incorporated by reference to the Registrant’s Current Report on Form 8-K filed on June 6, 2023)</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0" w:type="dxa"/>
            <w:vAlign w:val="bottom"/>
            <w:gridSpan w:val="7"/>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91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Series D Warrant (incorporated by reference to the Registrant’s Current Report on Form 8-K filed on June 28, 2023)</w:t>
              </w:r>
            </w:hyperlink>
          </w:p>
        </w:tc>
        <w:tc>
          <w:tcPr>
            <w:tcW w:w="1000" w:type="dxa"/>
            <w:vAlign w:val="bottom"/>
            <w:gridSpan w:val="6"/>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300" w:type="dxa"/>
            <w:vAlign w:val="bottom"/>
            <w:gridSpan w:val="9"/>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9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90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Inducement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7">
              <w:r>
                <w:rPr>
                  <w:rFonts w:ascii="Times New Roman" w:cs="Times New Roman" w:eastAsia="Times New Roman" w:hAnsi="Times New Roman"/>
                  <w:sz w:val="18"/>
                  <w:szCs w:val="18"/>
                  <w:color w:val="0000EE"/>
                  <w:w w:val="95"/>
                </w:rPr>
                <w:t>2024)</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8">
              <w:r>
                <w:rPr>
                  <w:rFonts w:ascii="Times New Roman" w:cs="Times New Roman" w:eastAsia="Times New Roman" w:hAnsi="Times New Roman"/>
                  <w:sz w:val="18"/>
                  <w:szCs w:val="18"/>
                  <w:color w:val="0000EE"/>
                  <w:w w:val="95"/>
                </w:rPr>
                <w:t>2024)</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Series F Preferred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99">
              <w:r>
                <w:rPr>
                  <w:rFonts w:ascii="Times New Roman" w:cs="Times New Roman" w:eastAsia="Times New Roman" w:hAnsi="Times New Roman"/>
                  <w:sz w:val="18"/>
                  <w:szCs w:val="18"/>
                  <w:color w:val="0000EE"/>
                  <w:w w:val="95"/>
                </w:rPr>
                <w:t>2024)</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00">
              <w:r>
                <w:rPr>
                  <w:rFonts w:ascii="Times New Roman" w:cs="Times New Roman" w:eastAsia="Times New Roman" w:hAnsi="Times New Roman"/>
                  <w:sz w:val="18"/>
                  <w:szCs w:val="18"/>
                  <w:color w:val="0000EE"/>
                  <w:w w:val="95"/>
                </w:rPr>
                <w:t>2024)</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Series G Preferred Investment Option (incorporated by reference to the Registrant’s Current Report on Form 8-K filed on January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r:id="rId101">
              <w:r>
                <w:rPr>
                  <w:rFonts w:ascii="Times New Roman" w:cs="Times New Roman" w:eastAsia="Times New Roman" w:hAnsi="Times New Roman"/>
                  <w:sz w:val="18"/>
                  <w:szCs w:val="18"/>
                  <w:color w:val="0000EE"/>
                  <w:w w:val="96"/>
                </w:rPr>
                <w:t>7, 2025)</w:t>
              </w:r>
            </w:hyperlink>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7,</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02">
              <w:r>
                <w:rPr>
                  <w:rFonts w:ascii="Times New Roman" w:cs="Times New Roman" w:eastAsia="Times New Roman" w:hAnsi="Times New Roman"/>
                  <w:sz w:val="18"/>
                  <w:szCs w:val="18"/>
                  <w:color w:val="0000EE"/>
                  <w:w w:val="95"/>
                </w:rPr>
                <w:t>2025)</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Series H Preferred Investment Option (incorporated by reference to the Registrant’s Current Report on Form 8-K filed on January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10, 2025)</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9"/>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gridSpan w:val="4"/>
          </w:tcPr>
          <w:p>
            <w:pPr>
              <w:spacing w:after="0"/>
              <w:rPr>
                <w:sz w:val="24"/>
                <w:szCs w:val="24"/>
                <w:color w:val="auto"/>
              </w:rPr>
            </w:pPr>
          </w:p>
        </w:tc>
        <w:tc>
          <w:tcPr>
            <w:tcW w:w="42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4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5715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
        <w:spacing w:after="0"/>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105">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January</w:t>
        </w:r>
      </w:hyperlink>
    </w:p>
    <w:p>
      <w:pPr>
        <w:spacing w:after="0" w:line="23"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10, 2025)</w:t>
        </w:r>
      </w:hyperlink>
    </w:p>
    <w:p>
      <w:pPr>
        <w:spacing w:after="0" w:line="9" w:lineRule="exact"/>
        <w:rPr>
          <w:sz w:val="20"/>
          <w:szCs w:val="20"/>
          <w:color w:val="auto"/>
        </w:rPr>
      </w:pPr>
    </w:p>
    <w:p>
      <w:pPr>
        <w:ind w:left="160"/>
        <w:spacing w:after="0"/>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r:id="rId106">
        <w:r>
          <w:rPr>
            <w:rFonts w:ascii="Times New Roman" w:cs="Times New Roman" w:eastAsia="Times New Roman" w:hAnsi="Times New Roman"/>
            <w:sz w:val="18"/>
            <w:szCs w:val="18"/>
            <w:u w:val="single" w:color="auto"/>
            <w:color w:val="0000EE"/>
          </w:rPr>
          <w:t>Form of Series I Preferred Investment Option (incorporated by reference to the Registrant’s Current Report on Form 8-K filed on February</w:t>
        </w:r>
      </w:hyperlink>
    </w:p>
    <w:p>
      <w:pPr>
        <w:spacing w:after="0" w:line="9"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11, 2025)</w:t>
        </w:r>
      </w:hyperlink>
    </w:p>
    <w:p>
      <w:pPr>
        <w:spacing w:after="0" w:line="9" w:lineRule="exact"/>
        <w:rPr>
          <w:sz w:val="20"/>
          <w:szCs w:val="20"/>
          <w:color w:val="auto"/>
        </w:rPr>
      </w:pPr>
    </w:p>
    <w:p>
      <w:pPr>
        <w:ind w:left="160"/>
        <w:spacing w:after="0"/>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r:id="rId107">
        <w:r>
          <w:rPr>
            <w:rFonts w:ascii="Times New Roman" w:cs="Times New Roman" w:eastAsia="Times New Roman" w:hAnsi="Times New Roman"/>
            <w:sz w:val="18"/>
            <w:szCs w:val="18"/>
            <w:u w:val="single" w:color="auto"/>
            <w:color w:val="0000EE"/>
          </w:rPr>
          <w:t>Form of Placement Agent Investment Option (incorporated by reference to the Registrant’s Current Report on Form 8-K filed on February</w:t>
        </w:r>
      </w:hyperlink>
    </w:p>
    <w:p>
      <w:pPr>
        <w:spacing w:after="0" w:line="9"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11, 2025)</w:t>
        </w:r>
      </w:hyperlink>
    </w:p>
    <w:p>
      <w:pPr>
        <w:spacing w:after="0" w:line="9" w:lineRule="exact"/>
        <w:rPr>
          <w:sz w:val="20"/>
          <w:szCs w:val="20"/>
          <w:color w:val="auto"/>
        </w:rPr>
      </w:pPr>
    </w:p>
    <w:p>
      <w:pPr>
        <w:jc w:val="both"/>
        <w:ind w:left="940" w:right="20" w:hanging="777"/>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08">
        <w:r>
          <w:rPr>
            <w:rFonts w:ascii="Times New Roman" w:cs="Times New Roman" w:eastAsia="Times New Roman" w:hAnsi="Times New Roman"/>
            <w:sz w:val="18"/>
            <w:szCs w:val="18"/>
            <w:u w:val="single" w:color="auto"/>
            <w:color w:val="0000EE"/>
          </w:rPr>
          <w:t>Form of Indemnification Agreement, between the Company and each of its Directors and Officers (incorporated by reference to the</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Company’s Current Report on Form 8-K filed on November 29, 2016).</w:t>
        </w:r>
      </w:hyperlink>
    </w:p>
    <w:p>
      <w:pPr>
        <w:spacing w:after="0" w:line="1" w:lineRule="exact"/>
        <w:rPr>
          <w:sz w:val="20"/>
          <w:szCs w:val="20"/>
          <w:color w:val="auto"/>
        </w:rPr>
      </w:pPr>
    </w:p>
    <w:p>
      <w:pPr>
        <w:ind w:left="120"/>
        <w:spacing w:after="0"/>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09">
        <w:r>
          <w:rPr>
            <w:rFonts w:ascii="Times New Roman" w:cs="Times New Roman" w:eastAsia="Times New Roman" w:hAnsi="Times New Roman"/>
            <w:sz w:val="17"/>
            <w:szCs w:val="17"/>
            <w:u w:val="single" w:color="auto"/>
            <w:color w:val="0000EE"/>
          </w:rPr>
          <w:t>Employment Agreement with Harel Gadot (incorporated by reference to the Company’s Current Report on Form 8-K filed on November 29,</w:t>
        </w:r>
      </w:hyperlink>
    </w:p>
    <w:p>
      <w:pPr>
        <w:spacing w:after="0" w:line="9"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2016).</w:t>
        </w:r>
      </w:hyperlink>
    </w:p>
    <w:p>
      <w:pPr>
        <w:spacing w:after="0" w:line="9" w:lineRule="exact"/>
        <w:rPr>
          <w:sz w:val="20"/>
          <w:szCs w:val="20"/>
          <w:color w:val="auto"/>
        </w:rPr>
      </w:pPr>
    </w:p>
    <w:p>
      <w:pPr>
        <w:jc w:val="both"/>
        <w:ind w:left="940" w:hanging="777"/>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10">
        <w:r>
          <w:rPr>
            <w:rFonts w:ascii="Times New Roman" w:cs="Times New Roman" w:eastAsia="Times New Roman" w:hAnsi="Times New Roman"/>
            <w:sz w:val="18"/>
            <w:szCs w:val="18"/>
            <w:u w:val="single" w:color="auto"/>
            <w:color w:val="0000EE"/>
          </w:rPr>
          <w:t>License Agreement, dated June 20, 2012, by and between Technion Research and Development Foundation, and Microbot Medical Ltd.</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2016 and filed on March</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21, 2017).</w:t>
        </w:r>
      </w:hyperlink>
    </w:p>
    <w:p>
      <w:pPr>
        <w:spacing w:after="0" w:line="1" w:lineRule="exact"/>
        <w:rPr>
          <w:rFonts w:ascii="Times New Roman" w:cs="Times New Roman" w:eastAsia="Times New Roman" w:hAnsi="Times New Roman"/>
          <w:sz w:val="18"/>
          <w:szCs w:val="18"/>
          <w:u w:val="single" w:color="auto"/>
          <w:color w:val="0000EE"/>
        </w:rPr>
      </w:pPr>
    </w:p>
    <w:p>
      <w:pPr>
        <w:jc w:val="both"/>
        <w:ind w:left="940" w:hanging="823"/>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11">
        <w:r>
          <w:rPr>
            <w:rFonts w:ascii="Times New Roman" w:cs="Times New Roman" w:eastAsia="Times New Roman" w:hAnsi="Times New Roman"/>
            <w:sz w:val="18"/>
            <w:szCs w:val="18"/>
            <w:u w:val="single" w:color="auto"/>
            <w:color w:val="0000EE"/>
          </w:rPr>
          <w:t>Form of Stock Option Agreement under the Microbot Medical Inc. 2017 Equity Incentive Plan (incorporated by reference to the Company’s</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Quarterly Report on Form 10-Q for the Quarter ended September 30, 2017, filed on November 14, 2017).</w:t>
        </w:r>
      </w:hyperlink>
    </w:p>
    <w:p>
      <w:pPr>
        <w:spacing w:after="0" w:line="1" w:lineRule="exact"/>
        <w:rPr>
          <w:sz w:val="20"/>
          <w:szCs w:val="20"/>
          <w:color w:val="auto"/>
        </w:rPr>
      </w:pPr>
    </w:p>
    <w:p>
      <w:pPr>
        <w:jc w:val="both"/>
        <w:ind w:left="940" w:hanging="823"/>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12">
        <w:r>
          <w:rPr>
            <w:rFonts w:ascii="Times New Roman" w:cs="Times New Roman" w:eastAsia="Times New Roman" w:hAnsi="Times New Roman"/>
            <w:sz w:val="18"/>
            <w:szCs w:val="18"/>
            <w:u w:val="single" w:color="auto"/>
            <w:color w:val="0000EE"/>
          </w:rPr>
          <w:t>Microbot Medical Inc. 2017 Equity Incentive Plan (incorporated by reference to Exhibit A of the Company’s Definitive Proxy Statement on</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Schedule 14A filed on August 11, 2017).</w:t>
        </w:r>
      </w:hyperlink>
    </w:p>
    <w:p>
      <w:pPr>
        <w:spacing w:after="0" w:line="1" w:lineRule="exact"/>
        <w:rPr>
          <w:sz w:val="20"/>
          <w:szCs w:val="20"/>
          <w:color w:val="auto"/>
        </w:rPr>
      </w:pPr>
    </w:p>
    <w:p>
      <w:pPr>
        <w:jc w:val="both"/>
        <w:ind w:left="940" w:hanging="823"/>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13">
        <w:r>
          <w:rPr>
            <w:rFonts w:ascii="Times New Roman" w:cs="Times New Roman" w:eastAsia="Times New Roman" w:hAnsi="Times New Roman"/>
            <w:sz w:val="18"/>
            <w:szCs w:val="18"/>
            <w:u w:val="single" w:color="auto"/>
            <w:color w:val="0000EE"/>
          </w:rPr>
          <w:t>Microbot Medical Inc. 2020 Omnibus Performance Award Plan (incorporated by reference to Exhibit A of the Company’s definitive Proxy</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Statement on Schedule 14A filed on July 31, 2020)</w:t>
        </w:r>
      </w:hyperlink>
    </w:p>
    <w:p>
      <w:pPr>
        <w:spacing w:after="0" w:line="1" w:lineRule="exact"/>
        <w:rPr>
          <w:sz w:val="20"/>
          <w:szCs w:val="20"/>
          <w:color w:val="auto"/>
        </w:rPr>
      </w:pPr>
    </w:p>
    <w:p>
      <w:pPr>
        <w:jc w:val="both"/>
        <w:ind w:left="940" w:hanging="823"/>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14">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spacing w:after="0" w:line="1" w:lineRule="exact"/>
        <w:rPr>
          <w:sz w:val="20"/>
          <w:szCs w:val="20"/>
          <w:color w:val="auto"/>
        </w:rPr>
      </w:pPr>
    </w:p>
    <w:p>
      <w:pPr>
        <w:jc w:val="both"/>
        <w:ind w:left="940" w:right="20" w:hanging="823"/>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15">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jc w:val="both"/>
        <w:ind w:left="940" w:hanging="823"/>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16">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940" w:hanging="867"/>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17">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940" w:hanging="864"/>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18">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940" w:right="20" w:hanging="867"/>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19">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19">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940" w:hanging="867"/>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20">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ind w:left="120"/>
        <w:spacing w:after="0"/>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21">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60"/>
        <w:spacing w:after="0"/>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22">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r:id="rId122">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940" w:hanging="867"/>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23">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23">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940" w:right="20" w:hanging="823"/>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24">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ind w:left="940" w:hanging="867"/>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25">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940" w:hanging="867"/>
        <w:spacing w:after="0" w:line="25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26">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940" w:hanging="867"/>
        <w:spacing w:after="0" w:line="260" w:lineRule="auto"/>
        <w:tabs>
          <w:tab w:leader="none" w:pos="9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27">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May 22, 2023)</w:t>
        </w:r>
      </w:hyperlink>
    </w:p>
    <w:p>
      <w:pPr>
        <w:spacing w:after="0" w:line="1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68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2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4"/>
                <w:szCs w:val="14"/>
                <w:color w:val="auto"/>
              </w:rPr>
            </w:pPr>
          </w:p>
        </w:tc>
        <w:tc>
          <w:tcPr>
            <w:tcW w:w="10120" w:type="dxa"/>
            <w:vAlign w:val="bottom"/>
            <w:tcBorders>
              <w:top w:val="single" w:sz="8" w:color="auto"/>
              <w:bottom w:val="single" w:sz="8" w:color="0000EE"/>
            </w:tcBorders>
            <w:gridSpan w:val="19"/>
          </w:tcPr>
          <w:p>
            <w:pPr>
              <w:spacing w:after="0" w:line="169"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Employment Agreement with Juan Diaz-Cartelle, MD (incorporated by reference to the Registrant’s Current Report on Form 8-K filed on</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November 21,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140" w:type="dxa"/>
            <w:vAlign w:val="bottom"/>
          </w:tcPr>
          <w:p>
            <w:pPr>
              <w:spacing w:after="0"/>
              <w:rPr>
                <w:sz w:val="17"/>
                <w:szCs w:val="17"/>
                <w:color w:val="auto"/>
              </w:rPr>
            </w:pPr>
          </w:p>
        </w:tc>
        <w:tc>
          <w:tcPr>
            <w:tcW w:w="9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Form of Inducement Letter (incorporated by reference to the Registrant’s Current Report on Form 8-K filed on January 2, 2024)</w:t>
              </w:r>
            </w:hyperlink>
          </w:p>
        </w:tc>
        <w:tc>
          <w:tcPr>
            <w:tcW w:w="90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Registration Rights Agreement dated as of January 26, 2024 (incorporated by reference to the Registrant’s Current Report on Form 8-K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filed on January 30, 2024)</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Securities Purchase Agreement, dated as of January 6, 2025, by and among Microbot Medical Inc. and the purchasers party thereto</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(incorporated by reference to the Registrant’s Current Report on Form 8-K filed on January 7, 2025)</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Securities Purchase Agreement, dated as of January 7, 2025, by and among Microbot Medical Inc. and the purchasers party thereto</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(incorporated by reference to the Registrant’s Current Report on Form 8-K filed on January 10, 2025)</w:t>
              </w:r>
            </w:hyperlink>
          </w:p>
        </w:tc>
        <w:tc>
          <w:tcPr>
            <w:tcW w:w="27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Addendum #2 to Employment Agreement, dated as of February 5, 2025, with Simon Sharon (incorporated by reference to the Registrant’s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Current Report on Form 8-K filed on February 7, 2025)</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Addendum #2 to Employment Agreement, dated as of February 5, 2025, with Rachel Vaknin (incorporated by reference to the Registrant’s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Current Report on Form 8-K filed on February 7, 2025)</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Amendment to Employment Agreement, dated as of February 5, 2025, with Juan Diaz-Cartelle (incorporated by reference to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Registrant’s Current Report on Form 8-K filed on February 7, 2025)</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Securities Purchase Agreement, dated as of February 9, 2025, by and among the Company and the purchasers party thereto</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(incorporated by reference to the Registrant’s Current Report on Form 8-K filed on February 11, 2025)</w:t>
              </w:r>
            </w:hyperlink>
          </w:p>
        </w:tc>
        <w:tc>
          <w:tcPr>
            <w:tcW w:w="272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Code of Ethics and Conduct</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7"/>
                <w:szCs w:val="17"/>
                <w:color w:val="auto"/>
              </w:rPr>
            </w:pPr>
          </w:p>
        </w:tc>
        <w:tc>
          <w:tcPr>
            <w:tcW w:w="32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Blackout Period and Trading Window Policy</w:t>
            </w:r>
          </w:p>
        </w:tc>
        <w:tc>
          <w:tcPr>
            <w:tcW w:w="688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800" w:type="dxa"/>
            <w:vAlign w:val="bottom"/>
            <w:gridSpan w:val="7"/>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Subsidiaries of the Company (incorporated by reference to the Company’s Annual Report on Form 10-K for the fiscal year ended December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31, 2016 and filed on March 21, 2017).</w:t>
              </w:r>
            </w:hyperlink>
          </w:p>
        </w:tc>
        <w:tc>
          <w:tcPr>
            <w:tcW w:w="7280" w:type="dxa"/>
            <w:vAlign w:val="bottom"/>
            <w:gridSpan w:val="1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4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80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Securities Exchange Act Rule 13(a)-14(a), as Adopted Pursuant to Section 302 of the Sarbanes-Oxley Act of 2002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(Harel Gadot, Chief Executive Officer)</w:t>
            </w:r>
          </w:p>
        </w:tc>
        <w:tc>
          <w:tcPr>
            <w:tcW w:w="730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Securities Exchange Act Rule 13(a)-14(a), as Adopted Pursuant to Section 302 of the Sarbanes-Oxley Act of 2002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(Rachel Vaknin, Chief Financial Officer)</w:t>
            </w:r>
          </w:p>
        </w:tc>
        <w:tc>
          <w:tcPr>
            <w:tcW w:w="7180" w:type="dxa"/>
            <w:vAlign w:val="bottom"/>
            <w:gridSpan w:val="1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(Harel Gadot,</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Chief Executive Officer)</w:t>
            </w: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(Rachel Vaknin,</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Chief Financial Officer)</w:t>
            </w:r>
          </w:p>
        </w:tc>
        <w:tc>
          <w:tcPr>
            <w:tcW w:w="834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Clawback Policy (incorporated by reference to the Company’s Annual Report on Form 10-K for the fiscal year ended December 31, 2023</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and filed on March 27, 2024)</w:t>
              </w:r>
            </w:hyperlink>
          </w:p>
        </w:tc>
      </w:tr>
      <w:tr>
        <w:trPr>
          <w:trHeight w:val="20"/>
        </w:trPr>
        <w:tc>
          <w:tcPr>
            <w:tcW w:w="1120" w:type="dxa"/>
            <w:vAlign w:val="bottom"/>
            <w:gridSpan w:val="2"/>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r>
      <w:tr>
        <w:trPr>
          <w:trHeight w:val="218"/>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101.SCH</w:t>
            </w: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ind w:right="3600" w:firstLine="359"/>
        <w:spacing w:after="0" w:line="391" w:lineRule="auto"/>
        <w:tabs>
          <w:tab w:leader="none" w:pos="110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Indicates Management contract or compensatory plan or arrangement</w:t>
      </w:r>
    </w:p>
    <w:p>
      <w:pPr>
        <w:ind w:left="340" w:right="20" w:hanging="332"/>
        <w:spacing w:after="0" w:line="260"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1783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not to provide summary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25, 2025</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3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42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J. Wilson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Prattipati Laxminarain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Burell</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Madden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Aileen Stockburger</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Tal Wenderow</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10"/>
        </w:trPr>
        <w:tc>
          <w:tcPr>
            <w:tcW w:w="33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ind w:left="216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2024 and 2023</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2024 and 2023</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 – F-32</w:t>
            </w:r>
          </w:p>
        </w:tc>
      </w:tr>
      <w:tr>
        <w:trPr>
          <w:trHeight w:val="432"/>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5" w:name="page66"/>
    <w:bookmarkEnd w:id="65"/>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057400" cy="45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2024 and 2023, and the related consolidated statements of comprehensive loss, shareholders’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Evaluation of the Company’s Ability to Continue as a Going Concern – Refer to Notes 1 and 17 to the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Audit Matter Description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has incurred operating losses and negative cash flows from operations since inception. The Company’s operations are dependent on its ability to raise additional funds. This dependency will continue until the Company can completely finance its operations by generating revenue from its products.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cash, cash equivalents and marketable securities were insufficient to fund its planned operations for at least a year after the issuance date of these consolidated financial statements.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17, in January and February 2025, the Company raised approximately $30 million through various offerings. Accordingly, management has concluded that, based on capital raised after the balance sheet date, the Company will be able to satisfy its liquidity requirements for more than one year from the date these financial statements were issued.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Company raised significant funds after the balance sheet date, which changed management’s assessment regarding its ability to continue as a going concern, and also impacted our audit procedures, we identified this issue as a critical audit matter.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How the Critical Audit Matter Was Addressed in the Audit</w:t>
      </w:r>
    </w:p>
    <w:p>
      <w:pPr>
        <w:spacing w:after="0" w:line="225" w:lineRule="exact"/>
        <w:rPr>
          <w:sz w:val="20"/>
          <w:szCs w:val="20"/>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our subsequent events audit procedures to cover share purchase agreements signed after the balance sheet date with investors and test collection of funds received by the Company.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capital funds raised after the balance sheet date are sufficient to meet the company’s liabilities and maintain adequate liquidity for ongoing operations for more than one year from the date these financial statements were issued by:</w:t>
      </w:r>
    </w:p>
    <w:p>
      <w:pPr>
        <w:spacing w:after="0" w:line="161" w:lineRule="exact"/>
        <w:rPr>
          <w:rFonts w:ascii="Times New Roman" w:cs="Times New Roman" w:eastAsia="Times New Roman" w:hAnsi="Times New Roman"/>
          <w:sz w:val="18"/>
          <w:szCs w:val="18"/>
          <w:color w:val="auto"/>
        </w:rPr>
      </w:pPr>
    </w:p>
    <w:p>
      <w:pPr>
        <w:ind w:left="1300" w:hanging="320"/>
        <w:spacing w:after="0" w:line="264" w:lineRule="auto"/>
        <w:tabs>
          <w:tab w:leader="none" w:pos="1300" w:val="left"/>
        </w:tabs>
        <w:numPr>
          <w:ilvl w:val="1"/>
          <w:numId w:val="4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Inquiring with management to identify any events occurring after the balance sheet date that may impact our conclusion, as well as about upcoming activities and projections for one year following the issuance of these financial statements.</w:t>
      </w:r>
    </w:p>
    <w:p>
      <w:pPr>
        <w:spacing w:after="0" w:line="176" w:lineRule="exact"/>
        <w:rPr>
          <w:rFonts w:ascii="Courier New" w:cs="Courier New" w:eastAsia="Courier New" w:hAnsi="Courier New"/>
          <w:sz w:val="18"/>
          <w:szCs w:val="18"/>
          <w:color w:val="auto"/>
        </w:rPr>
      </w:pPr>
    </w:p>
    <w:p>
      <w:pPr>
        <w:jc w:val="both"/>
        <w:ind w:left="1300" w:hanging="320"/>
        <w:spacing w:after="0" w:line="256" w:lineRule="auto"/>
        <w:tabs>
          <w:tab w:leader="none" w:pos="1300" w:val="left"/>
        </w:tabs>
        <w:numPr>
          <w:ilvl w:val="1"/>
          <w:numId w:val="46"/>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Assessing whether the capital funds raised exceed the projected cash flows. This involved assessing the Company’s underlying assumptions used in the forecasted cash flows by comparing it to prior year actual financial results and assess whether the Company’s projections are consistent with our understanding of the Company’s expected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6">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3,114</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2,356</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receivable related to legal settlement and legal expenses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9G</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18"/>
                <w:szCs w:val="18"/>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6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3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6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6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63"/>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320" w:type="dxa"/>
            <w:vAlign w:val="bottom"/>
            <w:tcBorders>
              <w:bottom w:val="single" w:sz="8" w:color="CCEEFF"/>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9G</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2,225</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r>
      <w:tr>
        <w:trPr>
          <w:trHeight w:val="21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3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r>
      <w:tr>
        <w:trPr>
          <w:trHeight w:val="210"/>
        </w:trPr>
        <w:tc>
          <w:tcPr>
            <w:tcW w:w="6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3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 December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 and 2023; 19,399,513 and 11,707,317 shares issued and outstanding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December 31, 2024 and 2023, respectively.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62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94,279</w:t>
            </w:r>
          </w:p>
        </w:tc>
        <w:tc>
          <w:tcPr>
            <w:tcW w:w="6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(90,944)</w:t>
            </w:r>
          </w:p>
        </w:tc>
        <w:tc>
          <w:tcPr>
            <w:tcW w:w="6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10"/>
        </w:trPr>
        <w:tc>
          <w:tcPr>
            <w:tcW w:w="6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6,031</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00" w:type="dxa"/>
            <w:vAlign w:val="bottom"/>
            <w:shd w:val="clear" w:color="auto" w:fill="CCEEFF"/>
          </w:tcPr>
          <w:p>
            <w:pPr>
              <w:spacing w:after="0"/>
              <w:rPr>
                <w:sz w:val="18"/>
                <w:szCs w:val="18"/>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(4,995)</w:t>
            </w:r>
          </w:p>
        </w:tc>
        <w:tc>
          <w:tcPr>
            <w:tcW w:w="6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(4,131)</w:t>
            </w:r>
          </w:p>
        </w:tc>
      </w:tr>
      <w:tr>
        <w:trPr>
          <w:trHeight w:val="209"/>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182</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9G</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6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(0.73)</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7"/>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15,644,511</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10,199,984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4180" w:type="dxa"/>
            <w:vAlign w:val="bottom"/>
          </w:tcPr>
          <w:p>
            <w:pPr>
              <w:spacing w:after="0"/>
              <w:rPr>
                <w:sz w:val="21"/>
                <w:szCs w:val="21"/>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4180" w:type="dxa"/>
            <w:vAlign w:val="bottom"/>
          </w:tcPr>
          <w:p>
            <w:pPr>
              <w:spacing w:after="0"/>
              <w:rPr>
                <w:sz w:val="19"/>
                <w:szCs w:val="19"/>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20"/>
                <w:szCs w:val="20"/>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18"/>
                <w:szCs w:val="18"/>
                <w:color w:val="auto"/>
              </w:rPr>
            </w:pP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(10,740)</w:t>
            </w:r>
          </w:p>
        </w:tc>
      </w:tr>
      <w:tr>
        <w:trPr>
          <w:trHeight w:val="26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51"/>
        </w:trPr>
        <w:tc>
          <w:tcPr>
            <w:tcW w:w="41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Issuance of common stock and warrants net of</w:t>
            </w: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3,252,351</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4,386</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4,419</w:t>
            </w:r>
          </w:p>
        </w:tc>
        <w:tc>
          <w:tcPr>
            <w:tcW w:w="80" w:type="dxa"/>
            <w:vAlign w:val="bottom"/>
            <w:shd w:val="clear" w:color="auto" w:fill="CCEEFF"/>
          </w:tcPr>
          <w:p>
            <w:pPr>
              <w:spacing w:after="0"/>
              <w:rPr>
                <w:sz w:val="20"/>
                <w:szCs w:val="20"/>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198"/>
        </w:trPr>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at-the-market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program, net of issuance costs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3,433,880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3,517</w:t>
            </w:r>
          </w:p>
        </w:tc>
        <w:tc>
          <w:tcPr>
            <w:tcW w:w="80" w:type="dxa"/>
            <w:vAlign w:val="bottom"/>
            <w:shd w:val="clear" w:color="auto" w:fill="CCEEFF"/>
          </w:tcPr>
          <w:p>
            <w:pPr>
              <w:spacing w:after="0"/>
              <w:rPr>
                <w:sz w:val="20"/>
                <w:szCs w:val="20"/>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1,425</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18"/>
                <w:szCs w:val="18"/>
                <w:color w:val="auto"/>
              </w:rPr>
            </w:pP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(11,443)</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(11,443)</w:t>
            </w: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19,399,513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94,279</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$1,075.</w:t>
      </w:r>
    </w:p>
    <w:p>
      <w:pPr>
        <w:spacing w:after="0" w:line="27"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$661.</w:t>
      </w:r>
    </w:p>
    <w:p>
      <w:pPr>
        <w:spacing w:after="0" w:line="9"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9G.</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Net of issuance costs in the amount of $239.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6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(11,443)</w:t>
            </w:r>
          </w:p>
        </w:tc>
        <w:tc>
          <w:tcPr>
            <w:tcW w:w="88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(10,740)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(10,060)</w:t>
            </w: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4,182</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7,936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22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2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600" w:type="dxa"/>
            <w:vAlign w:val="bottom"/>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171</w:t>
            </w:r>
          </w:p>
        </w:tc>
        <w:tc>
          <w:tcPr>
            <w:tcW w:w="880" w:type="dxa"/>
            <w:vAlign w:val="bottom"/>
            <w:gridSpan w:val="2"/>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0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clinical-stage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2024, the Company had cash equivalents and marketable securities balance of approximately $5,470, excluding restricted cash. Due to continuing research and development activities, the Company expects to continue to incur additional losses for the foreseeable future. Notwithstanding these conditions, the Company’s management has concluded that the available funds as of the balance sheet date, combined with the capital raises completed subsequent to the balance sheet date, as described in Notes 17A and 17B, are sufficient to fund the Company’s operations for more than twelve months from issuance date of these financial statements.</w:t>
      </w:r>
    </w:p>
    <w:p>
      <w:pPr>
        <w:spacing w:after="0" w:line="18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issuance date of these financial statements, although there have been temporary cease fires from time to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operations and related matters, including:</w:t>
      </w:r>
    </w:p>
    <w:p>
      <w:pPr>
        <w:spacing w:after="0" w:line="225" w:lineRule="exact"/>
        <w:rPr>
          <w:sz w:val="20"/>
          <w:szCs w:val="20"/>
          <w:color w:val="auto"/>
        </w:rPr>
      </w:pPr>
    </w:p>
    <w:p>
      <w:pPr>
        <w:ind w:left="1620" w:hanging="316"/>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issuance date of these financial statements, the Company has determined that there have not been any materially adverse effects on our business or operations, but the Company continues to monitor the situation, as any collapse of the cease-fire with Hamas or Hezbollah or any future escalation or change could result in a material adverse effect on the ability of our Israeli office to support the Company’s clinical and regulatory activities. The Company do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Restricted cash:</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Restricted cash of $49 as of December 31, 2024, and 2023 serves as collateral for the Company’s lease 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1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r>
      <w:tr>
        <w:trPr>
          <w:trHeight w:val="210"/>
        </w:trPr>
        <w:tc>
          <w:tcPr>
            <w:tcW w:w="78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25-33</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2024, and 2023,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as detailed in Notes 2P and 10F, have been excluded from the calculation of the diluted loss per share for the years ended December 31, 2024 and December 31, 2023,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Research and development expenses, net:</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2U below. Reimbursement of expenses for research and development projects is recognized as the costs are incurred and is netted against research and development expenses in the statement of comprehensive loss. Research and development reimbursements of $83, and $0 were offset against research and development costs in the years ended December 31, 2024 and 2023, respectively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2024 and 2023, were offset by insurance loss recoveries in the amounts of approximately $0 and $281,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condition, the cost of the award is expensed on the grant date.</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For stock options that qualify as “plain-vanilla,” the expected term is calculated using the simplified method. For stock options that do not qualify as “plain-vanilla”, the Company’s management estimated that the expected stock option term is the contractual term of the options.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2024, and 2023,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9G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9G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2024 and 2023, include participation in research and development expenses in the amount of approximately $149 and $279,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 Segment Reporting</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a single operating and reportable segment, which is the development of robotic devices for endoluminal surgery. See Note 1A for further details. The Company’s chief operating decision maker (the “CODM”), the Chief Executive Officer (“CEO”), reviews financial information presented on a consolidated basis for purposes of making operating decisions, assessing performance, and allocating resources. For further details, refer to Note 14.</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Adopted accounting pronouncements: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to improve reportable segment disclosure requirements through enhanced disclosures about significant segment expenses on an interim and annual basis. All disclosure requirements of ASU 2023-07 are required also for entities with a single reportable segment. ASU 2023-07 is effective starting January 1, 2024 and should be applied on a retrospective basis to all periods presented. The adoption of this ASU did not have a material impact on the Company’s financial statements.</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X. Accounting pronouncements not yet effective:</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220- 40): Disaggregation of Income Statement Expenses” (“ASU 2024-03”), which requires the disaggregation of certain expenses in the financial statements notes, to provide enhanced transparency into the expense captions presented on the face of the consolidated statement of operations. ASU 2024-03 is effective for annual reporting periods beginning January 1, 2027 and interim periods beginning January 1, 2028 and may be applied either prospectively or retrospectively. The Company is currently evaluating the impact that ASU 2024-03 will have on its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2024 and 2023:</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3,114</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60" w:type="dxa"/>
            <w:vAlign w:val="bottom"/>
          </w:tcPr>
          <w:p>
            <w:pPr>
              <w:spacing w:after="0"/>
              <w:rPr>
                <w:sz w:val="19"/>
                <w:szCs w:val="19"/>
                <w:color w:val="auto"/>
              </w:rPr>
            </w:pP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2,356</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w:t>
            </w:r>
          </w:p>
        </w:tc>
        <w:tc>
          <w:tcPr>
            <w:tcW w:w="60" w:type="dxa"/>
            <w:vAlign w:val="bottom"/>
          </w:tcPr>
          <w:p>
            <w:pPr>
              <w:spacing w:after="0"/>
              <w:rPr>
                <w:sz w:val="18"/>
                <w:szCs w:val="18"/>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2,497</w:t>
            </w:r>
          </w:p>
        </w:tc>
        <w:tc>
          <w:tcPr>
            <w:tcW w:w="60" w:type="dxa"/>
            <w:vAlign w:val="bottom"/>
            <w:shd w:val="clear" w:color="auto" w:fill="CCEEFF"/>
          </w:tcPr>
          <w:p>
            <w:pPr>
              <w:spacing w:after="0"/>
              <w:rPr>
                <w:sz w:val="19"/>
                <w:szCs w:val="19"/>
                <w:color w:val="auto"/>
              </w:rPr>
            </w:pPr>
          </w:p>
        </w:tc>
      </w:tr>
      <w:tr>
        <w:trPr>
          <w:trHeight w:val="263"/>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8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197"/>
        </w:trPr>
        <w:tc>
          <w:tcPr>
            <w:tcW w:w="6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5,470</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6,385</w:t>
            </w:r>
          </w:p>
        </w:tc>
        <w:tc>
          <w:tcPr>
            <w:tcW w:w="60" w:type="dxa"/>
            <w:vAlign w:val="bottom"/>
          </w:tcPr>
          <w:p>
            <w:pPr>
              <w:spacing w:after="0"/>
              <w:rPr>
                <w:sz w:val="21"/>
                <w:szCs w:val="21"/>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$0 and $59 for the years ended December 31, 2024 and 2023, respectively.</w:t>
      </w:r>
    </w:p>
    <w:p>
      <w:pPr>
        <w:sectPr>
          <w:pgSz w:w="11900" w:h="16838" w:orient="portrait"/>
          <w:cols w:equalWidth="0" w:num="1">
            <w:col w:w="11240"/>
          </w:cols>
          <w:pgMar w:left="320" w:top="684" w:right="339"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24765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159"/>
          </w:cols>
          <w:pgMar w:left="1300" w:top="121"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2024 and 2023:</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2,356</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19"/>
                <w:szCs w:val="19"/>
                <w:color w:val="auto"/>
              </w:rPr>
            </w:pPr>
          </w:p>
        </w:tc>
      </w:tr>
      <w:tr>
        <w:trPr>
          <w:trHeight w:val="209"/>
        </w:trPr>
        <w:tc>
          <w:tcPr>
            <w:tcW w:w="38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2,497</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2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1,420</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1,420</w:t>
            </w:r>
          </w:p>
        </w:tc>
        <w:tc>
          <w:tcPr>
            <w:tcW w:w="10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23"/>
        </w:trPr>
        <w:tc>
          <w:tcPr>
            <w:tcW w:w="38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9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34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w:t>
            </w:r>
          </w:p>
        </w:tc>
        <w:tc>
          <w:tcPr>
            <w:tcW w:w="6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9"/>
                <w:szCs w:val="19"/>
                <w:color w:val="auto"/>
              </w:rPr>
            </w:pPr>
          </w:p>
        </w:tc>
      </w:tr>
      <w:tr>
        <w:trPr>
          <w:trHeight w:val="223"/>
        </w:trPr>
        <w:tc>
          <w:tcPr>
            <w:tcW w:w="980" w:type="dxa"/>
            <w:vAlign w:val="bottom"/>
          </w:tcPr>
          <w:p>
            <w:pPr>
              <w:spacing w:after="0"/>
              <w:rPr>
                <w:sz w:val="19"/>
                <w:szCs w:val="19"/>
                <w:color w:val="auto"/>
              </w:rPr>
            </w:pPr>
          </w:p>
        </w:tc>
        <w:tc>
          <w:tcPr>
            <w:tcW w:w="380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2370"/>
              <w:spacing w:after="0"/>
              <w:rPr>
                <w:sz w:val="20"/>
                <w:szCs w:val="20"/>
                <w:color w:val="auto"/>
              </w:rPr>
            </w:pPr>
            <w:r>
              <w:rPr>
                <w:rFonts w:ascii="Times New Roman" w:cs="Times New Roman" w:eastAsia="Times New Roman" w:hAnsi="Times New Roman"/>
                <w:sz w:val="18"/>
                <w:szCs w:val="18"/>
                <w:color w:val="auto"/>
              </w:rPr>
              <w:t>F-15</w:t>
            </w: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The monthly lease payments are approximately $16. To secure the lease payments the Company had issued a bank guarantee of $49 in favor of the facility’s lessor.</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November 2024, the Company extended the lease for one year until October 2025. Additionally, the Company entered into agreements for car leases.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2024 and 2023:</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00" w:type="dxa"/>
            <w:vAlign w:val="bottom"/>
          </w:tcPr>
          <w:p>
            <w:pPr>
              <w:spacing w:after="0"/>
              <w:rPr>
                <w:sz w:val="20"/>
                <w:szCs w:val="20"/>
                <w:color w:val="auto"/>
              </w:rPr>
            </w:pPr>
          </w:p>
        </w:tc>
        <w:tc>
          <w:tcPr>
            <w:tcW w:w="31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2"/>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6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6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23"/>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2024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8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38"/>
        </w:trPr>
        <w:tc>
          <w:tcPr>
            <w:tcW w:w="8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8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2024 and 2023:</w:t>
      </w:r>
    </w:p>
    <w:p>
      <w:pPr>
        <w:spacing w:after="0" w:line="235"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6.71%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2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Cost:</w:t>
            </w:r>
          </w:p>
        </w:tc>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193</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229</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242</w:t>
            </w:r>
          </w:p>
        </w:tc>
        <w:tc>
          <w:tcPr>
            <w:tcW w:w="6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6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236</w:t>
            </w:r>
          </w:p>
        </w:tc>
        <w:tc>
          <w:tcPr>
            <w:tcW w:w="6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66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bottom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9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1,409</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w:t>
            </w:r>
          </w:p>
        </w:tc>
        <w:tc>
          <w:tcPr>
            <w:tcW w:w="6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F-17</w:t>
            </w: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2024 totaling approximately $1,878. This includes amounts received of approximately $378, in 2023 and 2024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2024, the Company received approximately $50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79" w:lineRule="exact"/>
        <w:rPr>
          <w:sz w:val="20"/>
          <w:szCs w:val="20"/>
          <w:color w:val="auto"/>
        </w:rPr>
      </w:pPr>
    </w:p>
    <w:p>
      <w:pPr>
        <w:jc w:val="both"/>
        <w:ind w:left="980"/>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both"/>
        <w:ind w:left="980"/>
        <w:spacing w:after="0" w:line="257"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w:t>
      </w:r>
    </w:p>
    <w:p>
      <w:pPr>
        <w:spacing w:after="0" w:line="1"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Notes 10D and 17A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p>
    <w:p>
      <w:pPr>
        <w:spacing w:after="0" w:line="162"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current liability and a current asset on its consolidated balance sheet totaling $2,211 and $1,335, respectively. Within this asset, $1,100 represents the recovery of the cash payment of the settlement amount, and $235 represents recovery of legal expenses. A net non-operating loss of $1,111 from legal settlement was reflected in the Company’s consolidated statement of comprehensive loss for the year ended December 31, 2023. In the first quarter of 2024, the Company received $1,335 from the insurance company. Additionally, during the first quarter of 2024, the Company paid the settlement amount by transferring $1,100 in cash to the Plaintiffs and issuing 1,005,965 shares of the Company’s common stock, thereby settling the liability recorded as of December 31, 2023.</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w:t>
      </w:r>
    </w:p>
    <w:p>
      <w:pPr>
        <w:spacing w:after="0" w:line="183"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Mona subsequently filed an appellate brief seeking to overturn the lower court and the Company filed opposition papers. The Judgment was released to the Company in March 2025. Refer to Note 17D below.</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capital raising:</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February 2024, the Compensation Committee of the Board of Directors of the Company approved certain bonuses for the 2023 fiscal year contingent on capital raising efforts. These bonuses are detailed as follows:</w:t>
      </w:r>
    </w:p>
    <w:p>
      <w:pPr>
        <w:spacing w:after="0" w:line="162" w:lineRule="exact"/>
        <w:rPr>
          <w:sz w:val="20"/>
          <w:szCs w:val="20"/>
          <w:color w:val="auto"/>
        </w:rPr>
      </w:pPr>
    </w:p>
    <w:p>
      <w:pPr>
        <w:jc w:val="both"/>
        <w:ind w:left="1620" w:hanging="316"/>
        <w:spacing w:after="0" w:line="258"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CEO was granted a contingent cash bonus of up to approximately $298, which is divided into two contingent portions. The first 50% of the CEO’s contingent bonus ($149) is payable upon the Company raising at least $3,000 in new funds by June 30, 2024. As of June 30, 2024, the Company did not raise $3,000 in new funds. However, on July 17, 2024, the Compensation Committee of the Board of Directors of the Company nevertheless approved the payment of the first 50% of the contingent bonus to the Company’s CEO in the amount of approximately $149.</w:t>
      </w:r>
    </w:p>
    <w:p>
      <w:pPr>
        <w:spacing w:after="0" w:line="183"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50% ($149), payable upon the Company raising at least $6,000 in new funds by September 30, 2024 (cumulative, so if $3,000 is not raised by June 30, 2024 but the full $6,000 is raised by September 30, 2024, or if $10,000 is raised by December 31, 2024, the full amount is payable). The Company was unable to raise the additional capital. Therefore, as of December 31, 2024, the Company has not recorded a liability for any contingent bonus.</w:t>
      </w:r>
    </w:p>
    <w:p>
      <w:pPr>
        <w:sectPr>
          <w:pgSz w:w="11900" w:h="16838" w:orient="portrait"/>
          <w:cols w:equalWidth="0" w:num="1">
            <w:col w:w="11240"/>
          </w:cols>
          <w:pgMar w:left="320" w:top="684" w:right="339" w:bottom="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18"/>
          <w:szCs w:val="18"/>
          <w:color w:val="auto"/>
        </w:rPr>
        <w:t>Other executives are entitled to an aggregate contingent total bonus of NIS 230,736 (approximately $61), which is payable upon the Company raising at least $3,000 in new funds by September 30, 2024. During the third quarter of 2024, the Company achieved a cumulative capital raise of $3,000. Therefore, on July 17, 2024, the Compensation Committee of the Board of Directors of the Company approved the payment of such bonuses to the Company’s CFO and CTO in the aggregate amount of approximately $61.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Accrued bonuses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recorded accrued bonuses to the CEO, executives and certain employees in the amount of $398 and $294, respectively, related to fiscal year 2024 (refer also to Note 17C).</w:t>
      </w:r>
    </w:p>
    <w:p>
      <w:pPr>
        <w:spacing w:after="0" w:line="16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estimated the fair value of the Inducement Investment Options using a Black-Scholes options pricing model and concluded it is approximately $1,853. At the closing on January 3, 2024,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The Company estimated the fair value of the preferred investment options using a Black-Scholes options pricing model and concluded it is approximately $89.</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 The Company estimated the fair value of the preferred investment options using a Black-Scholes options pricing model and concluded it is approximately $1,893.</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 The Company estimated the fair value of the preferred investment options using a Black-Scholes options pricing model and concluded it is approximately $43.</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Equity Classification: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C, D, E and F preferred investment option, and all of the pre-funded warrants issued to investors. Based on the Company’s analysis all such warrants were classified as equity.</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At-the-market offerings: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July 1, 2024, the Company filed with the SEC a prospectus supplement relating to the offer, issuance and sale of up to $4,820 of the Company’s shares of common stock pursuant to the ATM Agreement. During the year 2024, the Company issued 3,433,880 shares of the Company’s common stock pursuant to the ATM Agreement, for total gross proceeds of approximately $3,756 before deducting sales agent commissions and other offering expenses of $239.</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Preferred investment options amendment:</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In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w:t>
      </w:r>
    </w:p>
    <w:p>
      <w:pPr>
        <w:sectPr>
          <w:pgSz w:w="11900" w:h="16900" w:orient="portrait"/>
          <w:cols w:equalWidth="0" w:num="1">
            <w:col w:w="11240"/>
          </w:cols>
          <w:pgMar w:left="320" w:top="684" w:right="339" w:bottom="0" w:gutter="0" w:footer="0" w:header="0"/>
        </w:sectPr>
      </w:pPr>
    </w:p>
    <w:bookmarkStart w:id="89" w:name="page90"/>
    <w:bookmarkEnd w:id="89"/>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including those that were modified in the years ended December 31, 2024 and 2023 were estimated using the Black-Scholes valuation model with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0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306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103.6%-111.4%</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101.3%-122.4%</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51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3.9%- 4.8%</w:t>
            </w:r>
          </w:p>
        </w:tc>
        <w:tc>
          <w:tcPr>
            <w:tcW w:w="5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3.9%- 4.9%</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1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5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2.0-5.5</w:t>
            </w:r>
          </w:p>
        </w:tc>
        <w:tc>
          <w:tcPr>
            <w:tcW w:w="5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tcPr>
          <w:p>
            <w:pPr>
              <w:spacing w:after="0"/>
              <w:rPr>
                <w:sz w:val="20"/>
                <w:szCs w:val="20"/>
                <w:color w:val="auto"/>
              </w:rPr>
            </w:pPr>
          </w:p>
        </w:tc>
      </w:tr>
      <w:tr>
        <w:trPr>
          <w:trHeight w:val="414"/>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4"/>
          </w:tcPr>
          <w:p>
            <w:pPr>
              <w:ind w:left="1420"/>
              <w:spacing w:after="0"/>
              <w:rPr>
                <w:sz w:val="20"/>
                <w:szCs w:val="20"/>
                <w:color w:val="auto"/>
              </w:rPr>
            </w:pPr>
            <w:r>
              <w:rPr>
                <w:rFonts w:ascii="Times New Roman" w:cs="Times New Roman" w:eastAsia="Times New Roman" w:hAnsi="Times New Roman"/>
                <w:sz w:val="18"/>
                <w:szCs w:val="18"/>
                <w:color w:val="auto"/>
              </w:rPr>
              <w:t>F-23</w:t>
            </w: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year ended December 31, 2024:</w:t>
      </w:r>
    </w:p>
    <w:p>
      <w:pPr>
        <w:spacing w:after="0" w:line="225" w:lineRule="exact"/>
        <w:rPr>
          <w:sz w:val="20"/>
          <w:szCs w:val="20"/>
          <w:color w:val="auto"/>
        </w:rPr>
      </w:pPr>
    </w:p>
    <w:p>
      <w:pPr>
        <w:ind w:left="1300" w:hanging="320"/>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the CEO, its executives and management, fully vested options to purchase an aggregate of 80,000 and 50,000 shares of the Company’s common stock, respectively, at an exercise price per share of $1.2684.</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the CEO and certain executives, options to purchase an aggregate of 80,000 and 52,500 shares of the Company’s common stock, respectively, at an exercise price per share of $1.25. The vesting of these options is subject to the achievement of specified performance conditions. For the year ended December 31, 2024, the Company recorded an expense of $38, reflecting management’s assessment that the specified performance milestones for 35,625 of the 132,500 options were achieved by their due date. Refer to Note 17C.</w:t>
      </w:r>
    </w:p>
    <w:p>
      <w:pPr>
        <w:spacing w:after="0" w:line="18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the CEO, its executives, and certain employees, options to purchase an aggregate of 80,000 and 115,000 shares of the Company’s common stock, respectively, at an exercise price per share of $1.2684, with a vesting period of three years.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granted an advisor options to purchase an aggregate of 25,000 shares of the Company’s common stock, at an exercise price per share of $0.881, with a vesting period of three years.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With respect to the CEO’s 2023 annual bonus, during February 2024, the Company paid 25% of the CEO’s total 2023 bonus – amounting to approximately $99, through the grant of fully vested options to purchase an aggregate of 79,567 shares of the Company’s common stock with an exercise price per share of $1.25.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78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78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000" w:type="dxa"/>
            <w:vAlign w:val="bottom"/>
            <w:tcBorders>
              <w:top w:val="single" w:sz="8" w:color="auto"/>
            </w:tcBorders>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4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562,067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(160,063)</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2,497,366</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2024</w:t>
            </w:r>
          </w:p>
        </w:tc>
        <w:tc>
          <w:tcPr>
            <w:tcW w:w="1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1,866,523</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780" w:type="dxa"/>
            <w:vAlign w:val="bottom"/>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78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000" w:type="dxa"/>
            <w:vAlign w:val="bottom"/>
            <w:tcBorders>
              <w:top w:val="single" w:sz="8" w:color="auto"/>
            </w:tcBorders>
            <w:gridSpan w:val="3"/>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4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711,308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2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(123,083)</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197"/>
        </w:trPr>
        <w:tc>
          <w:tcPr>
            <w:tcW w:w="98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2024 and 2023, respectively.</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aggregate intrinsic value of the outstanding options is $75 and $277, respectively, and the aggregate intrinsic value of the exercisable options is $69 and $102,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2024 and 2023 was $0.99 and $1.40,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approximately $921 of total unrecognized compensation costs related to unvested share-based compensation awards granted under the Share Incentive Plan. The costs are expected to be recognized over a weighted average period of 1.48 years.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stock options outstanding as of December 31, 2024 and 2023,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0.00-0.99</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2.3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1,299,562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860,808</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9.6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731,559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95,925</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577,482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639,232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15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6.3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539,642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484,871</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15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6.6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380,872</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152,873</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5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152,873</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2,497,366</w:t>
            </w:r>
          </w:p>
        </w:tc>
        <w:tc>
          <w:tcPr>
            <w:tcW w:w="3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1,866,523</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F-26</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2024 and 2023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66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200" w:type="dxa"/>
            <w:vAlign w:val="bottom"/>
          </w:tcPr>
          <w:p>
            <w:pPr>
              <w:spacing w:after="0"/>
              <w:rPr>
                <w:sz w:val="20"/>
                <w:szCs w:val="20"/>
                <w:color w:val="auto"/>
              </w:rPr>
            </w:pPr>
          </w:p>
        </w:tc>
        <w:tc>
          <w:tcPr>
            <w:tcW w:w="266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90.4%-100.7%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3.5%- 4.3%</w:t>
            </w: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3.3%- 4.7%</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5-10</w:t>
            </w:r>
          </w:p>
        </w:tc>
        <w:tc>
          <w:tcPr>
            <w:tcW w:w="6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2024 and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exercisable as of</w:t>
            </w: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8"/>
        </w:trPr>
        <w:tc>
          <w:tcPr>
            <w:tcW w:w="294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09"/>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1,022,495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w:t>
            </w:r>
          </w:p>
        </w:tc>
      </w:tr>
      <w:tr>
        <w:trPr>
          <w:trHeight w:val="198"/>
        </w:trPr>
        <w:tc>
          <w:tcPr>
            <w:tcW w:w="2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October</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51,125</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51,125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 2027</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32,778</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60,476</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60,476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35,088</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35,088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350,878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31,231</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31,231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312,309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series E January 2024</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1,685,682</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3, 2029</w:t>
            </w:r>
          </w:p>
        </w:tc>
      </w:tr>
      <w:tr>
        <w:trPr>
          <w:trHeight w:val="198"/>
        </w:trPr>
        <w:tc>
          <w:tcPr>
            <w:tcW w:w="2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 to underwriters January</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84,284</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3, 2029</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series F June 2024</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3,133,338</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 2026</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June 2024</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78,333</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2026</w:t>
            </w:r>
          </w:p>
        </w:tc>
      </w:tr>
    </w:tbl>
    <w:p>
      <w:pPr>
        <w:spacing w:after="0" w:line="206" w:lineRule="exact"/>
        <w:rPr>
          <w:sz w:val="20"/>
          <w:szCs w:val="20"/>
          <w:color w:val="auto"/>
        </w:rPr>
      </w:pPr>
    </w:p>
    <w:p>
      <w:pPr>
        <w:ind w:left="2040" w:hanging="622"/>
        <w:spacing w:after="0"/>
        <w:tabs>
          <w:tab w:leader="none" w:pos="2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during 2024. Refer to Note 10A.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2024 and 2023.</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2024 and 2023, potentially dilutive securities excluded from the diluted loss per share calculation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66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66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warrants October 2022</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1,022,495</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51,125</w:t>
            </w: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32,778</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32,778</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60,476</w:t>
            </w: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60,476</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35,088</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35,088</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350,878</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31,231</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31,231</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312,309</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series E January 2024</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1,685,682</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January 2024</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84,284</w:t>
            </w: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series F June 2024</w:t>
            </w: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3,133,338</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June 2024</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78,333</w:t>
            </w:r>
          </w:p>
        </w:tc>
        <w:tc>
          <w:tcPr>
            <w:tcW w:w="6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36"/>
        </w:trPr>
        <w:tc>
          <w:tcPr>
            <w:tcW w:w="98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2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2,497,366</w:t>
            </w:r>
          </w:p>
        </w:tc>
        <w:tc>
          <w:tcPr>
            <w:tcW w:w="6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2,095,362</w:t>
            </w:r>
          </w:p>
        </w:tc>
        <w:tc>
          <w:tcPr>
            <w:tcW w:w="280" w:type="dxa"/>
            <w:vAlign w:val="bottom"/>
          </w:tcPr>
          <w:p>
            <w:pPr>
              <w:spacing w:after="0"/>
              <w:rPr>
                <w:sz w:val="20"/>
                <w:szCs w:val="20"/>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ind w:left="4480"/>
              <w:spacing w:after="0"/>
              <w:rPr>
                <w:sz w:val="20"/>
                <w:szCs w:val="20"/>
                <w:color w:val="auto"/>
              </w:rPr>
            </w:pPr>
            <w:r>
              <w:rPr>
                <w:rFonts w:ascii="Times New Roman" w:cs="Times New Roman" w:eastAsia="Times New Roman" w:hAnsi="Times New Roman"/>
                <w:sz w:val="18"/>
                <w:szCs w:val="18"/>
                <w:color w:val="auto"/>
              </w:rPr>
              <w:t>F-28</w:t>
            </w:r>
          </w:p>
        </w:tc>
        <w:tc>
          <w:tcPr>
            <w:tcW w:w="1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8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subcontractors</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2,165</w:t>
            </w: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w:t>
            </w:r>
          </w:p>
        </w:tc>
        <w:tc>
          <w:tcPr>
            <w:tcW w:w="1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w:t>
            </w: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377</w:t>
            </w:r>
          </w:p>
        </w:tc>
        <w:tc>
          <w:tcPr>
            <w:tcW w:w="1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8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2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4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1,057</w:t>
            </w: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1,059</w:t>
            </w:r>
          </w:p>
        </w:tc>
        <w:tc>
          <w:tcPr>
            <w:tcW w:w="1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442</w:t>
            </w: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w:t>
            </w:r>
          </w:p>
        </w:tc>
        <w:tc>
          <w:tcPr>
            <w:tcW w:w="1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w:t>
            </w: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24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w:t>
            </w:r>
          </w:p>
        </w:tc>
        <w:tc>
          <w:tcPr>
            <w:tcW w:w="1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2"/>
          </w:tcPr>
          <w:p>
            <w:pPr>
              <w:jc w:val="right"/>
              <w:ind w:right="2350"/>
              <w:spacing w:after="0"/>
              <w:rPr>
                <w:sz w:val="20"/>
                <w:szCs w:val="20"/>
                <w:color w:val="auto"/>
              </w:rPr>
            </w:pPr>
            <w:r>
              <w:rPr>
                <w:rFonts w:ascii="Times New Roman" w:cs="Times New Roman" w:eastAsia="Times New Roman" w:hAnsi="Times New Roman"/>
                <w:sz w:val="18"/>
                <w:szCs w:val="18"/>
                <w:color w:val="auto"/>
              </w:rPr>
              <w:t>F-29</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REPORTING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Segment information is prepared on the same basis that the Company’s chief operating decision maker (“CODM”), the Chief Executive Officer, manages the business, makes business decisions and assesses performance. The Company has one operating and reportable segment, which is the development of robotic devices for endoluminal surgery. See Note 1A for further details.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CODM assesses performance for this segment and decides how to allocate resources based on net loss. The measure of segment assets is reported on the balance sheet as cash and cash equivalents and marketable securities. The chief executive officer performs the assessment of segment performance by using the reported measure of segment loss to monitor actual results.</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years ended December 31, 2024 and 2023:</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0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1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9"/>
        </w:trPr>
        <w:tc>
          <w:tcPr>
            <w:tcW w:w="6200" w:type="dxa"/>
            <w:vAlign w:val="bottom"/>
            <w:tcBorders>
              <w:top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Significant segment expenses</w:t>
            </w:r>
          </w:p>
        </w:tc>
        <w:tc>
          <w:tcPr>
            <w:tcW w:w="1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
        </w:trPr>
        <w:tc>
          <w:tcPr>
            <w:tcW w:w="2120" w:type="dxa"/>
            <w:vAlign w:val="bottom"/>
            <w:tcBorders>
              <w:top w:val="single" w:sz="8" w:color="auto"/>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Payroll and payroll related</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(5,376)</w:t>
            </w:r>
          </w:p>
        </w:tc>
        <w:tc>
          <w:tcPr>
            <w:tcW w:w="10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(3,678)</w:t>
            </w:r>
          </w:p>
        </w:tc>
      </w:tr>
      <w:tr>
        <w:trPr>
          <w:trHeight w:val="216"/>
        </w:trPr>
        <w:tc>
          <w:tcPr>
            <w:tcW w:w="6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Materials and subcontractors</w:t>
            </w:r>
          </w:p>
        </w:tc>
        <w:tc>
          <w:tcPr>
            <w:tcW w:w="1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(2,165)</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16"/>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(1,349)</w:t>
            </w:r>
          </w:p>
        </w:tc>
        <w:tc>
          <w:tcPr>
            <w:tcW w:w="10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16"/>
        </w:trPr>
        <w:tc>
          <w:tcPr>
            <w:tcW w:w="6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1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29"/>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segment items (*)</w:t>
            </w:r>
          </w:p>
        </w:tc>
        <w:tc>
          <w:tcPr>
            <w:tcW w:w="112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(2,553)</w:t>
            </w:r>
          </w:p>
        </w:tc>
        <w:tc>
          <w:tcPr>
            <w:tcW w:w="10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w:t>
            </w:r>
          </w:p>
        </w:tc>
      </w:tr>
      <w:tr>
        <w:trPr>
          <w:trHeight w:val="223"/>
        </w:trPr>
        <w:tc>
          <w:tcPr>
            <w:tcW w:w="6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260" w:right="280" w:hanging="209"/>
        <w:spacing w:after="0" w:line="266" w:lineRule="auto"/>
        <w:rPr>
          <w:sz w:val="20"/>
          <w:szCs w:val="20"/>
          <w:color w:val="auto"/>
        </w:rPr>
      </w:pPr>
      <w:r>
        <w:rPr>
          <w:rFonts w:ascii="Times New Roman" w:cs="Times New Roman" w:eastAsia="Times New Roman" w:hAnsi="Times New Roman"/>
          <w:sz w:val="18"/>
          <w:szCs w:val="18"/>
          <w:color w:val="auto"/>
        </w:rPr>
        <w:t>(*)Other segment expense items included within net loss include professional services, patents, overhead and depreciation, travel expenses, financial income, net and other miscellaneous expenses net of grants received. See the consolidated financial statements for other financial information regarding the Company’s operating segment.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Long-lived assets and operating lease right-of-use assets by geographical areas were as follows:</w:t>
      </w:r>
    </w:p>
    <w:p>
      <w:pPr>
        <w:spacing w:after="0" w:line="3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1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2024 and 2023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2024 and 2023.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Company has generated accumulated net operating losses in the U.S. of approximately $511,371 and $506,317, respectively. The Company has available carryforward net operating losses amounting to approximately $106,313 at the U.S. federal level. This consists of pre-2017 net operating losses subject to a 20-year limitation per Section 382, amounting to approximately $85,415, and post-2017 net operating losses which can be carried forward indefinitely, amounting to approximately $20,898.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2024 and 2023. Microbot Israel has not received a final tax assessment since 2018.</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Microbot Israel has generated accumulated net operating losses in Israel of approximately $47,553 and $41,164, respectively, which may be carried forward and offset against taxable income in the future for an indefinite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2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r>
      <w:tr>
        <w:trPr>
          <w:trHeight w:val="210"/>
        </w:trPr>
        <w:tc>
          <w:tcPr>
            <w:tcW w:w="6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118,309</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115,778</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10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accrual</w:t>
            </w:r>
          </w:p>
        </w:tc>
        <w:tc>
          <w:tcPr>
            <w:tcW w:w="10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 from IIA</w:t>
            </w:r>
          </w:p>
        </w:tc>
        <w:tc>
          <w:tcPr>
            <w:tcW w:w="10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118,404</w:t>
            </w: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116,371</w:t>
            </w: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(118,374)</w:t>
            </w:r>
          </w:p>
        </w:tc>
        <w:tc>
          <w:tcPr>
            <w:tcW w:w="6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(116,014)</w:t>
            </w:r>
          </w:p>
        </w:tc>
      </w:tr>
      <w:tr>
        <w:trPr>
          <w:trHeight w:val="209"/>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tcPr>
          <w:p>
            <w:pPr>
              <w:spacing w:after="0"/>
              <w:rPr>
                <w:sz w:val="18"/>
                <w:szCs w:val="18"/>
                <w:color w:val="auto"/>
              </w:rPr>
            </w:pPr>
          </w:p>
        </w:tc>
      </w:tr>
      <w:tr>
        <w:trPr>
          <w:trHeight w:val="209"/>
        </w:trPr>
        <w:tc>
          <w:tcPr>
            <w:tcW w:w="6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ind w:left="980"/>
        <w:spacing w:after="0"/>
        <w:rPr>
          <w:sz w:val="20"/>
          <w:szCs w:val="20"/>
          <w:color w:val="auto"/>
        </w:rPr>
      </w:pPr>
      <w:r>
        <w:rPr>
          <w:rFonts w:ascii="Times New Roman" w:cs="Times New Roman" w:eastAsia="Times New Roman" w:hAnsi="Times New Roman"/>
          <w:sz w:val="18"/>
          <w:szCs w:val="18"/>
          <w:color w:val="auto"/>
        </w:rPr>
        <w:t>Operating leases,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3436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6343650" cy="13716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7"/>
          <w:szCs w:val="17"/>
          <w:color w:val="auto"/>
        </w:rPr>
        <w:t>Grant receivable (Ministry of Economy)</w:t>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Insurance recovery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34365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6343650" cy="14605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100" w:type="dxa"/>
            <w:vAlign w:val="bottom"/>
          </w:tcPr>
          <w:p>
            <w:pPr>
              <w:jc w:val="right"/>
              <w:ind w:right="710"/>
              <w:spacing w:after="0" w:line="198" w:lineRule="exact"/>
              <w:rPr>
                <w:sz w:val="20"/>
                <w:szCs w:val="20"/>
                <w:color w:val="auto"/>
              </w:rPr>
            </w:pPr>
            <w:r>
              <w:rPr>
                <w:rFonts w:ascii="Times New Roman" w:cs="Times New Roman" w:eastAsia="Times New Roman" w:hAnsi="Times New Roman"/>
                <w:sz w:val="18"/>
                <w:szCs w:val="18"/>
                <w:color w:val="auto"/>
                <w:w w:val="93"/>
              </w:rPr>
              <w:t>(30)</w:t>
            </w: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(60)</w:t>
            </w:r>
          </w:p>
        </w:tc>
      </w:tr>
      <w:tr>
        <w:trPr>
          <w:trHeight w:val="216"/>
        </w:trPr>
        <w:tc>
          <w:tcPr>
            <w:tcW w:w="11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8"/>
        </w:trPr>
        <w:tc>
          <w:tcPr>
            <w:tcW w:w="11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 w:lineRule="exact"/>
        <w:rPr>
          <w:sz w:val="20"/>
          <w:szCs w:val="20"/>
          <w:color w:val="auto"/>
        </w:rPr>
      </w:pPr>
    </w:p>
    <w:p>
      <w:pPr>
        <w:sectPr>
          <w:pgSz w:w="11900" w:h="16838" w:orient="portrait"/>
          <w:cols w:equalWidth="0" w:num="2">
            <w:col w:w="7940" w:space="720"/>
            <w:col w:w="2580"/>
          </w:cols>
          <w:pgMar w:left="320" w:top="684" w:right="339" w:bottom="1440" w:gutter="0" w:footer="0" w:header="0"/>
          <w:type w:val="continuous"/>
        </w:sectPr>
      </w:pPr>
    </w:p>
    <w:tbl>
      <w:tblPr>
        <w:tblLayout w:type="fixed"/>
        <w:tblInd w:w="980" w:type="dxa"/>
        <w:tblCellMar>
          <w:top w:w="0" w:type="dxa"/>
          <w:left w:w="0" w:type="dxa"/>
          <w:bottom w:w="0" w:type="dxa"/>
          <w:right w:w="0" w:type="dxa"/>
        </w:tblCellMar>
      </w:tblP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5" w:lineRule="exact"/>
        <w:rPr>
          <w:sz w:val="20"/>
          <w:szCs w:val="20"/>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January and February 2025 Offerings: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6, 2025, the Company entered into Securities Purchase Agreements with investors, pursuant to which the Company agreed to issue and sell, in a registered direct offering priced at-the-market under the rules of the Nasdaq Stock Market, an aggregate of 4,000,001 shares of the Company’s common stock, par value $0.01 per share, at an offering price of $1.75 per share, for aggregate gross proceeds from the offerings of approximately $7,000 before deducting the placement agent fee and related offering expenses of approximately $636. In a concurrent private placement, the Company agreed to issue to the investors series G preferred investment options to purchase up to 8,000,002 shares of common stock at an exercise price of $1.75 per share. Each Series G preferred investment option is exercisable immediately and will expire two years from the initial exercise date.</w:t>
      </w:r>
    </w:p>
    <w:p>
      <w:pPr>
        <w:spacing w:after="0" w:line="188"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200,000 shares of common stock which have the same terms as investors’ preferred investment options except for an exercise price equal to $2.1875 per share.</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7, 2025, the Company entered into Securities Purchase Agreements with investors, pursuant to which the Company agreed to issue and sell, in a registered direct offering priced at-the-market under the rules of the Nasdaq Stock Market, an aggregate of 3,788,550 shares of the Company’s common stock, par value $0.01 per share, at an offering price of $2.27 per share, for aggregate gross proceeds from the offerings of approximately $8,600 before deducting the placement agent fee and related offering expenses of approximately $764. In a concurrent private placement, the Company agreed to issue to the investors series H preferred investment options to purchase up to 7,577,100 shares of common stock at an exercise price of $2.10 per share. Each Series H preferred investment option is exercisable immediately and will expire two years from the initial exercise date.</w:t>
      </w:r>
    </w:p>
    <w:p>
      <w:pPr>
        <w:spacing w:after="0" w:line="188"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189,428 shares of common stock which have the same terms as investors’ preferred investment options except for an exercise price equal to $2.8375 per share.</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9, 2025, the Company entered into Securities Purchase Agreements with investors, pursuant to which the Company agreed to issue and sell, in a registered direct offering priced at-the-market under the rules of the Nasdaq Stock Market, an aggregate of 6,103,289 shares of the Company’s common stock, par value $0.01 per share, at an offering price of $2.13 per share, for aggregate gross proceeds from the offerings of approximately $13,000 before deducting the placement agent fee and related offering expenses of approximately $1,116. In a concurrent private placement, the Company agreed to issue to the investors series I preferred investment options to purchase up to 12,206,578 shares of common stock at an exercise price of $2.13 per share. Each Series I preferred investment option is exercisable on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“Initial exercise date”), and will expire two years from the initial exercise date.</w:t>
      </w:r>
    </w:p>
    <w:p>
      <w:pPr>
        <w:spacing w:after="0" w:line="187"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305,164 shares of common stock which have the same terms as investors’ preferred investment options except for an exercise price equal to $2.6625 per share.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ATM Offering</w:t>
      </w:r>
    </w:p>
    <w:p>
      <w:pPr>
        <w:spacing w:after="0" w:line="229"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During January 2025, the Company issued 842,606 shares of the Company’s common stock pursuant to the ATM Agreement, for total gross proceeds of approximately $1,062.</w:t>
      </w:r>
    </w:p>
    <w:p>
      <w:pPr>
        <w:spacing w:after="0" w:line="158" w:lineRule="exact"/>
        <w:rPr>
          <w:sz w:val="20"/>
          <w:szCs w:val="20"/>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Investment Options:</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2025, the Company raised approximately $916 in gross proceeds from the exercise of 610,517 outstanding Series E preferred investment options.</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grants and other compensation:</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2025, the Company paid the CEO a total bonus amounting to approximately $548, out of which an approximate amount of $398 is related to fiscal year 2024, which was authorized and approved in January 2025.</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2025, the Company authorized and approved bonuses to executives and certain employees in the amount of approximately $294, related to fiscal year 2024, and approved salary increases for the CEO and other executives.</w:t>
      </w:r>
    </w:p>
    <w:p>
      <w:pPr>
        <w:spacing w:after="0" w:line="161"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and February 2025, the Company granted the CEO, executives and certain employees, and certain board members 228,000, 293,875 and 70,000 options, respectively. In addition, the Company determined that 35,625 out of 132,500 performance-based options granted in February 2024 had met their milestones and been vested, while the remainder 96,875 options which did not meet their milestones had been forfeited.</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Mona litigation:</w:t>
      </w:r>
    </w:p>
    <w:p>
      <w:pPr>
        <w:sectPr>
          <w:pgSz w:w="11900" w:h="16838" w:orient="portrait"/>
          <w:cols w:equalWidth="0" w:num="1">
            <w:col w:w="11240"/>
          </w:cols>
          <w:pgMar w:left="320" w:top="684" w:right="339" w:bottom="46" w:gutter="0" w:footer="0" w:header="0"/>
        </w:sectPr>
      </w:pPr>
    </w:p>
    <w:bookmarkStart w:id="99" w:name="page100"/>
    <w:bookmarkEnd w:id="99"/>
    <w:p>
      <w:pPr>
        <w:ind w:left="180"/>
        <w:spacing w:after="0" w:line="282" w:lineRule="auto"/>
        <w:rPr>
          <w:sz w:val="20"/>
          <w:szCs w:val="20"/>
          <w:color w:val="auto"/>
        </w:rPr>
      </w:pPr>
      <w:r>
        <w:rPr>
          <w:rFonts w:ascii="Times New Roman" w:cs="Times New Roman" w:eastAsia="Times New Roman" w:hAnsi="Times New Roman"/>
          <w:sz w:val="18"/>
          <w:szCs w:val="18"/>
          <w:color w:val="auto"/>
        </w:rPr>
        <w:t>In March 2025, the appellate court in the Mona litigation (see Note 9H above) held in favor of the Company and the Judgment was released to the Company. The Company received approximately $316 of the Judgment, net of legal fees and expenses.</w:t>
      </w:r>
    </w:p>
    <w:p>
      <w:pPr>
        <w:spacing w:after="0" w:line="16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Code of Ethics and Conduct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has always been the policy of Microbot Medical Inc. and its subsidiaries (collectively, “Microbot” or the “Company”) to conduct business in compliance with all applicable laws, rules and regulations and with integrity. This is our obligation to our shareholders, to our community, to those government agencies that regulate Microbot, to the patients who will eventually be treated by our products and to their physicians, and to ourselves. Because of SEC rules under the Sarbanes Oxley Act and NASDAQ requirements, we have restated our policy in this formal way, but our underlying commitment to honorable and lawful conduct has not changed.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Microbot employee, officer and director must comply with the policies set forth in this Code of Ethics and Conduct (the “Code”). All employees, officer and directors should review this Code or summary materials that may be issued in conjunction with the Code, and make sure that these policies guide their actions. If any employee, officer or director becomes aware of an issue of legal compliance which is not adequately addressed in this Code, the Compliance Officer should be notified. The text of Microbot’s Corporate Code of Ethics and Conduct can also be found through the Company’s website (www.microbotmedical.com).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Microbot takes compliance with laws, regulations, rules and the Code seriously. Any intentional violation will result in disciplinary action up to and including dismissal from employment. Disciplinary actions may also apply to an employee’s supervisor who directs or approves the employee’s improper actions or who is aware of those actions, but does not act appropriately to correct them or fails to exercise appropriate supervision. In addition to imposing its own discipline, Microbot may also bring violations of law or suspected violations of law to the attention of appropriate law enforcement personnel.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Code includes statements of Microbot’s policy in a number of specific areas. We need your help to comply with these policies. To that end, the Company’s General Manager has been named as the Code of Ethics and Conduct Compliance Officer, charged with reviewing the Company’s compliance policies and specific compliance situations that may arise.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question arises as to whether any action complies with Microbot policies or applicable law, an employee, officer or director should present that question directly to the Compliance Officer. Concerns about violations of any part of this Code may be made anonymously, by sending them to the Compliance Officer at the Company’s headquarters, at 5 HaMada St., Yokneam 2069204, Israel. Simply ask your question or give any information you may have. If you are reporting a possible violation, it is important to give the information you have in as much detail as possible, and as accurately as you can, neither overstating it nor omitting any relevant facts. In raising an issue, you may remain anonymous, although you are encouraged to identify yourself. Should you choose to identify yourself, your identity will be kept confidential to the extent feasible or permissible under the law. All employees, officers and directors of Microbot have the commitment of the Company and of the Audit Committee of its Board of Directors that they will be protected from retaliation for any report of possible misconduct made in good faith. Knowingly making a false accusation or providing false information to the Company, however, is improper, a violation of this Code, and an action that subjects the actor to discipline. Failure to report known or suspected wrongdoing of which any member of Microbot has knowledge may, by itself, subject that person to disciplinary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Code generally highlights some of the more important legal principles with which employees, officers and directors are expected to be familiar. The fact that this Code does not specifically reference other applicable laws (some of which may be covered in other Microbot policies), does not diminish their importance or application. There are, of course, other Microbot policies separate from this one; these are made available to, and must be adhered to by, employees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Compliance with the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seeks to comply with all applicable government laws, rules and regulations. We need the cooperation of all employees, officers and directors to do so and to bring lapses or violations to light. While some regulatory schemes may not carry criminal penalties, they control the licenses and certifications that allow the Company to conduct its business. Microbot’s continued ability to operate depends upon your help.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Some of the regulatory programs that affect the Company and with which employees may deal in the course of their duties include, but are not limited to, the following:</w:t>
      </w:r>
    </w:p>
    <w:p>
      <w:pPr>
        <w:spacing w:after="0" w:line="162"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wage &amp; hour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occupational safety and health regulation;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safety and fire codes;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concerning use of animals in research;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of hazardous materials and radiation;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covering biotechnology products and pharmaceuticals;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laws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 system;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programs.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Compliance Officer can provide employees with information on these rules, and can direct questions or concerns to the proper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3. Company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our stock is publicly traded, certain of the Company’s activities are subject to certain provisions of the federal securities laws. These laws govern the dissemination or use of information about the affairs of Microbot or its subsidiaries or affiliates, and other information which might be of interest to persons considering the purchase or sale of the stocks. Violations of the federal securities laws could subject you and the Company to stiff criminal and civil penalties. Accordingly, Microbot does not sanction and will not tolerate any conduct that risks a violation of these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Disclosure of Transactions in Microbot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and Exchange Commission (“SEC”) requires continuing disclosure of transactions in the Company’s publicly traded securities by the Company, its directors, executive officers, major shareholders and certain other affiliated persons. We are committed to complying with obligations related to this disclosure. Covered transactions are reported to the SEC and the reports are public; they may be viewed through the Microbot website, www.microbotmedical.com, by clicking on the “Investors” tab and then selecting “SEC Filings.”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Insider Trading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illegal for any person, either personally or on behalf of others, (i) to buy or sell securities while in possession of material nonpublic information, or (ii) to communicate (to “tip”) material nonpublic information to another person who trades in the securities on the basis of the information or who in turn passes the information on to someone who trades. All directors, officers, employees, and temporary insiders, such as accountants and lawyers, must comply with these “insider trading” restrictions.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information that an investor might consider important in deciding whether to buy, sell, or hold securities is considered “material.” Information that is likely to or may affect the price of securities is almost always material. Examples of some types of material information are:</w:t>
      </w:r>
    </w:p>
    <w:p>
      <w:pPr>
        <w:spacing w:after="0" w:line="162" w:lineRule="exact"/>
        <w:rPr>
          <w:sz w:val="20"/>
          <w:szCs w:val="20"/>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the results of our research and development, including clinical trial results, results from pre-clinical experiments and the status of regulatory approval or the regulatory process for any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results for the month, quarter or year;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forecasts, including proposed or approved budgets;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acquisitions, joint ventures and other purchases and sales of products, businesses, companies and investments in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or losing important contracts, such as critical licensing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personnel changes;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litigation developments.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information about Microbot or its business plans is potentially “insider” information until publicly disclosed or made available by Microbot. Thus, Microbot employees, officers or directors may not disclose it to others. This prohibition includes disclosure to relatives, friends, or business or social acquaintances. Information is considered to be nonpublic unless it has been effectively disclosed to the public (for example, by a press release). Further, the information must not only be publicly disclosed, but there must also be adequate time for the market as a whole to digest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color w:val="auto"/>
        </w:rPr>
        <w:t>When an employee, officer or director knows material nonpublic information about Microbot, he or she is prohibited from these activities:</w:t>
      </w:r>
    </w:p>
    <w:p>
      <w:pPr>
        <w:spacing w:after="0" w:line="225"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stocks for his or her own account or for the account of another (including any trust of which the employee, officer or director is a trustee, or any other entity that buys or sells securities, such as a mutual fund);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anyone else trade for the employee, officer or director;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the information to anyone else who then trades or in turn “tips” another person who trades.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Neither the employee nor anyone acting on the employee’s behalf, nor anyone who learns the information from the employee, may trade for as long as the information continues to be material and nonpublic.</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employee, officer or director is considering buying or selling the stocks and has a question as to whether the transaction might involve the improper use of material nonpublic information, that individual should obtain specific prior approval from the Compliance Officer. Consultation with the individual’s own attorney is also strongly encouraged.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related point, you should remember that outsiders may be listening or watching and may be able to pick up information they should not have. No discussion of Microbot’s material nonpublic information should take place in public areas — such as corridors, elevators and restaurants — and care should be taken in the handling and disposal of papers containing material nonpublic information. Any questions or concerns about disclosure of nonpublic information should be brought to the 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Confidential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may be entrusted with Microbot’s confidential business information. You are required to safeguard and use such information only for Company purposes. Confidential information includes all non-public information that might be of use to competitors or harmful to Microbot, if disclosed. You are expected to maintain the confidentiality of any and all such information entrusted to you by the Company or others with whom we have confidential relationships. Examples of confidential business information include, but are not limited to: the Company’s trade secrets, business plans, clinical trial results, results from pre-clinical experiments and the status of regulatory approval or the regulatory process for any of our product candidates, detailed income, cost and profit figures, new product plans, research and development ideas or information, manufacturing processes, and information about potential acquisitions, divestitures and investments. The Company often enters confidentiality agreements with third parties, such as individuals, universities and companies with which we are doing or considering doing business, and information acquired from those parties is likely to be confidential; in these cases, any employee, consultant or other agent of the Company with access to that information is required to maintain the confidentiality of the other party’s information. If you are not sure, you should check with your supervisor or with company counsel. Failure to observe these obligations of confidentiality may compromise our competitive advantage over competitors and may additionally result in a breach of contract or a violation of securities, antitrust or employment laws. You should not discuss confidential Company information outside the Company, even with your own family.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Consultants retained by Microbot sign appropriate confidentiality agreements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5. Special Ethical Obligations For Employees With Financial Reporting Responsibilities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are also committed to carrying out all continuing disclosure obligations in a full, fair, accurate, timely, and understandable manner. Depending on their position with Microbot, employees, officers or directors may be called upon to provide information to assure that the Company’s public reports are complete, fair and understandable. Microbot expects all of its personnel to take this responsibility very seriously and to provide prompt and accurate answers to inquiries related to the Company’s public disclosure requirements.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Finance Department bears a special responsibility for promoting integrity throughout the organization. The Chief Executive Officer and Finance Department personnel have a special role both to adhere to these principles themselves and also to ensure that a culture exists throughout the company as a whole that ensures the fair and timely reporting of Microbot’s financial results and condition.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of this special role, the Chief Executive Officer and the members of Microbot’s Finance Department are obligated to:</w:t>
      </w:r>
    </w:p>
    <w:p>
      <w:pPr>
        <w:spacing w:after="0" w:line="225"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with honesty and integrity, avoiding actual or apparent conflicts of interest in personal and professional relationships;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information that is accurate, complete, objective, relevant, timely and understandable to ensure full, fair, accurate, timely, and understandable disclosure in reports and documents that Microbot files with, or submits to, government agencies and in other public communications;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rules and regulations of federal, state, provincial and local governments, and other appropriate private and public regulatory agencies;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the confidentiality of information acquired in the course of work except when authorized or otherwise legally obligated to disclose (Confidential information acquired in the course of work is not to be used for personal advantage.);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and be an example of ethical behavior as a responsible partner among peers, in the work environment and the community;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responsible use of and control over Company assets.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Employees, officers and directors should promptly report to the Compliance Officer and/or the Chairman of the Audit Committee any conduct that the individual believes to be a violation of law or business ethics or of any provision of the Code, including any transaction or relationship that reasonably could be expected to give rise to such a conflict. Violations, including failures to report potential violations by others, will be viewed as a severe disciplinary matter that may result in personnel action, including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6. Continuing Disclosure Obligations and Accuracy of Business Records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support all our disclosure obligations, it is Microbot’s policy to record and report our factual information honestly and accurately.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do so is a grave offense and will subject an individual to severe discipline by the Company, as well as possible criminal and civil penalties.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count on Microbot to provide accurate information about our business and to make responsible business decisions based on reliable records. Every individual involved in creating, transmitting or entering information into Microbot’s financial and operational records is responsible for doing so fully, fairly, accurately, and timely, and with appropriate supporting documentation. No employee, officer or director may make any entry that intentionally hides or disguises the true nature of any transaction. For example, no individual may understate or overstate known liabilities and assets, record false revenues or revenues early, defer or accelerate the proper period for recording items that should be expensed, falsify quality or safety results, or process and submit false or inaccurate invoices.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Compliance with established accounting procedures, Microbot’s system of internal controls, and generally accepted accounting principles is necessary at all times. In order to achieve such compliance, the Company’s records, books and documents must accurately reflect the transactions and provide a full account of the Company’s assets, liabilities, revenues, and expenses. Knowingly entering inaccurate or fraudulent information into Microbot’s accounting system is unacceptable and may be illegal. Any individual who has knowledge that an entry or process is false and material is expected to consult the Compliance Officer. In addition, it is the responsibility of each employee, officer and director to cooperate with the Company’s authorized auditors.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billing others for the Company’s services, Microbot has an obligation to exercise diligence, care, and integrity. Microbot is committed to maintaining the accuracy of every invoice it processes and submits. Each employee who is involved in submitting charges, preparing claims, billing, and documenting services is expected to monitor compliance with applicable rules and maintain the highest standards of personal, professional, and institutional responsibility. By the same token, each employee who is involved with processing and documenting vendors’ or contractors’ claims for payment is similarly expected to maintain the highest standards of professionalism and ethics. Any false, inaccurate, or questionable practices relating to billing others or to processing claims made by others for payment should be reported immediately to a supervisor, the controller or the Compliance Officer.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Every individual should also be aware that almost all business records of the Company may become subject to public disclosure in the course of litigation or governmental investigation. Records are also often obtained by outside parties or the media. Employees should therefore attempt to be as clear, concise, truthful, and as accurate as possible when recording any information. They must refrain from making legal conclusions or commenting on legal positions taken by the Company or others. They must also avoid exaggeration, colorful language, and derogatory characterizations of people and their motives. Microbot will not tolerate any conduct that creates an inaccurate impression of the Company’s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7. Protection and Proper Use of Company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Employees, officers and directors should protect the Company’s assets and ensure their efficient use. Theft, carelessness and waste have a direct impact on the Company’s ability to conduct its research and development and, ultimately, on its profitability. All Company assets should be used for legitimate business purposes.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Computers, the Internet and E-mail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Everyone who works with the Company’s computer-based resources is responsible for complying with Microbot’s policy on use of technology and the internet, which appears in the Employee Handbook. Employees should take care to understand the risks and ensure that the security features of the computer-based resources are not compromised. Information created, transmitted or accessed on Company networks is Company property, and Microbot reserves the right to monitor or restrict access to it. Individual supervisors are responsible for ensuring that Company resources are used productively or to enhance employees’ skills and job performance.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Computer software used in connection with Microbot’s business must be properly licensed and used only in accordance with that license. Using unlicensed software could constitute copyright infringement. If an employee has any questions as to whether his or her use of computer software is licensed, he or she should consult with the IT Manager or the Compliance Officer.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same level of care should be taken when using Microbot’s e-mail, internet and voice mail systems as is used in written documents. For example, confidential information about Microbot should not be disclosed on electronic bulletin boards, in chat rooms or posted on an internet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Corporate Opportunities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Employees, officers and directors are prohibited from (a) taking for themselves personally opportunities that they discover through the use of Company property, information or position, (b) using Company property, information or position for personal gain, and (c) competing with the Company. Each employee, officer and director owes a duty to the Company to advance its legitimate interests when the opportunity to do so arises.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Dealing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Employees, officers and directors should endeavor to deal fairly with the Company’s suppliers, competitors and employees, and should not take unfair advantage of anyone through manipulation, concealment, abuse of privileged information, misrepresentation of material facts, or any other unfair-dealing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10. Conflicts of Interest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Microbot employees, officers and directors should avoid all potential conflicts of interest or situations that give the appearance of such conflict of interest. A conflict of interest occurs when the private interest of a Microbot employee (or an immediate family or household member or someone with whom you have an intimate relationship) interferes, in any way — or even appears to interfere — with the duties performed by the employee or with the interests of the Company as a whole. A conflict situation can arise when an employee, officer or director takes actions or has interests that may make it difficult to perform his or her work objectively and effectively. Conflicts of interest also arise when an employee, officer or director, or a member of his or her family, receives improper personal benefits as a result of his or her position in the Company. Loans to, or guarantees of obligations of, such persons are of special concern.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avoid conflicts of interest, Microbot employees, officers or directors may not be employed by, act as a consultant to, or have an independent business relationship with any of Microbot’s competitors or suppliers. Nor may employees, officers or directors invest in any customer, supplier, or competitor (other than through mutual funds or through holdings of less than one-half percent of the outstanding shares of publicly traded securities) unless they first obtain written permission from the Chief Executive Officer. Employees, officers or directors should not have other outside employment or business interests that place them in the position of (i) appearing to represent Microbot, (ii) providing goods or services substantially similar to those Microbot provides or is considering making available, or (iii) lessening their efficiency, productivity, or dedication to Microbot in performing their everyday duties. Employees, officers and directors may not have an interest in or speculate in anything of value which may be affected by Microbot’s business. Employees, officers or directors may not divulge or use Microbot’s confidential information — such as financial data, computer programs, technical methods, or scientific discoveries — for their own personal or business purposes.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personal or business activities by an employee, officer or director that may raise concerns about conflict, potential conflict or apparent conflict of interest must be disclosed to, and approved in advance by, the Compliance Officer. You should also obtain the approval of a supervising officer when accepting a board position with a not-for-profit entity, when there may be a Microbot business relationship with the entity or an expectation of financial or other support from Microbot.</w:t>
      </w:r>
    </w:p>
    <w:p>
      <w:pPr>
        <w:spacing w:after="0" w:line="176" w:lineRule="exact"/>
        <w:rPr>
          <w:sz w:val="20"/>
          <w:szCs w:val="20"/>
          <w:color w:val="auto"/>
        </w:rPr>
      </w:pPr>
    </w:p>
    <w:p>
      <w:pPr>
        <w:jc w:val="right"/>
        <w:ind w:left="660" w:right="8520" w:hanging="652"/>
        <w:spacing w:after="0" w:line="532" w:lineRule="auto"/>
        <w:tabs>
          <w:tab w:leader="none" w:pos="272"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Gifts, Meals and Entertainment a. Entertainment and Gifts</w:t>
      </w:r>
    </w:p>
    <w:p>
      <w:pPr>
        <w:spacing w:after="0" w:line="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Microbot recognizes that in some instances, gifts, favors and entertainment can provide an entirely appropriate means of furthering a business relationship. These are permitted only when all of the following conditions are met:</w:t>
      </w:r>
    </w:p>
    <w:p>
      <w:pPr>
        <w:spacing w:after="0" w:line="162"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 would not embarrass Microbot;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of limited value ($50.00 or less);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consistent with our business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employee, officer or director should accept or provide gifts of more than $50 in connection with their business dealings. The offer or receipt of any such gift over $50 should be reported immediately to the Compliance Officer. Normal business courtesies involving no more than ordinary amenities (such as lunch, dinner, a spectator event, or a golf game) are permitted, as are token non-cash gifts of nominal value. The guiding principle is that no gift, favor or entertainment should be accepted or provided if it will obligate, or appear to obligate, the recipient. If you are uncertain about the propriety of a gift, you should contact the Compliance Officer for guidance. Microbot employees may not offer, give, solicit, or receive any payment that could appear to be a bribe, kickback, payoff, or other irregular type of payment.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Relationships with Government Personnel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Separate and more stringent gift, meals and entertainment rules apply to dealings with government officials. Federal and state anti-kickback laws prohibit Microbot and its representatives from knowingly and willfully offering, paying, requesting, or receiving any money or other benefit, directly or indirectly, in return for obtaining or rewarding favorable treatment in connection with the award of a government contract. Any employee who becomes aware of any such conduct should immediately report it to the Compliance Officer. The anti-kickback laws must be considered whenever something of value is given or received by Microbot or its representatives or affiliates that is in any way connected to work performed for the government. There are many transactions that may violate the anti-kickback rules. As a result, no one acting on behalf of Microbot may offer or accept gifts, loans, rebates, services, or payment of any kind to or from government suppliers and vendors without first consulting the Compliance Officer.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 Business Dealings in Foreign Countries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Federal law prohibits U.S. companies, and those acting on their behalf, from bribing foreign officials to obtain or retain business. Foreign officials include officers and employees of a foreign government or of a foreign governmental department or agency. Indirect payments including those to agents or third parties with the knowledge that at least a portion of the payment will be given to a foreign official for an illegal purpose are prohibited. Microbot will not tolerate any conduct that violates this law.</w:t>
      </w:r>
    </w:p>
    <w:p>
      <w:pPr>
        <w:spacing w:after="0" w:line="176" w:lineRule="exact"/>
        <w:rPr>
          <w:sz w:val="20"/>
          <w:szCs w:val="20"/>
          <w:color w:val="auto"/>
        </w:rPr>
      </w:pPr>
    </w:p>
    <w:p>
      <w:pPr>
        <w:ind w:left="660" w:right="8280" w:hanging="652"/>
        <w:spacing w:after="0" w:line="532" w:lineRule="auto"/>
        <w:tabs>
          <w:tab w:leader="none" w:pos="282"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Interacting with the Government a. Relations with Government</w:t>
      </w:r>
    </w:p>
    <w:p>
      <w:pPr>
        <w:spacing w:after="0" w:line="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Microbot values its good relations with local, state, federal, and foreign governments. We are committed to being a “good corporate citizen” and are proud of the contributions we have made to help the communities where we do business. It is Microbot’s policy is to maintain good relations with local, state and federal governments and government agencies, to deal honestly and fairly with government representatives and agents, and to comply with valid and reasonable governmental requests and processes. It is a violation of the Company’s policy to provide false or misleading information to any government agent or representative, or to encourage anyone else to do so. It is a violation of the Company’s policy to destroy records relevant to a fact-finding process, or to direct or encourage anyone else to do so. As noted elsewhere, violations of this policy will give rise to disciplinary action up to and including termination of employment. See Section 19, below, for instructions on how to deal with government investigations or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13. Market Competition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Microbot is committed to complying with all state and federal antitrust laws. These laws cover matters like prohibitions on price-fixing, dividing markets or territories, and other unlawful agreements. Any questions that arise in this area should be addressed to the Compliance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Purchasing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Purchasing decisions must be made in accordance with applicable Microbot policy. In addition, the prohibitions discussed in Section 11 of this Code, entitled “Gifts, Meals and Entertainment” apply to purchasing decisions. Purchasing decisions must in all instances be made free from any conflicts of interest that could affect the outcome. Microbot is committed to a fair and objective procurement system which results in the acquisition of quality goods and services at a fair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Political Contributions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Microbot employees are free to participate in civic and political activities to the extent they wish to do so. The Company’s direct political activities are, however, limited by law. Corporations may not make any contributions — whether direct or indirect — to candidates for federal office. Thus, Microbot may not contribute any money or products, or lend the use of vehicles, equipment or facilities, to candidates for federal office. Nor may Microbot make contributions to political action committees that make contributions to candidates for federal office. Neither Microbot, nor supervisory personnel within Microbot, may require any employees to make any such contribution. Finally, Microbot cannot reimburse its employees for any money they contribute to political candidates or campaigns.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California law also limits the extent to which corporations and individuals may contribute to political candidates. Any question about the propriety of political activity or contribution should be directed to the Compliance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Exports and Imports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Microbot employees and agents should be aware that there are also many U.S. laws that govern the import of items into the United States. Among other things, these laws control what can be imported into the United States, how the articles should be marked and the amount of duty to be paid. Microbot complies with all U.S. import laws. If an employee or agent is uncertain about whether a transaction involving the importation of items into the United States complies with these laws, he or she must contact the Compliance Officer for guidance.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are also many U.S. laws and regulations governing international trade and commerce which serve to limit the export of certain products to certain countries. Microbot is committed to complying with those laws. Because these rules are complicated and change periodically, at such time as the Company has products, its employees and agents seeking to export a product will first confirm the legal trade status of that country and, if uncertain about whether a foreign sale complies with U.S. export laws, contact the Compliance Officer for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17. Media/Public Relations and Governmental Inquiries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Microbot provides information to the news media, securities analysts and stockholders, it has an obligation to do so accurately and completely. In order to ensure that Microbot complies with its obligations, employees receiving inquiries regarding Microbot’s activities, results, plans or position on public issues should refer the request to the Company’s President and Chief Executive Officer, unless he has designated another person to act as corporate spokesperson. Microbot employees may not speak publicly for the company unless specifically authorized by senior management.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unlikely event that a government representative seeks to interview an employee regarding Microbot’s business activities or an employee’s work at the Company, the employee should contact the Compliance Officer.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Occasionally, someone will arrive unexpectedly or a government representative may seek to inspect the Company’s facility. If this happens, an employee should immediately notify his or her manager or supervisor and contact the Compliance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Environmental Compliance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conducting its business, Microbot is committed to compliance with all applicable laws and regulations relating to the protection of the environment, and in particular those governing the incineration, treatment, storage, disposal, and discharge of waste. Failure to comply, even if unintentional, could result in significant penalties for Microbot. Accordingly, if an employee suspects noncompliance or violation of these laws and regulations, the circumstances should be reported immediately to the health safety officer or the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Response to Investigations or Government Inquiries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Numerous state and federal agencies have broad legal authority to investigate Microbot and review its records. Microbot will comply with subpoenas and respond to governmental investigations as required by law. The Compliance Officer is responsible for coordinating Microbot’s response to investigations and the release of any information.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 employee or officer receives an investigative demand, subpoena or search warrant involving Microbot, it should be brought immediately to the Compliance Officer. No documents should be released or copied without authorization from the Compliance Officer. If an investigator, agent or government auditor comes to a Microbot’s facility, contact the President and CEO or his designee immediately. In the absence of the Chief Executive Officer, contact Microbot’s Compliance Officer. Ask the investigator to wait until the contacted individual arrives before reviewing any documents or conducting any interviews. The Compliance Officer is responsible for assisting with any interviews. If Microbot employees are approached by government investigators and agents while they are away from Microbot’s premises and asked to discuss Company affairs, the employee has the right to insist on being interviewed during business hours with a supervisor or counsel present. Alternatively, any employee may choose to be interviewed or not to be interviewed at all. The Company recognizes the choice of how to proceed in these circumstances is left entirely the employees. If an employee chooses to speak with government personnel, it is essential that the employee be truthful. Questions may be directed to the Compliance Officer.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Microbot employees are not permitted to alter, remove or destroy documents or records of Microbot except in accordance with regular document retention and destruction practices. If a government investigation should be conducted, it is essential that no documents or records be destroyed or damaged during its course.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Amendments And Waivers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Code applies to all Microbot employees, officers and directors. There shall be no substantive amendment or waiver of any part of the Code affecting the directors, senior financial officers or executive officers, except by a vote of the Board of Directors, which will ascertain whether an amendment or waiver is appropriate and ensure that the amendment or waiver is accompanied by appropriate controls designed to protect Microbot.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any substantive amendment is made or any waiver of the type requiring disclosure is granted, the waiver will be posted on the Microbot’s website and/or filed with the SEC as appropriate, thereby allowing the Microbot shareholders to evaluate the merits of the particular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EMPLOYEE CERTIFICATION AND AGREEMENT OF COMPLIANCE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certify that I have read Microbot’s “Corporate Code of Ethics and Conduct” (the “Code”) and fully understand the obligations set forth in those documents.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Code includes a statement of Microbot’s policies, which are designed to ensure that the Company and its employees conduct Microbot’s business in compliance with all federal and state laws governing its operations and the conduct is consistent with the highest standards of business and professional ethics.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understand that the Code obligates all employees to carry out their duties for Microbot in accordance with these policies and with applicable laws. I further understand that any violation of these policies or applicable laws, or any deviation from appropriate ethical standards, will subject an employee to disciplinary action. Indeed, I understand that even a failure to report such a violation or deviation may, by itself, subject an employee to disciplinary 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also aware that in the event that I have any question about whether an action complies with Microbot’s policies or applicable law, I should present that question to my supervisor, the Compliance Coordinator at my facility, or, if appropriate, directly to the Company’s Compliance Officer or other members of the Compliance Committee. With these understandings of my obligations, I agree to act in accordance with the Microbot policies set forth in the Code. Having read the Code, I am not currently aware of any matter that should be brought to the attention of Compliance personnel as a violation or suspected violation of this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28460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BLACKOUT PERIOD AND TRADING WINDOW POLICY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Blackout Period and Trading Window Policy (this “Policy”) is designed to supplement and complement the Corporate Code of Ethics and Conduct, as it may be amended or replaced from time to time (the “Code”) of Microbot Medical Inc. (the “Company”), including but not limited to Section 3.b of the Code relating to the Company’s insider trading policy.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determined that all officers, directors and all other employees of, or consultants or contractors to, the Company or its subsidiaries, as well as their immediate families, and members of their households (“Insider(s)”), directly or indirectly, shall be prohibited from buying, selling or otherwise effecting transactions in any stock or other securities of the Company or derivative securities thereof EXCEPT beginning at the open of market after the second full trading day following the public release of the Company’s financial results for the preceding fiscal period, and ending at the close of market on the last full trading day prior to the start of the last fourteen (14) calendar days of the third month of the current quarter (the “Open Window”). The prohibition on trading in Company securities by Insiders at all times other than the Open Window is designed to prevent any inadvertent trading by such persons in the Company’s securities during times when there may be material financial information about the Company that has not been publicly disclosed.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even during the Open Window, any person possessing material nonpublic information should not engage in any transactions in the Company’s securities until the beginning of the trading day following the date of public disclosure of such material nonpublic information.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Company, through its general counsel, corporate secretary or compliance officer (or personnel holding substantially equivalent role(s); the “Compliance Officer”), may authorize longer or additional trading windows in which buying, selling or otherwise effecting transactions in the Company’s securities shall be permitted pursuant to this Policy as if it were the “Open Window.” Similarly, the Company, through the Compliance Officer, may impose special black-out periods during which certain persons will be prohibited from buying, selling or otherwise effecting transactions in any stock or other securities of the Company or derivative securities thereof, even though the trading window would otherwise be open. If a special black-out period is imposed, the Company will notify affected individuals, who should thereafter not engage in any transaction involving the purchase or sale of the Company’s securities and should not disclose to others the fact of such suspension of trading.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Insider shall advise the Compliance Officer in writing before he or she effects any transaction in the Company’s securities. The Compliance Officer shall advise such Insider whether the proposed transaction is permissible under this Policy and the Code by making the appropriate indication to such Insider.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permits all directors, officers and other employees to adopt trading plans in accordance with Securities and Exchange Commission Rule 10b5-1(c) (17 C.F.R. §240.10b5-1(c)) and otherwise pursuant to the Company’s procedure for adopting such a trading plan (a “10b5-1 trading plan”). The restrictions on trading set forth in this Policy shall not apply to trades made pursuant to a 10b5-1 trading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exercise of stock options under the Company’s equity incentive plan(s) with a cash payment of the exercise price is exempt from this Policy, since the other party to these transactions is the Company itself and the price does not vary with the market, but is fixed by the terms of the option agreement. This exemption does not apply to the sale of any shares issued upon such exercise and it does not apply to a cashless exercise of options, which is accomplished by a sale of a portion of the shares issued upon exercise of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Purpose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Insider Trading Policy (“Policy”) of Microbot Medical Inc. (together with its subsidiaries, the “Company”) sets forth the general standards for all employees, consultants, contractors, officers and directors with respect to engaging in transactions in Company securities and securities of other publicly traded companies with whom the Company has a business relationship. This Policy explains the prohibitions against “insider trading” based on federal securities laws and establishes Company policies and procedures to promote and monitor compliance with those laws.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Violations of insider trading laws can, and often do, result in federal and state criminal investigations, prosecutions, disgorgement of ill-gotten trading profits, fines and prison sentences. The Company and its officers and members of the Board could also face significant penalties for failing to take steps to prevent violations by Company personnel. Accordingly, your compliance with this Policy is of the utmost importance for both you and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describes the prohibition on insider trading applicable to all persons subject to the Policy, and also additional restrictions on individuals who have been informed in writing that they have been designated as “insiders” by the Securities Compliance Officer. Insiders include members of the Company Boards of Directors, their officers, as well as certain of their employees, consultants and contractors who are likely to be in possession of material nonpublic information due to the nature of their work. For purposes of this Policy, the “Securities Compliance Officer” shall be the general counsel, corporate secretary or compliance officer (or personnel holding substantially equivalent role(s).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Scope of this Policy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Persons Covered</w:t>
      </w:r>
      <w:r>
        <w:rPr>
          <w:rFonts w:ascii="Times New Roman" w:cs="Times New Roman" w:eastAsia="Times New Roman" w:hAnsi="Times New Roman"/>
          <w:sz w:val="18"/>
          <w:szCs w:val="18"/>
          <w:color w:val="auto"/>
        </w:rPr>
        <w:t>. As an employee, consultant, contractor, officer or director of the Company and any investor with observation or information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applies to you. The same restrictions that apply to you also apply to members of your immediate family, members of your households, and any family members who do not live in your household, but whose transactions in Company securities are directed by you or are subject to your influence or control, such as parents or children who consult with you before they trade in Company securities (those persons are referred to as “related persons”). This Policy also applies to entities that you influence or control, including limited liability companies, corporations, partnerships or trusts.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also the Company’s policy that the Company will not engage in market transactions in the Company’s securities while in possession or aware of material nonpublic information relating to the Company or its securities, other than pursuant to a trading plan that complies with SEC Rule 10b5-1.</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color w:val="auto"/>
        </w:rPr>
        <w:t>. Persons subject to this Policy have ethical and legal obligations to maintain the confidentiality of information about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to not engage in transactions in Company securities while in possession of material nonpublic information (see Section IV “What is ‘Material Nonpublic’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You are responsible for complying with this Policy and ensuring that any of your related persons or any entities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you control also comply with this Policy</w:t>
      </w:r>
      <w:r>
        <w:rPr>
          <w:rFonts w:ascii="Times New Roman" w:cs="Times New Roman" w:eastAsia="Times New Roman" w:hAnsi="Times New Roman"/>
          <w:sz w:val="18"/>
          <w:szCs w:val="18"/>
          <w:color w:val="auto"/>
        </w:rPr>
        <w:t>. In all cases, the responsibility for determining whether you possess material nonpublic information rests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While the Company provides policies, procedures and training on insider trading, no action on the part of the Company, or any employee, consultant, contractor, officer or director pursuant to this Policy, constitutes legal advice or insulates you from liability under applicable securities laws. You could be subject to severe legal penalties and disciplinary action by the Company for any conduct prohibited by this Policy or applicable securities laws (see Section IX “Consequences of Non-Compliance”).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Transactions Covered</w:t>
      </w:r>
      <w:r>
        <w:rPr>
          <w:rFonts w:ascii="Times New Roman" w:cs="Times New Roman" w:eastAsia="Times New Roman" w:hAnsi="Times New Roman"/>
          <w:sz w:val="18"/>
          <w:szCs w:val="18"/>
          <w:color w:val="auto"/>
        </w:rPr>
        <w:t>. Except as otherwise provided, this Policy applies to all transactions in Company securities, including common stock,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options for common stock and any other securities the Company may issue from time to time, including, but not limited to, preferred stock, warrants and convertible notes and debentures, as well as to derivative securities relating to Company stock, whether or not issued by the Company, such as exchange-traded options. This Policy also applies to transactions that occur after you cease to be an employee, consultant, contractor, officer or director of the Company for as long as you are in possession of material nonpublic information. The prohibition on insider trading in this Policy also includes trading in the securities of other firms, such as Company customers or suppliers and those with which the Company may be negotiating major transactions, such as an acquisition, investment or sale. Information that is not material to the Company may nevertheless be material to one of those other firms.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Statement of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person subject to this Policy who is in possession or aware of material nonpublic information may directly or indirectly: (a) engage in transactions in Company securities, except as otherwise specified in this Policy (see Section V “Transactions Excluded from this Policy”); (b) recommend the purchase or sale of any Company securities; (c) disclose material nonpublic information to persons (i) within the Company whose jobs do not require them to have that information, or (ii) outside of the Company, including family, friends, business associates and investors, unless any such disclosure is made in accordance with the Company’s disclosure and external communications policies; or (d) assist anyone engaged in the above activities.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no person subject to this Policy who, in the course of working for the Company learns of material nonpublic information about a company with which the Company does business, may trade in that company’s securities until the information becomes public or is no longer material. Such companies include current or prospective customers or suppliers of the Company, companies with which we may be negotiating a major transaction and companies that may be a party to potential corporate transactions, such as an acquisition, investment or sale.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Stock sales or purchases that may seem necessary or justifiable to you for independent reasons (such as the need to raise money for an emergency expenditure), or stock sales or purchases for a small amount,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exceptions to this Policy. The securities laws do not recognize any mitigating circumstances. Further, even the appearance of an improper transaction must be avoided to preserve the Company’s reputation for adhering to the highest standards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IV. What is “Material Nonpublic” Information?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“Material” information is information that a reasonable investor would consider important in deciding whether to purchase, sell or hold a security, or information that is likely to significantly alter the total mix of publicly available information about the Company. Any information that could reasonably be expected to affect the market price of a security is likely to be considered material. This determination is subjective and is made based on the facts and circumstances of each particular situation. Material information can be positive or negative and can relate to any aspect of the Company’s business or to any type of Company securities, whether debt, equity or a hybrid. Information that could be considered material to the Company includes, but is not limited to, information regarding: (a) company revenues, expenses or earnings, including anticipated results or projections; (b) significant changes in financial performance or liquidity and expectations for future periods; (c) plans to merge, acquire a company, be acquired or sell a business unit or to sell significant Company assets or subsidiaries; (d) stock splits, public or private securities/debt offerings or repurchases, or changes in Company dividend policies or amounts; (e) significant changes in Company strategy or management; (f) plans with respect to future Company developments; (g) information pertaining to actual or threatened major legal or regulatory proceedings, including the commencement and resolution of such legal or regulatory proceedings; (h) changes in law and any analysis of the impact of such matters on the Company’s business or business model; (i) significant accounting matters, including impairments or changes in asset values; (j) new finance sources, or the loss thereof, or extraordinary borrowings; (k) possible changes in the Company’s credit rating by a rating agency; (l) award or loss of a significant Company contract; (m) possible proxy fights; (n) bankruptcy, corporate restructuring or receivership; (o) cybersecurity risks and incidents, including vulnerabilities and breaches; (p) changes in auditors or auditor notification that the Company may no longer rely on an audit report; (q) discovery or development of products or product candidates; (r) material clinical trials or regulatory updates, and communications with government agencies and pending regulatory actions; (s) significant changes in the Company’s prospects; (t) notice of issuance of patents; and (u) new, or the loss or termination of, material partner or collaborator relationships.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list is not exclusive and many other types of information may be considered material, depending on the circumstances. The probability of whether an event will or will not occur affects the determination of whether it is material. The determination of whether information was material will be viewed in hindsight, so any questions concerning the materiality of particular information should be resolved in favor of materiality and trading should be avoided if such information is also non-public.</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“Nonpublic” information is information that is not available to the general public. In order for information to be considered public, it must be widely disseminated in a manner making it generally available to investors, including through the issuance of a press release, a public webcast with advance notice or a filing with the Securities and Exchange Commission (“SEC”). In addition, even after a public announcement of material information, a reasonable period of time must elapse in order for the market to react to the information. Generally, two full Trading Days after the public release of material information should elapse before trading. For purposes of this Policy, a “Trading Day” means a day on which The NASDAQ Stock Market, LLC, the national markets or any other exchange on which the Company’s securities are quoted and traded are open for trading, and a “Trading Day” begins at the time trading begins and ends at the time trading 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Transactions Excluded from this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does not apply to the following transactions, except as specifically noted:</w:t>
      </w:r>
    </w:p>
    <w:p>
      <w:pPr>
        <w:spacing w:after="0" w:line="22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b w:val="1"/>
          <w:bCs w:val="1"/>
          <w:u w:val="single" w:color="auto"/>
          <w:color w:val="auto"/>
        </w:rPr>
        <w:t>401(k) Plan</w:t>
      </w:r>
      <w:r>
        <w:rPr>
          <w:rFonts w:ascii="Times New Roman" w:cs="Times New Roman" w:eastAsia="Times New Roman" w:hAnsi="Times New Roman"/>
          <w:sz w:val="17"/>
          <w:szCs w:val="17"/>
          <w:color w:val="auto"/>
        </w:rPr>
        <w:t>. This Policy does not apply to acquisitions or dispositions of the Company’s common stock under the Company’s 401(k) or other individual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 plan that are made pursuant to standing instructions not entered into or modified while aware of material nonpublic information or were subject to a regular or special blackout period (provided, however, that this Policy does apply to sales of the Company’s securities purchased pursuant to such plan).</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Restricted Stock Unit/Restricted Stock Awards</w:t>
      </w:r>
      <w:r>
        <w:rPr>
          <w:rFonts w:ascii="Times New Roman" w:cs="Times New Roman" w:eastAsia="Times New Roman" w:hAnsi="Times New Roman"/>
          <w:sz w:val="18"/>
          <w:szCs w:val="18"/>
          <w:color w:val="auto"/>
        </w:rPr>
        <w:t>. This Policy does not apply to the vesting of restricted stock units or restricted stock, or the exercise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 tax withholding right pursuant to which you elect to have the Company withhold shares of stock to satisfy tax withholding obligations upon the vesting of any such award. </w:t>
      </w:r>
      <w:r>
        <w:rPr>
          <w:rFonts w:ascii="Times New Roman" w:cs="Times New Roman" w:eastAsia="Times New Roman" w:hAnsi="Times New Roman"/>
          <w:sz w:val="18"/>
          <w:szCs w:val="18"/>
          <w:b w:val="1"/>
          <w:bCs w:val="1"/>
          <w:i w:val="1"/>
          <w:iCs w:val="1"/>
          <w:color w:val="auto"/>
        </w:rPr>
        <w:t>However, this Policy does apply to any sale of common stock received by you as a result of the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Stock Option Exercises</w:t>
      </w:r>
      <w:r>
        <w:rPr>
          <w:rFonts w:ascii="Times New Roman" w:cs="Times New Roman" w:eastAsia="Times New Roman" w:hAnsi="Times New Roman"/>
          <w:sz w:val="18"/>
          <w:szCs w:val="18"/>
          <w:color w:val="auto"/>
        </w:rPr>
        <w:t>. This Policy does not apply to the exercise of an employee or director stock option or to an award recipient’s use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delivered or withheld from the exercise to cover the cost of the option exercise or the satisfaction of tax withholding obligations. </w:t>
      </w:r>
      <w:r>
        <w:rPr>
          <w:rFonts w:ascii="Times New Roman" w:cs="Times New Roman" w:eastAsia="Times New Roman" w:hAnsi="Times New Roman"/>
          <w:sz w:val="18"/>
          <w:szCs w:val="18"/>
          <w:b w:val="1"/>
          <w:bCs w:val="1"/>
          <w:i w:val="1"/>
          <w:iCs w:val="1"/>
          <w:color w:val="auto"/>
        </w:rPr>
        <w:t>However, this Policy does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apply to any sale of the underlying stock or to a cashless option exercise through a broker, which entails the sale of a portion of the underlying stock on the market to cover the costs of exercise or the resulting taxes.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Dividend Reinvestment Plan</w:t>
      </w:r>
      <w:r>
        <w:rPr>
          <w:rFonts w:ascii="Times New Roman" w:cs="Times New Roman" w:eastAsia="Times New Roman" w:hAnsi="Times New Roman"/>
          <w:sz w:val="18"/>
          <w:szCs w:val="18"/>
          <w:color w:val="auto"/>
        </w:rPr>
        <w:t>. This Policy does not apply to purchases under a dividend reinvestment plan resulting from your reinvestment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if any. This Policy does apply, however, to voluntary purchases of stock resulting from additional contributions you choose to make to the dividend reinvestment plan, if any, and to your election to participate in a dividend reinvestment plan, if any, or increase your level of participation in a dividend reinvestment plan, if any. This Policy also applies to your sale of any stock purchased pursuant to any such plan.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u w:val="single" w:color="auto"/>
          <w:color w:val="auto"/>
        </w:rPr>
        <w:t>Other Similar Company Plan Transactions</w:t>
      </w:r>
      <w:r>
        <w:rPr>
          <w:rFonts w:ascii="Times New Roman" w:cs="Times New Roman" w:eastAsia="Times New Roman" w:hAnsi="Times New Roman"/>
          <w:sz w:val="18"/>
          <w:szCs w:val="18"/>
          <w:color w:val="auto"/>
        </w:rPr>
        <w:t>. Any other purchase of Company securities from the Company or sale of Company securities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are not subject to this Policy.</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u w:val="single" w:color="auto"/>
          <w:color w:val="auto"/>
        </w:rPr>
        <w:t>Transactions Pursuant to Rule 10b5-1 Plans</w:t>
      </w:r>
      <w:r>
        <w:rPr>
          <w:rFonts w:ascii="Times New Roman" w:cs="Times New Roman" w:eastAsia="Times New Roman" w:hAnsi="Times New Roman"/>
          <w:sz w:val="18"/>
          <w:szCs w:val="18"/>
          <w:color w:val="auto"/>
        </w:rPr>
        <w:t>. Purchases and sales of Company securities pursuant to an effective Rule 10b5-1 Plan may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this Policy. (See Section VII “Rule 10b5-1 Plans” for more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Prohibition of Short Sales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w:t>
      </w:r>
      <w:r>
        <w:rPr>
          <w:rFonts w:ascii="Times New Roman" w:cs="Times New Roman" w:eastAsia="Times New Roman" w:hAnsi="Times New Roman"/>
          <w:sz w:val="18"/>
          <w:szCs w:val="18"/>
          <w:b w:val="1"/>
          <w:bCs w:val="1"/>
          <w:i w:val="1"/>
          <w:iCs w:val="1"/>
          <w:color w:val="auto"/>
        </w:rPr>
        <w:t>For these reasons, short sales of Company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are prohibited.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Rule 10b5-1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Rule 10b5-1 under the Securities Exchange Act of 1934, as amended, provides a defense from insider trading liability to a person who enters a trading plan for transactions in Company securities that meets the conditions specified in Rule 10b5-1.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comply with the Policy, a Rule 10b5-1 Plan must meet the requirements of Rule 10b5-1. In addition, any Rule 10b5-1 Plan must be submitted for approval five business days prior to the entry into the Rule 10b5-1 Plan and must be approved in advance by the Securities Compliance Officer.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 Rule 10b5-1 Plan must be entered into at a time when the person entering into the plan is not in possession or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The plan must include a cooling-off period before trading can commence that, for directors and officers subject to Section 16 of the Exchange Act, ends on the later of 90 days after the adoption of the Rule 10b5-1 Plan or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subject to Section 16 of the Exchange Act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A standing or limit order does not, by itself, qualify as a Rule 10b5-1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Additional Restrictions Applicable to Insiders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prohibitions on insider trading and short selling described above that apply to all persons subject to this Policy, insiders and their related persons are subject to additional restrictions on trading. The provisions below will govern to the extent that any such requirement is more restrictive than the requirements set forth above.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u w:val="single" w:color="auto"/>
          <w:color w:val="auto"/>
        </w:rPr>
        <w:t>Pre-Clearance Requirement</w:t>
      </w:r>
      <w:r>
        <w:rPr>
          <w:rFonts w:ascii="Times New Roman" w:cs="Times New Roman" w:eastAsia="Times New Roman" w:hAnsi="Times New Roman"/>
          <w:sz w:val="18"/>
          <w:szCs w:val="18"/>
          <w:color w:val="auto"/>
        </w:rPr>
        <w:t>. To help prevent inadvertent violations of the securities laws and to avoid even the appearance of trading on inside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insiders and their related persons, and any other persons designated by the Securities Compliance Officer under this Policy as being subject to the pre-clearance procedures, may not engage in any transaction in the Company’s securities without first obtaining pre-clearance of the transaction from the Securities Compliance Officer.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request for pre-clearance should be submitted to the Securities Compliance Officer at least two business days in advance of the proposed transaction. The Securities Compliance Officer is under no obligation to approve a transaction submitted for pre-clearance and may determine not to permit the transaction. If a person seeks pre-clearance to engage in the transaction and is denied, then he or she should refrain from initiating any transaction in the Company’s securities and should not inform any other person of the restriction. Pre-cleared trades must be executed within five business days of receipt of pre-clearance and prior to the expiration of any window period, unless the Securities Compliance Officer grants an exception.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in possession or aware of any material nonpublic information about the Company and should describe fully those circumstances to the Securities Compliance Officer. The requestor should also indicate whether he or she has effected any transactions in the Company’s securities within the past six months. Pre-clearance of a trade does not constitute legal advice and does not relieve the requestor of his or her legal obligation to refrain from trading while in possession or aware of material nonpublic information.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requirement for pre-clearance does not apply to those transactions to which this Policy does not apply, as described above under the heading “Transactions Excluded From This Policy,” or to transactions conducted under approved Rule 10b5-1 plans, as described under See Section VII “Rule 10b5-1 Plans”. However, affiliates and persons subject to Section 16 of the Exchange Act and Rule 144 may still have reporting requirements under such transactions.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b w:val="1"/>
          <w:bCs w:val="1"/>
          <w:u w:val="single" w:color="auto"/>
          <w:color w:val="auto"/>
        </w:rPr>
        <w:t>Window Period Requirement</w:t>
      </w:r>
      <w:r>
        <w:rPr>
          <w:rFonts w:ascii="Times New Roman" w:cs="Times New Roman" w:eastAsia="Times New Roman" w:hAnsi="Times New Roman"/>
          <w:sz w:val="18"/>
          <w:szCs w:val="18"/>
          <w:color w:val="auto"/>
        </w:rPr>
        <w:t>. The Company requires that insiders trade in Company securities only during the period beginning at the open of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day after the second full Trading Day following the public release of the Company’s financial results for the preceding fiscal period, and ending at the close of trading on the last full Trading Day prior to the start of the last fourteen (14) calendar days of the third month of the current quarter (the “window period”). The Company may periodically issue detailed guidance and procedures to insiders subject to the window period for trading in Company securities. The prohibition on trading in Company securities by insiders at all times other than the window period is designed to prevent any inadvertent trading by such persons in the Company’s securities during times when there may be material financial information about the Company that has not been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both"/>
        <w:spacing w:after="0" w:line="258" w:lineRule="auto"/>
        <w:rPr>
          <w:sz w:val="20"/>
          <w:szCs w:val="20"/>
          <w:color w:val="auto"/>
        </w:rPr>
      </w:pPr>
      <w:r>
        <w:rPr>
          <w:rFonts w:ascii="Times New Roman" w:cs="Times New Roman" w:eastAsia="Times New Roman" w:hAnsi="Times New Roman"/>
          <w:sz w:val="18"/>
          <w:szCs w:val="18"/>
          <w:color w:val="auto"/>
        </w:rPr>
        <w:t>If, for example, the Company were to make an announcement of earnings on a Monday prior to the market opening, the first full Trading Day would be Monday and the second full Trading Day would be Tuesday, and you should not trade in the Company’s securities until the open of trading on Wednesday. If the Company were to make an announcement on a Monday after the market closed, the first full Trading Day would be Tuesday and the second full Trading Day would be Wednesday, and you should not trade in the Company’s securities until the open of trading on Thursday. Depending on the particular circumstances, the Company may determine that a longer or shorter period should apply to the release of specific material nonpublic information.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should be noted that even during the window period, any person possessing material nonpublic information should not engage in any transactions in Company securities.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Event-Specific Blackout Period</w:t>
      </w:r>
      <w:r>
        <w:rPr>
          <w:rFonts w:ascii="Times New Roman" w:cs="Times New Roman" w:eastAsia="Times New Roman" w:hAnsi="Times New Roman"/>
          <w:sz w:val="18"/>
          <w:szCs w:val="18"/>
          <w:color w:val="auto"/>
        </w:rPr>
        <w:t>. From time to time, an event may occur that is material to the Company and is known by only a few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employees. So long as the event remains material and nonpublic, the persons designated by the Securities Compliance Officer may not trade in the Company’s securities. The existence of an event-specific blackout period will not be announced, other than to those who are aware of the event giving rise to the blackout. Any person made aware of the existence of an event-specific blackout period should not disclose the existence of the blackout to any other person. The failure of the Securities Compliance Officer to designate you as a person subject to an event-specific blackout will not relieve you of the obligation not to trade while in possession or aware of material nonpublic information. In addition, from time to time the Company may use these event-specific blackout procedures to restrict directors, executive officers and certain other employees from trading in advance of or following an announcement regarding any share repurchase program.</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Hedging and Other Derivative Transactions</w:t>
      </w:r>
      <w:r>
        <w:rPr>
          <w:rFonts w:ascii="Times New Roman" w:cs="Times New Roman" w:eastAsia="Times New Roman" w:hAnsi="Times New Roman"/>
          <w:sz w:val="18"/>
          <w:szCs w:val="18"/>
          <w:color w:val="auto"/>
        </w:rPr>
        <w:t>. Transactions in publicly traded options are generally short-term in nature and may give the public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perception that insiders are not focused on the long-term performance of the Company. Certain forms of hedging transactions are complex, may be perceived negatively by the public and can present unique insider trading risks. Accordingly, insiders are prohibited from engaging in such transactions.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u w:val="single" w:color="auto"/>
          <w:color w:val="auto"/>
        </w:rPr>
        <w:t>Margin Accounts and Pledging</w:t>
      </w:r>
      <w:r>
        <w:rPr>
          <w:rFonts w:ascii="Times New Roman" w:cs="Times New Roman" w:eastAsia="Times New Roman" w:hAnsi="Times New Roman"/>
          <w:sz w:val="18"/>
          <w:szCs w:val="18"/>
          <w:color w:val="auto"/>
        </w:rPr>
        <w:t>. Insiders may not purchase Company securities on margin, borrow against any account in which Company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held, or enter into a pledge of Company securities as collateral for a loan without prior approval of the Company’s Securities Compliance Officer.</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b w:val="1"/>
          <w:bCs w:val="1"/>
          <w:u w:val="single" w:color="auto"/>
          <w:color w:val="auto"/>
        </w:rPr>
        <w:t>Standing and Limit Orders</w:t>
      </w:r>
      <w:r>
        <w:rPr>
          <w:rFonts w:ascii="Times New Roman" w:cs="Times New Roman" w:eastAsia="Times New Roman" w:hAnsi="Times New Roman"/>
          <w:sz w:val="18"/>
          <w:szCs w:val="18"/>
          <w:color w:val="auto"/>
        </w:rPr>
        <w:t>. Standing and limit orders, except under approved Rule 10b5-1 plans (see Section VII “Rule 10b5-1 Plans”),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The Company therefore prohibits insiders from placing standing or limit orders on Company securities other than for short durations within a window period.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b w:val="1"/>
          <w:bCs w:val="1"/>
          <w:u w:val="single" w:color="auto"/>
          <w:color w:val="auto"/>
        </w:rPr>
        <w:t>Section 16 and Rule 144 Restrictions and Reporting</w:t>
      </w:r>
      <w:r>
        <w:rPr>
          <w:rFonts w:ascii="Times New Roman" w:cs="Times New Roman" w:eastAsia="Times New Roman" w:hAnsi="Times New Roman"/>
          <w:sz w:val="18"/>
          <w:szCs w:val="18"/>
          <w:color w:val="auto"/>
        </w:rPr>
        <w:t>. The federal securities laws, including Section 16 of the Securities Exchange Act of 1934,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amended, and Rule 144 under the Securities Act of 1933, as amended, impose additional trading restrictions and reporting obligations on executive officers, directors and holders of more than 10% of any class of equity security of the Company. </w:t>
      </w:r>
      <w:r>
        <w:rPr>
          <w:rFonts w:ascii="Times New Roman" w:cs="Times New Roman" w:eastAsia="Times New Roman" w:hAnsi="Times New Roman"/>
          <w:sz w:val="18"/>
          <w:szCs w:val="18"/>
          <w:b w:val="1"/>
          <w:bCs w:val="1"/>
          <w:i w:val="1"/>
          <w:iCs w:val="1"/>
          <w:color w:val="auto"/>
        </w:rPr>
        <w:t>The Company will notify you if you are subject to these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additional restrictions and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 </w:t>
      </w:r>
      <w:r>
        <w:rPr>
          <w:rFonts w:ascii="Times New Roman" w:cs="Times New Roman" w:eastAsia="Times New Roman" w:hAnsi="Times New Roman"/>
          <w:sz w:val="18"/>
          <w:szCs w:val="18"/>
          <w:b w:val="1"/>
          <w:bCs w:val="1"/>
          <w:u w:val="single" w:color="auto"/>
          <w:color w:val="auto"/>
        </w:rPr>
        <w:t>Rule 10b5-1 Plans</w:t>
      </w:r>
      <w:r>
        <w:rPr>
          <w:rFonts w:ascii="Times New Roman" w:cs="Times New Roman" w:eastAsia="Times New Roman" w:hAnsi="Times New Roman"/>
          <w:sz w:val="18"/>
          <w:szCs w:val="18"/>
          <w:color w:val="auto"/>
        </w:rPr>
        <w:t>. Trades executed pursuant to a pre-cleared Rule 10b5-1 plan are not subject to the Company’s window period or preclearance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requirement, as Rule 10b5-1 provides an affirmative defense from insider trading liability under the federal securities laws for trading plans that meet certain requirements. (See Section VII “Rule 10b5-1 Plans” for more information.) All Rule 10b5-1 plans must be adopted during a window period and pre-cleared in advance by the Securities Compliance Officer. </w:t>
      </w:r>
      <w:r>
        <w:rPr>
          <w:rFonts w:ascii="Times New Roman" w:cs="Times New Roman" w:eastAsia="Times New Roman" w:hAnsi="Times New Roman"/>
          <w:sz w:val="18"/>
          <w:szCs w:val="18"/>
          <w:b w:val="1"/>
          <w:bCs w:val="1"/>
          <w:i w:val="1"/>
          <w:iCs w:val="1"/>
          <w:color w:val="auto"/>
        </w:rPr>
        <w:t>As noted above, a standing or limit order does not, by itself, qualify as a Rule 10b5-1 plan.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Special Circumstances</w:t>
      </w:r>
      <w:r>
        <w:rPr>
          <w:rFonts w:ascii="Times New Roman" w:cs="Times New Roman" w:eastAsia="Times New Roman" w:hAnsi="Times New Roman"/>
          <w:sz w:val="18"/>
          <w:szCs w:val="18"/>
          <w:color w:val="auto"/>
        </w:rPr>
        <w:t>. Notwithstanding anything to the contrary contained herein, an insider may request that any regular blackout period or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blackout period be waived by the Company, provided that the insider affirms in writing that such insider does not have any material non-public information. Any such waivers shall be in the sole discretion of the Securities Compliance Officer, shall be limited in scope and duration, and may be revoked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IX. Consequences of Non-Compliance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Federal and state securities laws prohibit the purchase or sale of securities while in possession or aware of material nonpublic information as well as the disclosure of material nonpublic information to others who then trade in a company’s securities (sometimes called “tipping”). Insider trading violations are pursued vigorously by the SEC, U.S. Attorneys and state enforcement authorities as well as the laws of foreign jurisdictions. Punishment for insider trading violations is severe, and may include significant fines and imprisonment.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comply with this Policy may also subject you to Company-imposed sanctions, including disciplinary action up to and including termination of employment, whether or not the failure to comply with this Policy results in a violation of law. A violation of law, or even questionable conduct leading to federal investigation that does not result in prosecution, can tarnish an individual’s reputation and irreparably damage a career.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Violations of insider trading laws can, and often do, result in criminal investigations, prosecutions, disgorgement of ill-gotten trading profits, fines and prison sentences. Accordingly, your compliance with this Policy is of the utmost importance for both you and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Asking Questions and Reporting Concerns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your obligation to understand and comply with this Policy. If you are concerned that a policy has been violated, or have any questions about this Policy, you should discuss it with the Company’s Securities Compliance Officer.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not tolerate retaliation against any employee who reasonably and in good faith raises a question or concern about the Company’s business practices or compliance with applicable laws or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ACKNOWLEDGMENT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sign below acknowledging that you have read and agree to abide by the Company’s Insider Trading Policy and return this to the Corporate Secretary.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asked to verify your compliance with this Policy annually.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received, reviewed and agree to be bound by the Company’s Insider Trading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4">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6">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(Registration No. 333-221216 and 333-250963), the Registration Statement on Form S-1 (Registration No. 333-273207) and the Registration Statements on Form S-3 (Registration Nos. 333-275634) of our report dated March 25, 2025 relating to the consolidated financial statements of Microbot Medical Inc. (the “Company”) appearing in this Annual Report on Form 10-K of the Company for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6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b w:val="1"/>
          <w:bCs w:val="1"/>
          <w:i w:val="1"/>
          <w:iCs w:val="1"/>
          <w:color w:val="auto"/>
        </w:rPr>
        <w:t>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6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Rachel Vaknin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Annual Report of Microbot Medical Inc. (the “Company”) on Form 10-K for the fiscal year ended December 31, 2024 as filed with the Securities and Exchange Commission on the date hereof (the “Report”), I, </w:t>
      </w:r>
      <w:r>
        <w:rPr>
          <w:rFonts w:ascii="Times New Roman" w:cs="Times New Roman" w:eastAsia="Times New Roman" w:hAnsi="Times New Roman"/>
          <w:sz w:val="18"/>
          <w:szCs w:val="18"/>
          <w:b w:val="1"/>
          <w:bCs w:val="1"/>
          <w:color w:val="auto"/>
        </w:rPr>
        <w:t>Harel Gadot</w:t>
      </w:r>
      <w:r>
        <w:rPr>
          <w:rFonts w:ascii="Times New Roman" w:cs="Times New Roman" w:eastAsia="Times New Roman" w:hAnsi="Times New Roman"/>
          <w:sz w:val="18"/>
          <w:szCs w:val="18"/>
          <w:color w:val="auto"/>
        </w:rPr>
        <w:t>, President and Chief Executive Officer of the Company, certify, pursuant to 18 U.S.C. Sec. 1350, as adopted pursuant to Sec. 906 of the Sarbanes-Oxley Act of 2002, that:</w:t>
      </w:r>
    </w:p>
    <w:p>
      <w:pPr>
        <w:spacing w:after="0" w:line="176" w:lineRule="exact"/>
        <w:rPr>
          <w:sz w:val="20"/>
          <w:szCs w:val="20"/>
          <w:color w:val="auto"/>
        </w:rPr>
      </w:pPr>
    </w:p>
    <w:p>
      <w:pPr>
        <w:ind w:left="580" w:hanging="248"/>
        <w:spacing w:after="0"/>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Annual Report of Microbot Medical Inc. (the “Company”) on Form 10-K for the fiscal year ended December 31, 2024 as filed with the Securities and Exchange Commission on the date hereof (the “Report”), I, </w:t>
      </w:r>
      <w:r>
        <w:rPr>
          <w:rFonts w:ascii="Times New Roman" w:cs="Times New Roman" w:eastAsia="Times New Roman" w:hAnsi="Times New Roman"/>
          <w:sz w:val="18"/>
          <w:szCs w:val="18"/>
          <w:b w:val="1"/>
          <w:bCs w:val="1"/>
          <w:color w:val="auto"/>
        </w:rPr>
        <w:t>Rachel Vaknin</w:t>
      </w:r>
      <w:r>
        <w:rPr>
          <w:rFonts w:ascii="Times New Roman" w:cs="Times New Roman" w:eastAsia="Times New Roman" w:hAnsi="Times New Roman"/>
          <w:sz w:val="18"/>
          <w:szCs w:val="18"/>
          <w:color w:val="auto"/>
        </w:rPr>
        <w:t>, Chief Financial Officer of the Company, certify, pursuant to 18 U.S.C. Sec. 1350, as adopted pursuant to Sec. 906 of the Sarbanes-Oxley Act of 2002, that:</w:t>
      </w:r>
    </w:p>
    <w:p>
      <w:pPr>
        <w:spacing w:after="0" w:line="176" w:lineRule="exact"/>
        <w:rPr>
          <w:sz w:val="20"/>
          <w:szCs w:val="20"/>
          <w:color w:val="auto"/>
        </w:rPr>
      </w:pPr>
    </w:p>
    <w:p>
      <w:pPr>
        <w:ind w:left="580" w:hanging="248"/>
        <w:spacing w:after="0"/>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b w:val="1"/>
          <w:bCs w:val="1"/>
          <w:i w:val="1"/>
          <w:iCs w:val="1"/>
          <w:color w:val="auto"/>
        </w:rPr>
        <w:t>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566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Rachel Vaknin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1."/>
      <w:numFmt w:val="decimal"/>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decimal"/>
      <w:start w:val="1"/>
    </w:lvl>
  </w:abstractNum>
  <w:abstractNum w:abstractNumId="37">
    <w:nsid w:val="12E685FB"/>
    <w:multiLevelType w:val="hybridMultilevel"/>
    <w:lvl w:ilvl="0">
      <w:lvlJc w:val="left"/>
      <w:lvlText w:val="(%1)"/>
      <w:numFmt w:val="decimal"/>
      <w:start w:val="1"/>
    </w:lvl>
  </w:abstractNum>
  <w:abstractNum w:abstractNumId="38">
    <w:nsid w:val="70C6A529"/>
    <w:multiLevelType w:val="hybridMultilevel"/>
    <w:lvl w:ilvl="0">
      <w:lvlJc w:val="left"/>
      <w:lvlText w:val="(%1)"/>
      <w:numFmt w:val="lowerRoman"/>
      <w:start w:val="2"/>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lowerLetter"/>
      <w:start w:val="1"/>
    </w:lvl>
  </w:abstractNum>
  <w:abstractNum w:abstractNumId="43">
    <w:nsid w:val="649BB77C"/>
    <w:multiLevelType w:val="hybridMultilevel"/>
    <w:lvl w:ilvl="0">
      <w:lvlJc w:val="left"/>
      <w:lvlText w:val="*"/>
      <w:numFmt w:val="bullet"/>
      <w:start w:val="1"/>
    </w:lvl>
    <w:lvl w:ilvl="1">
      <w:lvlJc w:val="left"/>
      <w:lvlText w:val="%2"/>
      <w:numFmt w:val="decimal"/>
      <w:start w:val="104"/>
    </w:lvl>
  </w:abstractNum>
  <w:abstractNum w:abstractNumId="44">
    <w:nsid w:val="275AC794"/>
    <w:multiLevelType w:val="hybridMultilevel"/>
    <w:lvl w:ilvl="0">
      <w:lvlJc w:val="left"/>
      <w:lvlText w:val="**"/>
      <w:numFmt w:val="bullet"/>
      <w:start w:val="1"/>
    </w:lvl>
    <w:lvl w:ilvl="1">
      <w:lvlJc w:val="left"/>
      <w:lvlText w:val="%2"/>
      <w:numFmt w:val="decimal"/>
      <w:start w:val="1"/>
    </w:lvl>
  </w:abstractNum>
  <w:abstractNum w:abstractNumId="45">
    <w:nsid w:val="39386575"/>
    <w:multiLevelType w:val="hybridMultilevel"/>
    <w:lvl w:ilvl="0">
      <w:lvlJc w:val="left"/>
      <w:lvlText w:val="●"/>
      <w:numFmt w:val="bullet"/>
      <w:start w:val="1"/>
    </w:lvl>
    <w:lvl w:ilvl="1">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lowerRoman"/>
      <w:start w:val="2"/>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1."/>
      <w:numFmt w:val="upperLetter"/>
      <w:start w:val="1"/>
    </w:lvl>
  </w:abstractNum>
  <w:abstractNum w:abstractNumId="55">
    <w:nsid w:val="3F6AB60F"/>
    <w:multiLevelType w:val="hybridMultilevel"/>
    <w:lvl w:ilvl="0">
      <w:lvlJc w:val="left"/>
      <w:lvlText w:val="%1."/>
      <w:numFmt w:val="upperLetter"/>
      <w:start w:val="2"/>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1."/>
      <w:numFmt w:val="decimal"/>
      <w:start w:val="11"/>
    </w:lvl>
    <w:lvl w:ilvl="1">
      <w:lvlJc w:val="left"/>
      <w:lvlText w:val="%2"/>
      <w:numFmt w:val="lowerLetter"/>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2"/>
    </w:lvl>
    <w:lvl w:ilvl="1">
      <w:lvlJc w:val="left"/>
      <w:lvlText w:val="%2"/>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104" Type="http://schemas.openxmlformats.org/officeDocument/2006/relationships/image" Target="media/image72.png"/><Relationship Id="rId128" Type="http://schemas.openxmlformats.org/officeDocument/2006/relationships/image" Target="media/image73.png"/><Relationship Id="rId140" Type="http://schemas.openxmlformats.org/officeDocument/2006/relationships/image" Target="media/image74.png"/><Relationship Id="rId141" Type="http://schemas.openxmlformats.org/officeDocument/2006/relationships/image" Target="media/image75.png"/><Relationship Id="rId142" Type="http://schemas.openxmlformats.org/officeDocument/2006/relationships/image" Target="media/image76.png"/><Relationship Id="rId143" Type="http://schemas.openxmlformats.org/officeDocument/2006/relationships/image" Target="media/image77.jpeg"/><Relationship Id="rId144" Type="http://schemas.openxmlformats.org/officeDocument/2006/relationships/image" Target="media/image78.png"/><Relationship Id="rId145" Type="http://schemas.openxmlformats.org/officeDocument/2006/relationships/image" Target="media/image79.jpeg"/><Relationship Id="rId146" Type="http://schemas.openxmlformats.org/officeDocument/2006/relationships/image" Target="media/image80.jpeg"/><Relationship Id="rId147" Type="http://schemas.openxmlformats.org/officeDocument/2006/relationships/image" Target="media/image81.png"/><Relationship Id="rId148" Type="http://schemas.openxmlformats.org/officeDocument/2006/relationships/image" Target="media/image82.png"/><Relationship Id="rId149" Type="http://schemas.openxmlformats.org/officeDocument/2006/relationships/image" Target="media/image83.png"/><Relationship Id="rId150" Type="http://schemas.openxmlformats.org/officeDocument/2006/relationships/image" Target="media/image84.png"/><Relationship Id="rId151" Type="http://schemas.openxmlformats.org/officeDocument/2006/relationships/image" Target="media/image85.png"/><Relationship Id="rId152" Type="http://schemas.openxmlformats.org/officeDocument/2006/relationships/image" Target="media/image86.png"/><Relationship Id="rId153" Type="http://schemas.openxmlformats.org/officeDocument/2006/relationships/image" Target="media/image87.png"/><Relationship Id="rId154" Type="http://schemas.openxmlformats.org/officeDocument/2006/relationships/image" Target="media/image88.png"/><Relationship Id="rId155"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192" Type="http://schemas.openxmlformats.org/officeDocument/2006/relationships/image" Target="media/image126.png"/><Relationship Id="rId193" Type="http://schemas.openxmlformats.org/officeDocument/2006/relationships/image" Target="media/image127.png"/><Relationship Id="rId194" Type="http://schemas.openxmlformats.org/officeDocument/2006/relationships/image" Target="media/image128.png"/><Relationship Id="rId195" Type="http://schemas.openxmlformats.org/officeDocument/2006/relationships/image" Target="media/image129.png"/><Relationship Id="rId196" Type="http://schemas.openxmlformats.org/officeDocument/2006/relationships/image" Target="media/image130.png"/><Relationship Id="rId197" Type="http://schemas.openxmlformats.org/officeDocument/2006/relationships/image" Target="media/image131.png"/><Relationship Id="rId198" Type="http://schemas.openxmlformats.org/officeDocument/2006/relationships/image" Target="media/image132.png"/><Relationship Id="rId199" Type="http://schemas.openxmlformats.org/officeDocument/2006/relationships/image" Target="media/image133.png"/><Relationship Id="rId200" Type="http://schemas.openxmlformats.org/officeDocument/2006/relationships/image" Target="media/image134.png"/><Relationship Id="rId201" Type="http://schemas.openxmlformats.org/officeDocument/2006/relationships/image" Target="media/image135.png"/><Relationship Id="rId202"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79" Type="http://schemas.openxmlformats.org/officeDocument/2006/relationships/hyperlink" Target="https://www.sec.gov/Archives/edgar/data/883975/000119312516682077/d161430dex21.htm" TargetMode="External"/><Relationship Id="rId80" Type="http://schemas.openxmlformats.org/officeDocument/2006/relationships/hyperlink" Target="https://www.sec.gov/Archives/edgar/data/883975/000095013407005808/f27726exv3w1.htm" TargetMode="External"/><Relationship Id="rId81" Type="http://schemas.openxmlformats.org/officeDocument/2006/relationships/hyperlink" Target="https://www.sec.gov/Archives/edgar/data/883975/000119312516779597/d296933dex31.htm" TargetMode="External"/><Relationship Id="rId82" Type="http://schemas.openxmlformats.org/officeDocument/2006/relationships/hyperlink" Target="https://www.sec.gov/Archives/edgar/data/883975/000149315218012872/ex3-1.htm" TargetMode="External"/><Relationship Id="rId83" Type="http://schemas.openxmlformats.org/officeDocument/2006/relationships/hyperlink" Target="https://www.sec.gov/Archives/edgar/data/883975/000129993316002374/exhibit1.htm" TargetMode="External"/><Relationship Id="rId84" Type="http://schemas.openxmlformats.org/officeDocument/2006/relationships/hyperlink" Target="https://www.sec.gov/Archives/edgar/data/883975/000149315218017395/ex3-1.htm" TargetMode="External"/><Relationship Id="rId85" Type="http://schemas.openxmlformats.org/officeDocument/2006/relationships/hyperlink" Target="https://www.sec.gov/Archives/edgar/data/883975/000149315219013998/ex3-1.htm" TargetMode="External"/><Relationship Id="rId86" Type="http://schemas.openxmlformats.org/officeDocument/2006/relationships/hyperlink" Target="https://www.sec.gov/Archives/edgar/data/883975/000149315221010347/ex3-1.htm" TargetMode="External"/><Relationship Id="rId87" Type="http://schemas.openxmlformats.org/officeDocument/2006/relationships/hyperlink" Target="https://www.sec.gov/Archives/edgar/data/883975/000149315220006338/ex4-10.htm" TargetMode="External"/><Relationship Id="rId88" Type="http://schemas.openxmlformats.org/officeDocument/2006/relationships/hyperlink" Target="https://www.sec.gov/Archives/edgar/data/883975/000149315222029541/ex4-2.htm" TargetMode="External"/><Relationship Id="rId89" Type="http://schemas.openxmlformats.org/officeDocument/2006/relationships/hyperlink" Target="https://www.sec.gov/Archives/edgar/data/883975/000149315222029541/ex4-4.htm" TargetMode="External"/><Relationship Id="rId90" Type="http://schemas.openxmlformats.org/officeDocument/2006/relationships/hyperlink" Target="https://www.sec.gov/Archives/edgar/data/883975/000149315223018718/ex4-1.htm" TargetMode="External"/><Relationship Id="rId91" Type="http://schemas.openxmlformats.org/officeDocument/2006/relationships/hyperlink" Target="https://www.sec.gov/Archives/edgar/data/883975/000149315223018932/ex4-2.htm" TargetMode="External"/><Relationship Id="rId92" Type="http://schemas.openxmlformats.org/officeDocument/2006/relationships/hyperlink" Target="https://www.sec.gov/Archives/edgar/data/883975/000149315223018932/ex10-2.htm" TargetMode="External"/><Relationship Id="rId93" Type="http://schemas.openxmlformats.org/officeDocument/2006/relationships/hyperlink" Target="https://www.sec.gov/Archives/edgar/data/883975/000149315223020309/ex4-1.htm" TargetMode="External"/><Relationship Id="rId94" Type="http://schemas.openxmlformats.org/officeDocument/2006/relationships/hyperlink" Target="https://www.sec.gov/Archives/edgar/data/883975/000149315223020309/ex4-2.htm" TargetMode="External"/><Relationship Id="rId95" Type="http://schemas.openxmlformats.org/officeDocument/2006/relationships/hyperlink" Target="https://www.sec.gov/Archives/edgar/data/883975/000149315223022814/ex4-1.htm" TargetMode="External"/><Relationship Id="rId96" Type="http://schemas.openxmlformats.org/officeDocument/2006/relationships/hyperlink" Target="https://www.sec.gov/Archives/edgar/data/883975/000149315223022814/ex4-2.htm" TargetMode="External"/><Relationship Id="rId97" Type="http://schemas.openxmlformats.org/officeDocument/2006/relationships/hyperlink" Target="https://www.sec.gov/Archives/edgar/data/883975/000149315224000109/ex4-1.htm" TargetMode="External"/><Relationship Id="rId98" Type="http://schemas.openxmlformats.org/officeDocument/2006/relationships/hyperlink" Target="https://www.sec.gov/Archives/edgar/data/883975/000149315224000109/ex4-2.htm" TargetMode="External"/><Relationship Id="rId99" Type="http://schemas.openxmlformats.org/officeDocument/2006/relationships/hyperlink" Target="https://www.sec.gov/Archives/edgar/data/883975/000149315224022560/ex4-1.htm" TargetMode="External"/><Relationship Id="rId100" Type="http://schemas.openxmlformats.org/officeDocument/2006/relationships/hyperlink" Target="https://www.sec.gov/Archives/edgar/data/883975/000149315224022560/ex4-2.htm" TargetMode="External"/><Relationship Id="rId101" Type="http://schemas.openxmlformats.org/officeDocument/2006/relationships/hyperlink" Target="https://www.sec.gov/Archives/edgar/data/883975/000149315225001133/ex4-1.htm" TargetMode="External"/><Relationship Id="rId102" Type="http://schemas.openxmlformats.org/officeDocument/2006/relationships/hyperlink" Target="https://www.sec.gov/Archives/edgar/data/883975/000149315225001133/ex4-2.htm" TargetMode="External"/><Relationship Id="rId103" Type="http://schemas.openxmlformats.org/officeDocument/2006/relationships/hyperlink" Target="https://www.sec.gov/Archives/edgar/data/883975/000149315225001559/ex4-1.htm" TargetMode="External"/><Relationship Id="rId105" Type="http://schemas.openxmlformats.org/officeDocument/2006/relationships/hyperlink" Target="https://www.sec.gov/Archives/edgar/data/883975/000149315225001559/ex4-2.htm" TargetMode="External"/><Relationship Id="rId106" Type="http://schemas.openxmlformats.org/officeDocument/2006/relationships/hyperlink" Target="https://www.sec.gov/Archives/edgar/data/883975/000149315225005820/ex4-1.htm" TargetMode="External"/><Relationship Id="rId107" Type="http://schemas.openxmlformats.org/officeDocument/2006/relationships/hyperlink" Target="https://www.sec.gov/Archives/edgar/data/883975/000149315225005820/ex4-2.htm" TargetMode="External"/><Relationship Id="rId108" Type="http://schemas.openxmlformats.org/officeDocument/2006/relationships/hyperlink" Target="https://www.sec.gov/Archives/edgar/data/883975/000119312516779597/d296933dex104.htm" TargetMode="External"/><Relationship Id="rId109" Type="http://schemas.openxmlformats.org/officeDocument/2006/relationships/hyperlink" Target="https://www.sec.gov/Archives/edgar/data/883975/000119312516779597/d296933dex105.htm" TargetMode="External"/><Relationship Id="rId110" Type="http://schemas.openxmlformats.org/officeDocument/2006/relationships/hyperlink" Target="https://www.sec.gov/Archives/edgar/data/883975/000149315217002678/ex10-14.htm" TargetMode="External"/><Relationship Id="rId111" Type="http://schemas.openxmlformats.org/officeDocument/2006/relationships/hyperlink" Target="https://www.sec.gov/Archives/edgar/data/883975/000149315217013222/ex10-1.htm" TargetMode="External"/><Relationship Id="rId112" Type="http://schemas.openxmlformats.org/officeDocument/2006/relationships/hyperlink" Target="https://www.sec.gov/Archives/edgar/data/883975/000149315217008987/def14a.htm" TargetMode="External"/><Relationship Id="rId113" Type="http://schemas.openxmlformats.org/officeDocument/2006/relationships/hyperlink" Target="https://www.sec.gov/Archives/edgar/data/883975/000149315220014354/def14a.htm" TargetMode="External"/><Relationship Id="rId114" Type="http://schemas.openxmlformats.org/officeDocument/2006/relationships/hyperlink" Target="https://www.sec.gov/Archives/edgar/data/883975/000149315220022543/ex4-2.htm" TargetMode="External"/><Relationship Id="rId115" Type="http://schemas.openxmlformats.org/officeDocument/2006/relationships/hyperlink" Target="https://www.sec.gov/Archives/edgar/data/883975/000149315220022543/ex4-3.htm" TargetMode="External"/><Relationship Id="rId116" Type="http://schemas.openxmlformats.org/officeDocument/2006/relationships/hyperlink" Target="https://www.sec.gov/Archives/edgar/data/883975/000149315220022543/ex4-4.htm" TargetMode="External"/><Relationship Id="rId117" Type="http://schemas.openxmlformats.org/officeDocument/2006/relationships/hyperlink" Target="https://www.sec.gov/Archives/edgar/data/883975/000149315220022543/ex4-5.htm" TargetMode="External"/><Relationship Id="rId118" Type="http://schemas.openxmlformats.org/officeDocument/2006/relationships/hyperlink" Target="https://www.sec.gov/Archives/edgar/data/883975/000149315220022543/ex4-6.htm" TargetMode="External"/><Relationship Id="rId119" Type="http://schemas.openxmlformats.org/officeDocument/2006/relationships/hyperlink" Target="https://www.sec.gov/Archives/edgar/data/883975/000149315221008148/ex10-1.htm" TargetMode="External"/><Relationship Id="rId120" Type="http://schemas.openxmlformats.org/officeDocument/2006/relationships/hyperlink" Target="https://www.sec.gov/Archives/edgar/data/883975/000149315221009469/ex10-1.htm" TargetMode="External"/><Relationship Id="rId121" Type="http://schemas.openxmlformats.org/officeDocument/2006/relationships/hyperlink" Target="https://www.sec.gov/Archives/edgar/data/883975/000149315222027872/ex10-1.htm" TargetMode="External"/><Relationship Id="rId122" Type="http://schemas.openxmlformats.org/officeDocument/2006/relationships/hyperlink" Target="https://www.sec.gov/Archives/edgar/data/883975/000149315222009272/ex10-1.htm" TargetMode="External"/><Relationship Id="rId123" Type="http://schemas.openxmlformats.org/officeDocument/2006/relationships/hyperlink" Target="https://www.sec.gov/Archives/edgar/data/883975/000149315222002881/ex10-1.htm" TargetMode="External"/><Relationship Id="rId124" Type="http://schemas.openxmlformats.org/officeDocument/2006/relationships/hyperlink" Target="https://www.sec.gov/Archives/edgar/data/883975/000149315223010223/ex10-21.htm" TargetMode="External"/><Relationship Id="rId125" Type="http://schemas.openxmlformats.org/officeDocument/2006/relationships/hyperlink" Target="https://www.sec.gov/Archives/edgar/data/883975/000149315223018456/ex10-1.htm" TargetMode="External"/><Relationship Id="rId126" Type="http://schemas.openxmlformats.org/officeDocument/2006/relationships/hyperlink" Target="https://www.sec.gov/Archives/edgar/data/883975/000149315223018456/ex10-2.htm" TargetMode="External"/><Relationship Id="rId127" Type="http://schemas.openxmlformats.org/officeDocument/2006/relationships/hyperlink" Target="https://www.sec.gov/Archives/edgar/data/883975/000149315223018456/ex10-3.htm" TargetMode="External"/><Relationship Id="rId129" Type="http://schemas.openxmlformats.org/officeDocument/2006/relationships/hyperlink" Target="https://www.sec.gov/Archives/edgar/data/883975/000149315223042204/ex10-1.htm" TargetMode="External"/><Relationship Id="rId130" Type="http://schemas.openxmlformats.org/officeDocument/2006/relationships/hyperlink" Target="https://www.sec.gov/Archives/edgar/data/883975/000149315224000109/ex10-1.htm" TargetMode="External"/><Relationship Id="rId131" Type="http://schemas.openxmlformats.org/officeDocument/2006/relationships/hyperlink" Target="https://www.sec.gov/Archives/edgar/data/883975/000149315224004231/ex10-2.htm" TargetMode="External"/><Relationship Id="rId132" Type="http://schemas.openxmlformats.org/officeDocument/2006/relationships/hyperlink" Target="https://www.sec.gov/Archives/edgar/data/883975/000149315225001133/ex10-1.htm" TargetMode="External"/><Relationship Id="rId133" Type="http://schemas.openxmlformats.org/officeDocument/2006/relationships/hyperlink" Target="https://www.sec.gov/Archives/edgar/data/883975/000149315225001559/ex10-1.htm" TargetMode="External"/><Relationship Id="rId134" Type="http://schemas.openxmlformats.org/officeDocument/2006/relationships/hyperlink" Target="https://www.sec.gov/Archives/edgar/data/883975/000149315225005410/ex10-1.htm" TargetMode="External"/><Relationship Id="rId135" Type="http://schemas.openxmlformats.org/officeDocument/2006/relationships/hyperlink" Target="https://www.sec.gov/Archives/edgar/data/883975/000149315225005410/ex10-2.htm" TargetMode="External"/><Relationship Id="rId136" Type="http://schemas.openxmlformats.org/officeDocument/2006/relationships/hyperlink" Target="https://www.sec.gov/Archives/edgar/data/883975/000149315225005410/ex10-3.htm" TargetMode="External"/><Relationship Id="rId137" Type="http://schemas.openxmlformats.org/officeDocument/2006/relationships/hyperlink" Target="https://www.sec.gov/Archives/edgar/data/883975/000149315225005820/ex10-1.htm" TargetMode="External"/><Relationship Id="rId138" Type="http://schemas.openxmlformats.org/officeDocument/2006/relationships/hyperlink" Target="https://www.sec.gov/Archives/edgar/data/883975/000149315217002678/ex21-1.htm" TargetMode="External"/><Relationship Id="rId139" Type="http://schemas.openxmlformats.org/officeDocument/2006/relationships/hyperlink" Target="https://www.sec.gov/Archives/edgar/data/883975/00014931522401152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2025-03-25T16:09:52Z</dcterms:created>
  <dcterms:modified xsi:type="dcterms:W3CDTF">2025-03-25T16:09:52Z</dcterms:modified>
</cp:coreProperties>
</file>