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JULY 10, 1996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3180" w:space="720"/>
            <w:col w:w="2240" w:space="720"/>
            <w:col w:w="3359"/>
          </w:cols>
          <w:pgMar w:left="240" w:top="250" w:right="1440" w:bottom="0" w:gutter="0" w:footer="0" w:header="0"/>
          <w:type w:val="continuous"/>
        </w:sectPr>
      </w:pPr>
    </w:p>
    <w:p>
      <w:pPr>
        <w:spacing w:after="0" w:line="24" w:lineRule="exact"/>
        <w:rPr>
          <w:sz w:val="24"/>
          <w:szCs w:val="24"/>
          <w:color w:val="auto"/>
        </w:rPr>
      </w:pPr>
    </w:p>
    <w:p>
      <w:pPr>
        <w:ind w:left="640" w:hanging="631"/>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38" w:orient="portrait"/>
          <w:cols w:equalWidth="0" w:num="3">
            <w:col w:w="2960" w:space="200"/>
            <w:col w:w="2540" w:space="420"/>
            <w:col w:w="4099"/>
          </w:cols>
          <w:pgMar w:left="240" w:top="250" w:right="1440" w:bottom="0" w:gutter="0" w:footer="0" w:header="0"/>
          <w:type w:val="continuous"/>
        </w:sectPr>
      </w:pPr>
    </w:p>
    <w:p>
      <w:pPr>
        <w:spacing w:after="0" w:line="3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 RICHMOND SQUARE</w:t>
      </w:r>
    </w:p>
    <w:p>
      <w:pPr>
        <w:ind w:left="2640"/>
        <w:spacing w:after="0" w:line="238" w:lineRule="auto"/>
        <w:rPr>
          <w:sz w:val="20"/>
          <w:szCs w:val="20"/>
          <w:color w:val="auto"/>
        </w:rPr>
      </w:pPr>
      <w:r>
        <w:rPr>
          <w:rFonts w:ascii="Courier New" w:cs="Courier New" w:eastAsia="Courier New" w:hAnsi="Courier New"/>
          <w:sz w:val="18"/>
          <w:szCs w:val="18"/>
          <w:color w:val="auto"/>
        </w:rPr>
        <w:t>PROVIDENCE, RHODE ISLAND 02906</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272-3310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PAGE 1 OF 9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Index is on Page 5</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3141189.01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4"/>
          <w:szCs w:val="24"/>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CytoTherapeutics, Inc. ("CytoTherapeutics" or the "Company") announced the establishment of Modex Therapeutiques SA as a 50% owned, Swiss company to pursue extensions of CytoTherapeutics' broad-based, encapsulated-cell technology for applications outside the central nervous system. Modex, headquartered in Lausanne, Switzerland, will integrate technologies developed at three universities located in Lausanne -- the University of Lausanne, the Centre Hospitalier Universitaire Vaudois (CHUV), the Ecole Polytechnique Federale de Lausanne (EPFL) -- as well as from the Albert Einstein College of Medicine of Yeshiva University in New York City and CytoTherapeutics to develop products to treat diseases such as diabetes, obesity and blood disorders.</w:t>
      </w:r>
    </w:p>
    <w:p>
      <w:pPr>
        <w:sectPr>
          <w:pgSz w:w="11900" w:h="16838" w:orient="portrait"/>
          <w:cols w:equalWidth="0" w:num="1">
            <w:col w:w="10219"/>
          </w:cols>
          <w:pgMar w:left="240" w:top="250" w:right="1440" w:bottom="0" w:gutter="0" w:footer="0" w:header="0"/>
          <w:type w:val="continuous"/>
        </w:sectPr>
      </w:pPr>
    </w:p>
    <w:bookmarkStart w:id="1" w:name="page2"/>
    <w:bookmarkEnd w:id="1"/>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CytoTherapeutics has initially invested $2 million in Modex, with a commitment to invest an additional $2 million on the second anniversary of the agreement if Modex has, prior to that time, achieved one or more specified scientific milestones, in exchange for a 50% stake in Modex. An investment fund managed by Lombard Odier &amp; Cie, a Swiss private bank, has invested $2 million in Modex, with a commitment to invest an additional $1 million on the second anniversary of the agreement, in exchange for a 15% stake in the company.</w:t>
      </w:r>
    </w:p>
    <w:p>
      <w:pPr>
        <w:spacing w:after="0" w:line="18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CytoTherapeutics has granted to Modex an exclusive, royalty-bearing license to CytoTherapeutics' proprietary encapsulated-cell technology for three applications outside the central nervous system (diabetes, obesity and anemia). Modex granted to CTI an exclusive royalty-bearing license to any technology developed or obtained by Modex for application to diseases, conditions and disorders which affect the central nervous system. In addition to its royalty obligations, CTI is also obligated under this agreement to issue to Modex up to 300,000 shares of CTI Common Stock on the achievement by Modex of certain scientific milestones. Substantially all of these shares are expected to be awarded by Modex as incentive compensation to Modex's founding scientists and other researchers upon the achievement of such milestones.</w:t>
      </w:r>
    </w:p>
    <w:p>
      <w:pPr>
        <w:spacing w:after="0" w:line="216"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Under the terms of its agreement with the fund managed by Lombard Odier, during the first two years following closing, CytoTherapeutics has the right to acquire the fund's interest in Modex for approximately $3 million. Following this two year period, CytoTherapeutics has the right to purchase the fund's interest in Modex at 110% of fair market value. Following the second anniversary of the agreement and prior to the tenth anniversary of the agreement, if no public market exists for the Common Stock of Modex, the fund has the right to require CytoTherapeutics to purchase the fund's interest in Modex for 90% of the fair market value of such interest. Any purchase made by CytoTherapeutics under any of the circumstances described in this paragraph may be made, at CytoTherapeutics' option, in cash or shares of CytoTherapeutics Common Stock valued at the market price at the time of purchase.</w:t>
      </w:r>
    </w:p>
    <w:p>
      <w:pPr>
        <w:spacing w:after="0" w:line="39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scientific founders of Modex are Patrick Aebischer, M.D., Ph.D., Professor of Surgery and Director of Surgical Research and the Gene Therapy Center at the CHUV; Max Wilhelm, Ph.D., who will serve as Modex's Chief Executive Officer and was previously Director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of Pharmaceutical Research and Development at Ciba-Geigy Corporation where he was responsible for worldwide research and development operations; Bernard Thorens, Ph.D., Professor at the Institute of Pharmacology at the University of Lausanne, and Shimon Efrat, Ph.D., Associate Professor at the Department of Molecular Pharmacology at Albert Einstein College of Medicine at Yeshiva University. Dr. Aebischer is also a scientific founder of CytoTherapeutics and a member of its Board of Directors.</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Under the terms of the agreement between CytoTherapeutics and the scientific founders of Modex, CytoTherapeutics has the right to acquire, and the founders have the right to require CytoTherapeutics to acquire, the founders' initial equity interest in Modex in exchange for the issuance of an aggregate of approximately 92,000 shares of CytoTherapeutics Common Stock.</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Certain statements in this current report include forward looking comments regarding, among other things, product development programs, CytoTherapeutics' obligations under certain agreements and the Company's dependence on outside parties. The Company's actual results may vary materially from those forward looking statements due to risks and uncertainties to which the Company is subject. "Cautionary Factors Relevant to Forward Looking Statements" filed herewith as Exhibit 99 and incorporated herein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128" w:right="1440" w:bottom="1440" w:gutter="0" w:footer="0" w:header="0"/>
        </w:sectPr>
      </w:pPr>
    </w:p>
    <w:bookmarkStart w:id="3" w:name="page4"/>
    <w:bookmarkEnd w:id="3"/>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600"/>
        <w:spacing w:after="0"/>
        <w:tabs>
          <w:tab w:leader="none" w:pos="758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By /s/ Frederic A. Eustis</w:t>
      </w:r>
    </w:p>
    <w:p>
      <w:pPr>
        <w:jc w:val="right"/>
        <w:ind w:right="1999"/>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15, 1996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440"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2">
            <w:col w:w="6020" w:space="720"/>
            <w:col w:w="3479"/>
          </w:cols>
          <w:pgMar w:left="240" w:top="1128"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 Cautionary Factors Relevant to Forward Looking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ectPr>
          <w:pgSz w:w="11900" w:h="16838" w:orient="portrait"/>
          <w:cols w:equalWidth="0" w:num="2">
            <w:col w:w="6440" w:space="620"/>
            <w:col w:w="3159"/>
          </w:cols>
          <w:pgMar w:left="240" w:top="1128"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128" w:right="1440" w:bottom="144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7280"/>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Current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12"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0"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or be subject to significant competition from other products. There can be no assurance that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3141189.01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unto the patient in controlled doses for extended periods; and (v) are sufficiently durable for the intended indication.</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w:t>
      </w:r>
    </w:p>
    <w:p>
      <w:pPr>
        <w:sectPr>
          <w:pgSz w:w="11900" w:h="16838" w:orient="portrait"/>
          <w:cols w:equalWidth="0" w:num="1">
            <w:col w:w="10219"/>
          </w:cols>
          <w:pgMar w:left="240" w:top="541" w:right="1440" w:bottom="0" w:gutter="0" w:footer="0" w:header="0"/>
        </w:sectPr>
      </w:pPr>
    </w:p>
    <w:bookmarkStart w:id="7" w:name="page8"/>
    <w:bookmarkEnd w:id="7"/>
    <w:p>
      <w:pPr>
        <w:jc w:val="both"/>
        <w:ind w:right="1779"/>
        <w:spacing w:after="0" w:line="236" w:lineRule="auto"/>
        <w:rPr>
          <w:sz w:val="20"/>
          <w:szCs w:val="20"/>
          <w:color w:val="auto"/>
        </w:rPr>
      </w:pPr>
      <w:r>
        <w:rPr>
          <w:rFonts w:ascii="Courier New" w:cs="Courier New" w:eastAsia="Courier New" w:hAnsi="Courier New"/>
          <w:sz w:val="18"/>
          <w:szCs w:val="18"/>
          <w:color w:val="auto"/>
        </w:rPr>
        <w:t>terminate their agreement with the Company, the development or commercialization of the Company's product candidate or research program under such collaborative agreement may be adversely affected.</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THIRD PARTY PATENTS AND PROPRIETARY RIGHTS; NEED TO OBTAIN LICENSES</w:t>
      </w:r>
    </w:p>
    <w:p>
      <w:pPr>
        <w:spacing w:after="0" w:line="21" w:lineRule="exact"/>
        <w:rPr>
          <w:sz w:val="20"/>
          <w:szCs w:val="20"/>
          <w:color w:val="auto"/>
        </w:rPr>
      </w:pPr>
    </w:p>
    <w:p>
      <w:pPr>
        <w:ind w:right="1579" w:firstLine="8"/>
        <w:spacing w:after="0" w:line="238"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 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42" w:right="1440" w:bottom="1440" w:gutter="0" w:footer="0" w:header="0"/>
        </w:sectPr>
      </w:pPr>
    </w:p>
    <w:bookmarkStart w:id="8" w:name="page9"/>
    <w:bookmarkEnd w:id="8"/>
    <w:p>
      <w:pPr>
        <w:jc w:val="both"/>
        <w:ind w:right="1779"/>
        <w:spacing w:after="0" w:line="270" w:lineRule="auto"/>
        <w:rPr>
          <w:sz w:val="20"/>
          <w:szCs w:val="20"/>
          <w:color w:val="auto"/>
        </w:rPr>
      </w:pPr>
      <w:r>
        <w:rPr>
          <w:rFonts w:ascii="Courier New" w:cs="Courier New" w:eastAsia="Courier New" w:hAnsi="Courier New"/>
          <w:sz w:val="16"/>
          <w:szCs w:val="16"/>
          <w:color w:val="auto"/>
        </w:rPr>
        <w:t>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w:t>
      </w:r>
    </w:p>
    <w:p>
      <w:pPr>
        <w:spacing w:after="0" w:line="18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14"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1128" w:right="1440" w:bottom="1440" w:gutter="0" w:footer="0" w:header="0"/>
        </w:sectPr>
      </w:pPr>
    </w:p>
    <w:bookmarkStart w:id="9" w:name="page10"/>
    <w:bookmarkEnd w:id="9"/>
    <w:p>
      <w:pPr>
        <w:jc w:val="both"/>
        <w:ind w:right="1779"/>
        <w:spacing w:after="0" w:line="271"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3141189.01</w:t>
      </w:r>
    </w:p>
    <w:p>
      <w:pPr>
        <w:sectPr>
          <w:pgSz w:w="11900" w:h="16838" w:orient="portrait"/>
          <w:cols w:equalWidth="0" w:num="1">
            <w:col w:w="10219"/>
          </w:cols>
          <w:pgMar w:left="240" w:top="925"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2019-12-13T21:53:52Z</dcterms:created>
  <dcterms:modified xsi:type="dcterms:W3CDTF">2019-12-13T21:53:52Z</dcterms:modified>
</cp:coreProperties>
</file>