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37,270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Anniversary equity grant of 15,000 restricted units, vesting 100% on April 18,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15,000 restricted units, vesting 100% on April 18, 2013,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04/20/2012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2019-12-18T02:57:22Z</dcterms:created>
  <dcterms:modified xsi:type="dcterms:W3CDTF">2019-12-18T02:57:22Z</dcterms:modified>
</cp:coreProperties>
</file>