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9</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certain information reported by us with the Securities and Exchange Commission or otherwise publicly disclosed. Accordingly, we have included such information in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0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January 3, 2025, the closing price of our common stock was $2.14.</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by the Company, on June 10, 2021, the Company entered into an At-the-Market Offering Agreement, as amended on July 1, 2024 (the “ATM Agreement”) with H.C. Wainwright &amp; Co. LLC (“Wainwright”), as sales agent, in connection with an “at the market offering” under which the Company may offer and sell, from time to time in its sole discretion, shares of its common stock having an aggregate offering price of up to $4,819,905 at market prices or as otherwise agreed with Wainwright. The compensation to Wainwright for sales of the shares is a placement fee of 3.0% of the gross sales price of the shares of common stock sold pursuant to this ATM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the Company filed with the SEC a prospectus supplement relating to the offer, issuance and sale of up to $4,819,905 of the Company’s shares of common stock pursuant to the ATM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January 3, 2025, the Company issued and sold an aggregate of 4,276,486 shares of the Company’s common stock pursuant to the ATM Agreement, for total gross proceeds of $4,819,278 before deducting aggregate placement fees of $144,578 and other offering expenses. Accordingly, the Company is no longer selling any further shares of its common stock under the ATM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January 3, 2025, after taking into account the issuance of all of the shares sold under the ATM Agreement, the Company had 20,242,119 shares of its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Update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holds an intellectual property portfolio of 16 patents issued/allowed and 59 patent applications pending worldwide. The Company also holds 11 design patents issued/allowed and 3 design patents pending worldwide. It also has registered trademarks in Israel, Europe, UK and</w:t>
      </w:r>
    </w:p>
    <w:p>
      <w:pPr>
        <w:jc w:val="both"/>
        <w:spacing w:after="0" w:line="221" w:lineRule="auto"/>
        <w:rPr>
          <w:sz w:val="20"/>
          <w:szCs w:val="20"/>
          <w:color w:val="auto"/>
        </w:rPr>
      </w:pPr>
      <w:r>
        <w:rPr>
          <w:rFonts w:ascii="Times New Roman" w:cs="Times New Roman" w:eastAsia="Times New Roman" w:hAnsi="Times New Roman"/>
          <w:sz w:val="18"/>
          <w:szCs w:val="18"/>
          <w:color w:val="auto"/>
        </w:rPr>
        <w:t>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the U.S., Israel, Europe, and UK, in addition to having registered trademarks for the “One &amp; Done” wordmark in Israel, Europe, the U.S., UK, and Japan. The Company also has a registered trademark in the U.S. for the NovaCross trademark.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Million Registered Direct 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6, 2025, the Company announced that it has entered into definitive agreements for the purchase and sale of 4,000,002 shares of the Company’s common stock at a purchase price of $1.75 per share of common stock in a registered direct offering priced at-the-market under Nasdaq rules. In addition, in a concurrent private placement, the Company will issue unregistered short-term series G preferred investment options. The short-term series G preferred investment options to purchase up to 8,000,004 shares of common stock have an exercise price of $1.75 per share and are immediately exercisable following issuance for a period of two years thereafter. The closing of the registered direct offering and the concurrent private placement is expected to occur on or about January 7, 2025, subject to the satisfaction of customary closing conditions.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are expected to be approximately $7 million, before deducting the placement agent’s fees and other offering expenses payable by the Company. The Company intends to use the net proceeds from the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2025-01-06T16:31:48Z</dcterms:created>
  <dcterms:modified xsi:type="dcterms:W3CDTF">2025-01-06T16:31:48Z</dcterms:modified>
</cp:coreProperties>
</file>