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333-284688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29130" cy="745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9130" cy="745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15,966,530 Shares of Common Stock</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15,966,530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preferred investment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67.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February 11, 2025, the last reported closing price of our common stock on the Nasdaq Capital Market was $2.03.</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3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432"/>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you to carefully read this prospectus and any prospectus supplement, together with the information as described under the heading “Where You Can Find More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own or have rights to various U.S. federal trademark registrations and applications, and unregistered trademarks and servicemarks,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animal studies, clinical trials or procedures relating to product candidates under development or that we may develop could have a material adverse effect on our prospects.</w:t>
      </w:r>
    </w:p>
    <w:p>
      <w:pPr>
        <w:spacing w:after="0" w:line="165" w:lineRule="exact"/>
        <w:rPr>
          <w:rFonts w:ascii="Times New Roman" w:cs="Times New Roman" w:eastAsia="Times New Roman" w:hAnsi="Times New Roman"/>
          <w:sz w:val="18"/>
          <w:szCs w:val="18"/>
          <w:color w:val="auto"/>
        </w:rPr>
      </w:pPr>
    </w:p>
    <w:p>
      <w:pPr>
        <w:jc w:val="both"/>
        <w:ind w:left="340" w:hanging="332"/>
        <w:spacing w:after="0" w:line="186"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development and commercialization objectives in a timely manner or at all.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creates uncertainty for Microbot as well as the possibility of increased product development costs and time to market.</w:t>
      </w:r>
    </w:p>
    <w:p>
      <w:pPr>
        <w:spacing w:after="0" w:line="200" w:lineRule="exact"/>
        <w:rPr>
          <w:rFonts w:ascii="Times New Roman" w:cs="Times New Roman" w:eastAsia="Times New Roman" w:hAnsi="Times New Roman"/>
          <w:sz w:val="18"/>
          <w:szCs w:val="18"/>
          <w:color w:val="auto"/>
        </w:rPr>
      </w:pPr>
    </w:p>
    <w:p>
      <w:pPr>
        <w:jc w:val="both"/>
        <w:ind w:left="340" w:right="20" w:hanging="332"/>
        <w:spacing w:after="0" w:line="27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returned certain of its technology, originally acquired from CardioSert and part of its One &amp; Done® feature, as a result of the triggering of a buy-back clause, which may adversely affect our ability to develop and commercialize, or materially delay the development and commercialization of,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w:t>
      </w:r>
    </w:p>
    <w:p>
      <w:pPr>
        <w:spacing w:after="0" w:line="4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5" w:lineRule="exact"/>
        <w:rPr>
          <w:rFonts w:ascii="Times New Roman" w:cs="Times New Roman" w:eastAsia="Times New Roman" w:hAnsi="Times New Roman"/>
          <w:sz w:val="18"/>
          <w:szCs w:val="18"/>
          <w:color w:val="auto"/>
        </w:rPr>
      </w:pPr>
    </w:p>
    <w:p>
      <w:pPr>
        <w:jc w:val="both"/>
        <w:ind w:left="340" w:hanging="332"/>
        <w:spacing w:after="0" w:line="186"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5"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ind w:left="34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the standard of care.</w:t>
      </w:r>
    </w:p>
    <w:p>
      <w:pPr>
        <w:spacing w:after="0" w:line="198"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w:t>
      </w:r>
    </w:p>
    <w:p>
      <w:pPr>
        <w:spacing w:after="0" w:line="22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January 11, 2025, and we raised approximately $11.8 million in aggregate gross proceeds from such offerings, after deducting placement agent fees and expenses and related offering expenses. We also issued at closing to the placement agent or its designees, warrants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7, 2025, after taking into account the issuance of all of the shares sold under the ATM Agreement and all of the shares sold to the investors in the January 2025 Offerings (excluding shares underlying the series G preferred investment options), we had 24,242,120 shares of our common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a cease fire with Hamas was declared on January 15, 2025 and there is currently a ceasefire with Hezbollah in Lebanon.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the cease-fire with Hamas or Hezbollah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Endovascular Robotic Surgical System features a unique compact design with the capability to be operated remotely, reduce radiation exposure and physical strain to the physician, reduce the risk of cross contamination, as</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and is intended for the remote delivery and manipulation of guidewires and catheters, and remote manipulation of guide catheters to facilitate navigation to anatomical targets in the peripheral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Can be made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guidewire/microcatheter technologies, that combines guidewire and microcatheter into a single device.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the Company submitted an Investigational Device Exemption (IDE) application with the FDA, in order to commence its pivotal clinical trial in humans. On June 3, 2024, we announced that we received the FDA’s approval to proceed with our pivotal human clinical trial as part of our</w:t>
      </w:r>
    </w:p>
    <w:p>
      <w:pPr>
        <w:jc w:val="both"/>
        <w:spacing w:after="0" w:line="209" w:lineRule="auto"/>
        <w:rPr>
          <w:sz w:val="20"/>
          <w:szCs w:val="20"/>
          <w:color w:val="auto"/>
        </w:rPr>
      </w:pPr>
      <w:r>
        <w:rPr>
          <w:rFonts w:ascii="Times New Roman" w:cs="Times New Roman" w:eastAsia="Times New Roman" w:hAnsi="Times New Roman"/>
          <w:sz w:val="18"/>
          <w:szCs w:val="18"/>
          <w:color w:val="auto"/>
        </w:rPr>
        <w:t>IDE application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Brigham and Women’s Hospital, Boston, Massachusetts, Baptist Hospital of Miami, which includes Miami Cardiac &amp; Vascular Institute and Miami Cancer Institute, and Memorial Sloan Kettering Cancer Center, New</w:t>
      </w:r>
    </w:p>
    <w:p>
      <w:pPr>
        <w:spacing w:after="0" w:line="2"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York, have each enrolled in the clinical trial as part of the IDE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in October 2024, the Company has successfully completed enrollment and follow up for all patients in its human clinical trial.</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announced that is has successfully completed all biocompatibility tests, as required by its Investigational Device Exemption (IDE) application and received full approval for the IDE study from the FDA.</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21"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 See “Risk Factors-Risks Relating to the Development and Commercialization of Microbot’s Product Candidates” below.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288 Grove Street, Suite 388, Braintree, MA 02184.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15,966,530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to certain of the selling stockholders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to certain of the selling stockholders upon the exercise of outstanding preferred investment options expiring in January 2027,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to certain of the selling stockholders upon the exercise of outstanding series H preferred investment options expiring in January 2027, at an exercise price per share of $2.10;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to certain of the selling stockholders upon the exercise of outstanding preferred investment options expiring in January 2027, at an exercise price per share of $2.8375.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15,966,530 shares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34,744,476 shares</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50,711,006 shares</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February 11,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15,966,530 options held by the selling stockholders, the underlying shares of which are being registered pursuant to the registration statement of which this prospectus forms a part. Does not include the exercise of any other options or warrants that may be outstanding or issuable.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15,966,530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$30.9 million in gross proceeds if all of the 15,966,530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under the heading “Risk Factors” beginning on page 9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potentially conducts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applications and product candidates. This is the case even with the Company’s past suspension and termination of the research and development programs relating to</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SCS device,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 in which case it may be unable to meet its obligations or fully implement its business plan, if at all.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may continue to opportunistically strengthen its balance sheet by raising additional funds through equity offerings or otherwise in order to meet expected future liquidity needs, including the commercial 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animal studies, clinical trials or procedures relating to product candidates under development or that we may develop could have a material adverse effect on our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we may identify from time to time.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9"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 which we continue to seek;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previously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does not achieve one or more of these factors in a</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timely manner or at all, it could 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development and commercialization objectives in a timely manner or at all.</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These goals relate to technology and design improvements as well as to dates for</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achieving specific development, commercialization and results.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exhibits technical defects or are unable to meet cost or performance goals, Microbot’s commercialization schedule could be delayed and potential purchasers may decline to purchase such products or may opt to pursue alternative products, which would materially harm its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used in its 510(k) application. However, there is no guarantee that the FDA will agree with the Company’s determination or that the FDA would accept the predicate device that Microbot submitted in its 510(k). Furthermore, even though Microbot intends to commence its human trials based on protocols agreed to with the FDA as part of its IDE submission,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while we commence the approved human trials.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9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Microbot’s returned certain of its technology, originally acquired from CardioSert and part of its One &amp; Done</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feature, as a result of the triggering of a buy-back clause, which may adversely affect our ability to develop and commercialize, or materially delay the development and commercialization of, our One &amp; Done</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feature.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agreement with CardioSert we entered into in January 2018 to acquire its technology, we were required to meet certain commercialization deadlines or CardioSert may terminate the agreement and buy back the technology for $1.00.</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our failure to meet an applicable deadline, and as a result of our May 2023 core-business focus program and cost reduction plan which resulted in our terminating the January 2018 agreement with CardioSert effective as of August 17, 2023 and ceasing development and maintenance of the technology, CardioSert re-acquire the technology for nominal consideration. Such sale may materially adversely affect our ability to develop and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commercialize, or materially delay the development and commercialization of,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 as, if and when we restart that feature with our Nitiloop technology.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clinical-stage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and related conflicts,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87"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 the standard of care.</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surgeons of the product for its planned applications.</w:t>
      </w:r>
    </w:p>
    <w:p>
      <w:pPr>
        <w:spacing w:after="0" w:line="20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Clinical studies may not show an advantage in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5540" w:right="4420" w:hanging="5208"/>
        <w:spacing w:after="0" w:line="532" w:lineRule="auto"/>
        <w:tabs>
          <w:tab w:leader="none" w:pos="6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person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w:t>
      </w:r>
    </w:p>
    <w:p>
      <w:pPr>
        <w:jc w:val="both"/>
        <w:spacing w:after="0" w:line="236" w:lineRule="auto"/>
        <w:rPr>
          <w:sz w:val="20"/>
          <w:szCs w:val="20"/>
          <w:color w:val="auto"/>
        </w:rPr>
      </w:pPr>
      <w:r>
        <w:rPr>
          <w:rFonts w:ascii="Times New Roman" w:cs="Times New Roman" w:eastAsia="Times New Roman" w:hAnsi="Times New Roman"/>
          <w:sz w:val="18"/>
          <w:szCs w:val="18"/>
          <w:color w:val="auto"/>
        </w:rPr>
        <w:t>licensed patents that relate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Risks Relating to Operations in Israel </w:t>
      </w: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Israeli military operation at first in Gaza and then in Lebanon. These include security and economic risks, risks relating to our ability to sell or buy internationally, risk of economic instability, risk of exchange rate fluctuation negatively affecting operating costs, and the risk of employees leaving to perform military service.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a cease fire with Hamas was declared on January 15, 2025 and there is currently a ceasefire with Hezbollah in Lebanon.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right="1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collapse of the cease-fire with Hamas or Hezbollah or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$1.9 million through September 30, 2024. During 2023 through September 30, 2024, total grants approved from the Israeli Innovation Authority was in the amount of approximately NIS 1.6 million,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Furthermore the Company received approval for a grant from the Ministry of Economy of the State of Israel in the amount of approximately NIS 300,000, to further finance the marketing activities of the LIBERTY</w:t>
      </w:r>
      <w:r>
        <w:rPr>
          <w:rFonts w:ascii="Times New Roman" w:cs="Times New Roman" w:eastAsia="Times New Roman" w:hAnsi="Times New Roman"/>
          <w:sz w:val="29"/>
          <w:szCs w:val="29"/>
          <w:color w:val="auto"/>
          <w:strike w:val="1"/>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our 2022 agreement with Nitiloop, we took over the liability to repay Nitiloop’s IIA grants in the amount of approximately $925,000.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products that it may from time to time seek to develop or commercialize in the future.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and 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15,966,530 shares of common stock issuable upon the exercise of outstanding options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$30.9 million in gross proceeds if all of the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 Prior to that, our common stock was traded under the symbol “STEM.”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11, 2025, there were approximately 117 holders of record of our common stock, and the closing price of our common stock as reported on the NASDAQ Capital Market was $2.03.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audited and unaudited financial statements and related notes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clinical-stage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insurance expenses, net of insurance loss recoveries.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Three and </w:t>
      </w:r>
      <w:r>
        <w:rPr>
          <w:rFonts w:ascii="Times New Roman" w:cs="Times New Roman" w:eastAsia="Times New Roman" w:hAnsi="Times New Roman"/>
          <w:sz w:val="18"/>
          <w:szCs w:val="18"/>
          <w:b w:val="1"/>
          <w:bCs w:val="1"/>
          <w:color w:val="auto"/>
        </w:rPr>
        <w:t>Nine</w:t>
      </w:r>
      <w:r>
        <w:rPr>
          <w:rFonts w:ascii="Times New Roman" w:cs="Times New Roman" w:eastAsia="Times New Roman" w:hAnsi="Times New Roman"/>
          <w:sz w:val="18"/>
          <w:szCs w:val="18"/>
          <w:b w:val="1"/>
          <w:bCs w:val="1"/>
          <w:i w:val="1"/>
          <w:iCs w:val="1"/>
          <w:color w:val="auto"/>
        </w:rPr>
        <w:t xml:space="preserve"> Months Ended September 30, 2024 and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and nine month periods ended September 30,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Change</w:t>
            </w:r>
          </w:p>
        </w:tc>
      </w:tr>
      <w:tr>
        <w:trPr>
          <w:trHeight w:val="210"/>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4,646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4,594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3,549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September 30, 2024 compared to the three months ended September 30, 2023 was primarily due to an increase in clinical study expenses, regulation consultations and payroll expenses, offset by deduction of government grants and a decrease in animal study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for the nine months ended September 30, 2024 compared to the nine months ended September 30, 2023 was primarily due to the increases in payroll expenses due to the cease of cost reduction plan which was implemented in 2023, an increase in clinical study expenses and increase in regulation expenses, offset by a decrease in stock based compensation expenses, a decrease in animal study expenses and a decrease due to deduction of government grants.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 net</w:t>
      </w:r>
      <w:r>
        <w:rPr>
          <w:rFonts w:ascii="Times New Roman" w:cs="Times New Roman" w:eastAsia="Times New Roman" w:hAnsi="Times New Roman"/>
          <w:sz w:val="18"/>
          <w:szCs w:val="18"/>
          <w:color w:val="auto"/>
        </w:rPr>
        <w:t>. The increase in general and administrative expenses for the three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months ended September 30, 2023 was primarily due to an increase in payroll expenses due to the cease of cost reduction plan which was implemented in 2023, offset by a decrease in legal expenses.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nine months ended September 30, 2024 compared to the nine-month period ended September 30, 2023 was primarily due to an increase in payroll expenses due to the cease of cost reduction plan which was implemented in 2023 as well as increase in stock based compensation expenses, offset by a decrease in travel expenses and legal expenses.</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Financing Income, net</w:t>
      </w:r>
      <w:r>
        <w:rPr>
          <w:rFonts w:ascii="Times New Roman" w:cs="Times New Roman" w:eastAsia="Times New Roman" w:hAnsi="Times New Roman"/>
          <w:sz w:val="18"/>
          <w:szCs w:val="18"/>
          <w:color w:val="auto"/>
        </w:rPr>
        <w:t>. The decrease in financing income, net for the three and nine months ended September 30, 2024 compared to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was primarily due to expenses incurred from changes in exchange rates, partially offset by an increase in interest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2023 and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2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(4,131)</w:t>
            </w:r>
          </w:p>
        </w:tc>
        <w:tc>
          <w:tcPr>
            <w:tcW w:w="3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(5,545)</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228</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net. </w:t>
      </w:r>
      <w:r>
        <w:rPr>
          <w:rFonts w:ascii="Times New Roman" w:cs="Times New Roman" w:eastAsia="Times New Roman" w:hAnsi="Times New Roman"/>
          <w:sz w:val="18"/>
          <w:szCs w:val="18"/>
          <w:color w:val="auto"/>
        </w:rPr>
        <w:t>The decrease in research and development expenses of approximately $2.0 million in 2023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the Company’s cost reduction plan, which commenced in the second quarter of 2023. The cost reduction plan involved cutting expenses by, among other things, implementing employee terminations, reducing management salaries, eliminating bonus accruals and pausing independent directors’ payments. The Company also reduced costs by decreasing expenses related to subcontractors, advisory board members and patents. Additionally, in comparison to the same period in 2022, the Company incurred expenses in 2022 due to the development of the SCS technology, whereas in 2023, lower expenses were recorded for that project as it was suspended in October 2022 and later terminated. In 2023, government grants were deducted from research and development expenses as the applicable costs are incurred.</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net. The decrease in general and administrative expenses of approximately $1.4 million in 2023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was primarily due to a decrease in the Company’s directors and officers insurance premiums in 2023, combined with execution of the cost reduction plan as described above. Additionally, for the year ended 2023, the Company recorded lower share-based compensation expenses compared to the comparable period in 2022, due to older options becoming fully vested. In 2023, insurance loss recoveries reduced the Company’s general and administrative expenses.</w:t>
      </w:r>
    </w:p>
    <w:p>
      <w:pPr>
        <w:spacing w:after="0" w:line="3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Income, net. </w:t>
      </w:r>
      <w:r>
        <w:rPr>
          <w:rFonts w:ascii="Times New Roman" w:cs="Times New Roman" w:eastAsia="Times New Roman" w:hAnsi="Times New Roman"/>
          <w:sz w:val="18"/>
          <w:szCs w:val="18"/>
          <w:color w:val="auto"/>
        </w:rPr>
        <w:t>Financing income for the year ended December 31, 2023 included income from interest, net, totaling $283,000 and was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exchange rate losses of $55,000, compared to 2022, which consisted of income from interest, net, totaling $54,000, combined with exchange rate gains of $64,000.</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legal settlement, net. </w:t>
      </w:r>
      <w:r>
        <w:rPr>
          <w:rFonts w:ascii="Times New Roman" w:cs="Times New Roman" w:eastAsia="Times New Roman" w:hAnsi="Times New Roman"/>
          <w:sz w:val="18"/>
          <w:szCs w:val="18"/>
          <w:color w:val="auto"/>
        </w:rPr>
        <w:t>Loss on legal settlement, net for the year ended December 31, 2023 is related to the January 2024 issuance of 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settle the Lawsuit pursuant to the Settlement Agreement. See “Part I-Recent Developments-Settlement of Lawsuit.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September 30, 2024, Microbot had a net working capital of approximately $3.6 million, consisting primarily of cash and cash equivalents and marketable securities. This compares to net working capital of approximately $4.1 million as of December 31, 2023. This does not include or take into account any of the approximately $32.4 million we raised subsequent to September 30, 2024, discussed further below. Microbot anticipates that it will continue to incur net losses for the foreseeable future as it continues research and development efforts and ramps up commercialization of its primary product candidate and continues to incur costs associated with being a public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February 11, 2025, Microbot has raised cash proceeds of approximately $106.4 million. Since inception (November 2010) through September 30, 2024, Microbot incurred a total cumulative loss of approximately $87.5 million.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September 30, 2024 in the total amount of approximately $1.9 million. This amount includes amounts received of approximately $378,000, which are a portion of an additional grant from the IIA in the amount of approximately NIS 1.6 million (approximately $447,000) approved by the IIA on June 1, 2023,</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as well as to assume CardioSert’s grants from the IIA</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aggregate amount of approximately $530,000. During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quarter of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 Endovascular Robotic Surgical System in the U.S. market. In relation to the Ministry of Economy grant, the Company is obligated to pay royalties amounting to 3% of future sales of the LIBERTY® Endovascular Robotic Surgical System up to the grant amount plus interest.</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through February 11, 2025, we have raised the following amounts:</w:t>
      </w:r>
    </w:p>
    <w:p>
      <w:pPr>
        <w:spacing w:after="0" w:line="201" w:lineRule="exact"/>
        <w:rPr>
          <w:sz w:val="20"/>
          <w:szCs w:val="20"/>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and June 2023, Microbot raised aggregate gross proceeds of approximately $7.6 million, before fees and expenses of approximately $1.1 million, from investors;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$5.08 million in gross proceeds, before fees and expenses of approximately $661,000, from financing activities through June 30,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$4.8 million in gross proceeds, before fees and expenses of $167,292, through our ATM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Microbot raised aggregate gross proceeds of approximately $15.6 million, before fees and expenses of approximately $1.4 million, from investors;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Microbot raised approximately 915,000 in gross proceeds from the exercise of outstanding preferred investment options;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Microbot raised aggregate gross proceeds of approximately $13.0 million, before fees and expenses of approximately $1.2 million, from investors.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spacing w:after="0" w:line="262" w:lineRule="auto"/>
        <w:rPr>
          <w:sz w:val="20"/>
          <w:szCs w:val="20"/>
          <w:color w:val="auto"/>
        </w:rPr>
      </w:pPr>
      <w:r>
        <w:rPr>
          <w:rFonts w:ascii="Times New Roman" w:cs="Times New Roman" w:eastAsia="Times New Roman" w:hAnsi="Times New Roman"/>
          <w:sz w:val="18"/>
          <w:szCs w:val="18"/>
          <w:color w:val="auto"/>
        </w:rPr>
        <w:t>To the extent available, Microbot may continue to raise capital through future public and private issuances of debt and/or equity securities, to fund its commercial activities and working capital and general business purposes.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and will need additional funds to continue the commercialization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prospectus, management believes we have sufficient funds for our operations for in excess of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nine-month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(984)</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5,104</w:t>
            </w: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460" w:type="dxa"/>
            <w:vAlign w:val="bottom"/>
          </w:tcPr>
          <w:p>
            <w:pPr>
              <w:spacing w:after="0"/>
              <w:rPr>
                <w:sz w:val="19"/>
                <w:szCs w:val="19"/>
                <w:color w:val="auto"/>
              </w:rPr>
            </w:pPr>
          </w:p>
        </w:tc>
        <w:tc>
          <w:tcPr>
            <w:tcW w:w="130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300" w:type="dxa"/>
            <w:vAlign w:val="bottom"/>
            <w:tcBorders>
              <w:top w:val="single" w:sz="8" w:color="auto"/>
            </w:tcBorders>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flows used in operating activities for the nine months ended September 30, 2024 compared to 2023 was primarily due to ceasing our cost reduction plan which was implemented in 2023, which led to an increase in the net loss in the nine months ended September 30, 2024 as costs again increased.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cash flows provided by (used in) investing activities for the nine months ended September 30, 2024 compared to 2023 was mainly due to the timing of purchases, sales and maturities of our marketable securities portfolio.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cash flows provided by financing activities for the nine months ended September 30, 2024 compared to 2023 was due to a decrease in net proceeds received from fundraising activities from 2023 to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1,973</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(3,836)</w:t>
            </w: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shd w:val="clear" w:color="auto" w:fill="CCEEFF"/>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20" w:type="dxa"/>
            <w:vAlign w:val="bottom"/>
          </w:tcPr>
          <w:p>
            <w:pPr>
              <w:spacing w:after="0"/>
              <w:rPr>
                <w:sz w:val="19"/>
                <w:szCs w:val="19"/>
                <w:color w:val="auto"/>
              </w:rPr>
            </w:pPr>
          </w:p>
        </w:tc>
        <w:tc>
          <w:tcPr>
            <w:tcW w:w="130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260" w:type="dxa"/>
            <w:vAlign w:val="bottom"/>
            <w:tcBorders>
              <w:top w:val="single" w:sz="8" w:color="auto"/>
            </w:tcBorders>
          </w:tcPr>
          <w:p>
            <w:pPr>
              <w:jc w:val="right"/>
              <w:ind w:right="10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decrease in 2023 of cash flows used in operating activities compared to 2022 was primarily from a decrease in research and development expenses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2023 as a result of the Company’s May 2023 cost reduction plan and core-business focus program.</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investing activities increased in 2023 compared to 2022 by approximately $5.8 million, primarily from the net purchases of marketable securities in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increased in 2023 by approximately $2.2 million due to increased issuances of common stock and warrants in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September 30,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potentially reducing the exposure to Hospital Acquired Infections (HAI).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3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“-Recent Developments-FDA Approval to Proceed with Pivotal Human Clinical Trial” above.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 However, we can give no assurance that we will meet this projected milestone, if ever. See “Risk Factors-Risks Relating to the Development and Commercialization of Microbot’s Product Candidates”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Minimally Invasive Robot-Assisted Endovascular Interventions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Microbot believes that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coupled with its own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other off-the-shelf products, it is well-positioned to deliver a value-added endovascular robotic system, with a focus on improving the ease and access and enhancing the safety of endovascular interventions.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goal is to generate sales of its products, once they have received regulatory approval, by establishing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94" w:lineRule="exact"/>
        <w:rPr>
          <w:sz w:val="20"/>
          <w:szCs w:val="20"/>
          <w:color w:val="auto"/>
        </w:rPr>
      </w:pPr>
    </w:p>
    <w:p>
      <w:pPr>
        <w:jc w:val="both"/>
        <w:ind w:left="660" w:hanging="328"/>
        <w:spacing w:after="0" w:line="259"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refine existing product candidates and develop additional surgical robotic solutions</w:t>
      </w:r>
      <w:r>
        <w:rPr>
          <w:rFonts w:ascii="Times New Roman" w:cs="Times New Roman" w:eastAsia="Times New Roman" w:hAnsi="Times New Roman"/>
          <w:sz w:val="18"/>
          <w:szCs w:val="18"/>
          <w:color w:val="auto"/>
        </w:rPr>
        <w:t>. As Microbot prepares to bring its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Establish and leverage relationships with key institutions and leading clinicians</w:t>
      </w:r>
      <w:r>
        <w:rPr>
          <w:rFonts w:ascii="Times New Roman" w:cs="Times New Roman" w:eastAsia="Times New Roman" w:hAnsi="Times New Roman"/>
          <w:sz w:val="18"/>
          <w:szCs w:val="18"/>
          <w:color w:val="auto"/>
        </w:rPr>
        <w:t>. Microbot’s objective will be to maintain clinical focus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hospitals and clinics so as to establish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Continuously invest in research and development</w:t>
      </w:r>
      <w:r>
        <w:rPr>
          <w:rFonts w:ascii="Times New Roman" w:cs="Times New Roman" w:eastAsia="Times New Roman" w:hAnsi="Times New Roman"/>
          <w:sz w:val="18"/>
          <w:szCs w:val="18"/>
          <w:color w:val="auto"/>
        </w:rPr>
        <w:t>. Microbot’s most significant expense has historically been research and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Explore partnerships for the introduction of Microbot’s products</w:t>
      </w:r>
      <w:r>
        <w:rPr>
          <w:rFonts w:ascii="Times New Roman" w:cs="Times New Roman" w:eastAsia="Times New Roman" w:hAnsi="Times New Roman"/>
          <w:sz w:val="18"/>
          <w:szCs w:val="18"/>
          <w:color w:val="auto"/>
        </w:rPr>
        <w:t>. In parallel to its efforts to establish direct sales and marketing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additional IP and technologies to complement and strengthen Microbot’s current IP portfolio</w:t>
      </w:r>
      <w:r>
        <w:rPr>
          <w:rFonts w:ascii="Times New Roman" w:cs="Times New Roman" w:eastAsia="Times New Roman" w:hAnsi="Times New Roman"/>
          <w:sz w:val="18"/>
          <w:szCs w:val="18"/>
          <w:color w:val="auto"/>
        </w:rPr>
        <w:t>. Microbot intends to continue exploring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technologies, IP and know-how to add to its current portfolio through licensing, mergers and/or acquisitions and to allow Microbot to enter new spaces and strengthen its overall product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Competitive Landscape</w:t>
      </w:r>
    </w:p>
    <w:p>
      <w:pPr>
        <w:spacing w:after="0" w:line="1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NMPA, South Africa for PCI only), and we believe there are many other competitors in the endovascular robotics space. We believe these systems of our competitors that we have identified have drawbacks, such as limited maneuverability, the requirement to exchange and use multiple expensive surgical tools, being cumbersome to set-up and operate, and/or requiring significant upfront capital expenditures. We also expect that we could be competing with other technologies that are in different stages of development, including preclinical, clinical and without CE/FDA approvals, such as LN Robotics (approved in Korea for coronary interventions) Nanoflex Robotics, UAB Inovatyvi medicina and Endoways, of which additional competitive data will be required to better determine their respective positioning in the competitive landscape.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core technology is co-owned by Microbot and The Technion Research and Development Foundation Ltd., or TRDF. The NovaCross®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16 patents issued/allowed and 59 patent applications pending worldwide. Microbot also holds 11 design patents issued/allowed and 3 design patents pending worldwide. It also has registered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the U.S., Israel, Europe, and UK, in addition to having registered trademarks for the “One &amp; Done” wordmark in Israel, Europe, the U.S., UK, and Japan. Microbot also has a registered trademark in the U.S. for the NovaCross trademark.</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19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September 30, 2024 totaling approximately $1.9 million. This includes amounts received of approximately $378,000, which is a portion of an additional grant from the IIA in the amount of approximately NIS 1,620,000 (approximately $447,000)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$83,000),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received approximately $50,000 of such amount.</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years ended December 31, 2023 and 2022, respectively, Microbot incurred research and development expenses of approximately $5,724,000 and $7,736,000. For the three and nine months ended September 30, 2024, respectively, Microbot incurred research and development expenses of approximately $2,060,000 and $4,646,000.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 has recently commenced the establishment of a sales, marketing and product distribution infrastructure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while it awaits potential FDA approval of its 510(k) application.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U.S. Regulation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25"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of the IDE process. </w:t>
      </w:r>
      <w:r>
        <w:rPr>
          <w:rFonts w:ascii="Times New Roman" w:cs="Times New Roman" w:eastAsia="Times New Roman" w:hAnsi="Times New Roman"/>
          <w:sz w:val="18"/>
          <w:szCs w:val="18"/>
          <w:color w:val="auto"/>
        </w:rPr>
        <w:t>The IDE will become effective 30 days after receipt by the FDA, unless the FDA otherwise informs the sponsor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See “-Recent Developments-FDA Approval to Proceed with Pivotal Human Clinical Trial”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510(k) clearance typically involves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The primary regulatory body in Europe is the European Union, or E.U., which consists of 27 member states and has a coordinated system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medical devices.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firstLine="656"/>
        <w:spacing w:after="0" w:line="282" w:lineRule="auto"/>
        <w:tabs>
          <w:tab w:leader="none" w:pos="8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Class IIb, or Class III.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ind w:right="20" w:firstLine="656"/>
        <w:spacing w:after="0" w:line="282" w:lineRule="auto"/>
        <w:tabs>
          <w:tab w:leader="none" w:pos="8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Israel</w:t>
      </w:r>
      <w:r>
        <w:rPr>
          <w:rFonts w:ascii="Times New Roman" w:cs="Times New Roman" w:eastAsia="Times New Roman" w:hAnsi="Times New Roman"/>
          <w:sz w:val="18"/>
          <w:szCs w:val="18"/>
          <w:color w:val="auto"/>
        </w:rPr>
        <w:t>. Israel’s Medical Devices Law generally requires the registration of all medical products with the Ministry of Health, or MOH, Registrar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manufacturer, and of the importer as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3.H. Mona Litigation:” to the quarterly financial statements for the quarter ended September 30, 2024, included elsewhere in this prospectus.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11, 2025, we have 20 full time employees.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5 other full-time employees, are based in the United States. Additionally, Microbot has 15 full-time employees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year, we have increased the total number of women in management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February 11,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1"/>
                <w:szCs w:val="21"/>
                <w:color w:val="auto"/>
              </w:rPr>
            </w:pPr>
          </w:p>
        </w:tc>
        <w:tc>
          <w:tcPr>
            <w:tcW w:w="628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3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7"/>
                <w:szCs w:val="17"/>
                <w:color w:val="auto"/>
              </w:rPr>
            </w:pPr>
          </w:p>
        </w:tc>
        <w:tc>
          <w:tcPr>
            <w:tcW w:w="6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 (1)(3)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2027):</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David J. Wilson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Mr. Gadot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From June 2024 to December 2024, Mr. Wenderow served as interim CEO of Sensory Cloud Inc., a health technology company pioneering treatments for respiratory human illnesses of the airway lining.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David J. Wilson</w:t>
      </w:r>
      <w:r>
        <w:rPr>
          <w:rFonts w:ascii="Times New Roman" w:cs="Times New Roman" w:eastAsia="Times New Roman" w:hAnsi="Times New Roman"/>
          <w:sz w:val="18"/>
          <w:szCs w:val="18"/>
          <w:color w:val="auto"/>
        </w:rPr>
        <w:t>, was elected at our December 17, 2024 Annual Meeting of Stockholders as a Class III director for a three-year term, was subsequently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by the Board of Directors of the Company to serve as a member of the Company’s Audit Committee and Compensation Committee. Since March 2022, Mr. Wilson has been the Chief Executive Officer and a director of InnovHeart Corporation, a private company developing transcatheter mitral valve replacement systems to treat patients suffering from mitral valve disease. From September 2017 to October 2021, he was the President of Global Plasma at Haemonetics Corporation where he led the global commercialization of a next generation plasma collection system. He dedicated two decades in roles of increasing responsibility with various Johnson and Johnson (J&amp;J) companies, including as the Worldwide President of Cordis. In this role, he led the global integration of Cordis into Cardinal Health and rejuvenated the product portfolio through business development deals. Mr. Wilson held other leadership roles at J&amp;J companies, namely President of Mentor, Vice President of Ethicon R&amp;D and Vice President of Ethicon Biosurgicals. Earlier in his tenure with J&amp;J, he attained senior leadership roles at Cordis Endovascular as Vice President of R&amp;D and Regional Director of Sales. He is the holder of 10 medical device patents and has served as a Board member of several educational and healthcare institutions in the US. His education includes a Bachelor of Mechanical Engineering from Auburn University, a Master of Science in Biomedical Engineering from the University of Alabama at Birmingham and a Master of Business Administration from Columbia University. The Company believes that Mr. Wilson is qualified to serve as a member of the Board due to his experience as a healthcare and medical device executive, including extensive experience in general management, research and development, marketing, sales and supply chain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members of our Board are Messrs. Burell, Madden, Laxminarain, Wenderow and Wilson, and Ms. Stockburger.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Wilson.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Stockburger and Wilson. Each of the members of the Compensation Committee is independent. The Compensation Committee acts pursuant to a written charter which is available through our website at www.microbotmedical.com.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members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as of February 11, 2025. All company officers have been appointed to serve until their successors are elected and qualified or until their earlier resignation or removal. Information regarding Harel Gadot, our Chairman, President and Chief Executive Officer, is set forth above under “Board of Directors and Management-Director Biographies”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628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3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Harel Gadot</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6"/>
                <w:szCs w:val="16"/>
                <w:color w:val="auto"/>
              </w:rPr>
            </w:pPr>
          </w:p>
        </w:tc>
        <w:tc>
          <w:tcPr>
            <w:tcW w:w="6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2024, all Section 16(a) filing requirements applicable to our officers, directors and greater than 10% beneficial owners have been met, other than a Form 3 for Mr. Wilson, which was not timely filed.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Compensation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300" w:type="dxa"/>
            <w:vAlign w:val="bottom"/>
          </w:tcPr>
          <w:p>
            <w:pPr>
              <w:spacing w:after="0"/>
              <w:rPr>
                <w:sz w:val="20"/>
                <w:szCs w:val="20"/>
                <w:color w:val="auto"/>
              </w:rPr>
            </w:pP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09"/>
        </w:trPr>
        <w:tc>
          <w:tcPr>
            <w:tcW w:w="2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520,249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149,189(5)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501,304(9)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1,228,642</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470,302</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241,455</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84,754(4)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114,425(9)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89,435(6)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530,069</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88,418</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Juan Diaz-Cartelle</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350,000</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15,246(9)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365,246</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(7)</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14,808</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15,528</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162,793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40,816(4)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101,182(9)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53,694(8)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358,485</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76,533</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45,743(8)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4"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 For the 2023 fiscal year, Mr. Gadot received in 2024 $149,188.50 of a possible maximum of $298,377, and a bonus in the form of 79,567 stock options.</w:t>
      </w: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Diaz-Cartelle commenced employment on December 1, 2023.</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ind w:left="340" w:hanging="332"/>
        <w:spacing w:after="0" w:line="26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value of certain performance-based options granted to the executive in 2024 which until February 5, 2025 remained subject to confirmation of performance vesting by the Company’s Compensation Committee.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or Payout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Unearned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Unearned</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Units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8"/>
        </w:trPr>
        <w:tc>
          <w:tcPr>
            <w:tcW w:w="26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20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10"/>
        </w:trPr>
        <w:tc>
          <w:tcPr>
            <w:tcW w:w="2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77,846</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120,847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166,666</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23,125</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13,125</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07/18/2032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1.29</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01/12/2033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02/22/2034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02/26/2034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2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For the fiscal year ending December 31, 2025, Mr. Gadot’s annual salary is $556,972.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which maximum amount of $397,837 was paid in 2025 for the 2024 fiscal year. For the 2023 fiscal year, Mr. Gadot received in 2024 $149,188.50 of a possible maximum of $298,377, and a bonus in the form of 79,567 stock options. In January 2025, the Compensation Committee authorized the payment to Mr. Gadot of a special bonus in the amount of approximately $150,000.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2024, the Company granted Mr. Gadot an aggregate of 240,000 options (exclusive of the bonus options described above), of which 80,000 were performance-based options and of which 12,000 vested in accordance with their terms as of February 5,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dated November 22, 2021, amended as of May 15, 2023 and February 5, 2025 (as amended, the “Vaknin Agreement”),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For the fiscal year ending December 31, 2025, Ms. Vaknin’s annual salary is 720,000 NIS.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2024 fiscal year, Ms. Vaknin received a cash bonus of 210,000 NIS (approximately $58,000).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2024, the Company granted Ms. Vaknin an aggregate of 52,500 options, of which 17,500 were performance-based options and of which 4,375 vested in accordance with their terms as of February 5,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further amended as of May 15, 2023 and on February 5, 2025 (as so amended, the “Sharon Agreement”),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Sharon Agreement, for the fiscal year ending December 31, 2025, Mr. Sharon’s annual salary is 960,000 NIS.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Sharon shall also be entitled to receive a target annual cash bonus, based on certain milestones, of up to a maximum amount of 35% of him annual salary. For the 2024 fiscal year, Mr. Sharon received a cash bonus of approximately $85,000.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2024, the Company granted Mr. Sharon an aggregate of 52,500 options, of which 17,500 were performance-based options and of which 8,750 vested in accordance with their terms as of February 5,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effective as of December 1, 2023 and as amended on February 5, 2025 (as so amended, the “Diaz-Cartelle Agreement”), with Dr. Diaz-Cartelle, to serve as Chief Medical Officer on an indefinite basis subject to the termination provisions described in the Diaz-Cartelle Agreement. Pursuant to the terms of the Agreement, Dr. Diaz-Cartelle shall receive an annual base salary, which shall be reviewed on an annual basis by the Company’s Compensation Committee, which may provide for increases as it may determine, taking into account such performance metrics and criteria of Dr. Diaz-Cartelle and the Company in its sole discretion. Pursuant to the terms of the Diaz-Cartelle Agreement, for the fiscal year ending December 31, 2025, Dr. Diaz-Cartelle’s annual salary is $367,500.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 provided that he is employed by the Company as of December 31st of the year to which the Target Bonus relates in order to receive the Target Bonus. For the 2024 fiscal year, Dr. Diaz-Cartelle’s received a cash bonus of approximately $105,000.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 of which 17,500 were performance-based options and of which 10,500 vested in accordance with their terms as of February 5,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Company had recently amended the director’s compensation package to remove the requirement that the option grants be based on a specific dollar value of $95,000 (or $190,000 for new directors) as a result of the decrease in value of the Company’s stock price and the corresponding increase in the number of options the directors would have each received. Instead, the number of options shall be determined by the Compensation Committee or the Board based on, among other factors, a market competitive percentage of the Corporation’s issued and outstanding shares of common stock from time to time. For the 2024 fiscal year, in January 2025 the independent members of the Board were each granted 10,000 options with Mr. Wilson, as a newly elected director, being granted an additional 10,000 options. Additionally, as a result of the Company’s May 2023 cost reduction plan, the independent members of the Board agreed to a suspension of their quarterly director fees, with reinstatement of such fees effective as of January 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 (2)</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$ 39,375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106,266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$ 33,750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100,641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$ 31,875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Wilson (3)</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5"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Bornstein’s term as a director expired in December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Wilson’s term as a director commenced in December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2024.</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38"/>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623"/>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467,133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156,585</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1,978,435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642,217</w:t>
            </w:r>
          </w:p>
        </w:tc>
      </w:tr>
      <w:tr>
        <w:trPr>
          <w:trHeight w:val="41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2,584,991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798,802</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-1156335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-873760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-599440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-325120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4" w:right="339" w:bottom="1440" w:gutter="0" w:footer="0" w:header="0"/>
          <w:type w:val="continuous"/>
        </w:sectPr>
      </w:pPr>
    </w:p>
    <w:p>
      <w:pPr>
        <w:spacing w:after="0" w:line="25" w:lineRule="exact"/>
        <w:rPr>
          <w:sz w:val="20"/>
          <w:szCs w:val="20"/>
          <w:color w:val="auto"/>
        </w:rPr>
      </w:pPr>
    </w:p>
    <w:p>
      <w:pPr>
        <w:jc w:val="both"/>
        <w:ind w:left="220" w:hanging="215"/>
        <w:spacing w:after="0" w:line="257" w:lineRule="auto"/>
        <w:rPr>
          <w:sz w:val="20"/>
          <w:szCs w:val="20"/>
          <w:color w:val="auto"/>
        </w:rPr>
      </w:pPr>
      <w:r>
        <w:rPr>
          <w:rFonts w:ascii="Times New Roman" w:cs="Times New Roman" w:eastAsia="Times New Roman" w:hAnsi="Times New Roman"/>
          <w:sz w:val="18"/>
          <w:szCs w:val="18"/>
          <w:color w:val="auto"/>
        </w:rPr>
        <w:t>(1)Such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sz w:val="20"/>
          <w:szCs w:val="20"/>
          <w:color w:val="auto"/>
        </w:rPr>
      </w:pPr>
    </w:p>
    <w:p>
      <w:pPr>
        <w:jc w:val="both"/>
        <w:ind w:left="220" w:hanging="215"/>
        <w:spacing w:after="0" w:line="253" w:lineRule="auto"/>
        <w:rPr>
          <w:sz w:val="20"/>
          <w:szCs w:val="20"/>
          <w:color w:val="auto"/>
        </w:rPr>
      </w:pPr>
      <w:r>
        <w:rPr>
          <w:rFonts w:ascii="Times New Roman" w:cs="Times New Roman" w:eastAsia="Times New Roman" w:hAnsi="Times New Roman"/>
          <w:sz w:val="18"/>
          <w:szCs w:val="18"/>
          <w:color w:val="auto"/>
        </w:rPr>
        <w:t>(2)Such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February 11, 2025,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February 11, 2025. We calculated percentage ownership in accordance with the rules of the SEC. The percentage of common stock beneficially owned is based on 34,744,476 shares outstanding as of February 11, 2025. In addition, shares issuable pursuant to options or other convertible securities that may be acquired within 60 days of February 11, 2025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Beneficially</w:t>
            </w:r>
          </w:p>
        </w:tc>
      </w:tr>
      <w:tr>
        <w:trPr>
          <w:trHeight w:val="238"/>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50"/>
        </w:trPr>
        <w:tc>
          <w:tcPr>
            <w:tcW w:w="718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Harel Gadot</w:t>
            </w:r>
            <w:r>
              <w:rPr>
                <w:rFonts w:ascii="Times New Roman" w:cs="Times New Roman" w:eastAsia="Times New Roman" w:hAnsi="Times New Roman"/>
                <w:sz w:val="28"/>
                <w:szCs w:val="28"/>
                <w:color w:val="auto"/>
                <w:vertAlign w:val="superscript"/>
              </w:rPr>
              <w:t>(1)(2)</w:t>
            </w:r>
          </w:p>
        </w:tc>
        <w:tc>
          <w:tcPr>
            <w:tcW w:w="220" w:type="dxa"/>
            <w:vAlign w:val="bottom"/>
            <w:tcBorders>
              <w:top w:val="single" w:sz="8" w:color="CCEEFF"/>
            </w:tcBorders>
            <w:shd w:val="clear" w:color="auto" w:fill="CCEEFF"/>
          </w:tcPr>
          <w:p>
            <w:pPr>
              <w:spacing w:after="0"/>
              <w:rPr>
                <w:sz w:val="21"/>
                <w:szCs w:val="21"/>
                <w:color w:val="auto"/>
              </w:rPr>
            </w:pPr>
          </w:p>
        </w:tc>
        <w:tc>
          <w:tcPr>
            <w:tcW w:w="1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1,073,927</w:t>
            </w:r>
          </w:p>
        </w:tc>
        <w:tc>
          <w:tcPr>
            <w:tcW w:w="22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74,554</w:t>
            </w:r>
          </w:p>
        </w:tc>
        <w:tc>
          <w:tcPr>
            <w:tcW w:w="22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74,554</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74,554</w:t>
            </w:r>
          </w:p>
        </w:tc>
        <w:tc>
          <w:tcPr>
            <w:tcW w:w="22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69,458</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(2)(3)</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107,795</w:t>
            </w:r>
          </w:p>
        </w:tc>
        <w:tc>
          <w:tcPr>
            <w:tcW w:w="22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67,867</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(2)(3)</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72,700</w:t>
            </w:r>
          </w:p>
        </w:tc>
        <w:tc>
          <w:tcPr>
            <w:tcW w:w="22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(2)(3)</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18,875</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(2)</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1,634,284</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and (ii) 937,080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performance-based options, the vesting of which remains subject to confirmation by the Company’s Compensation Committee. See “Executive Compensation—Executive Employment Agreements” above.</w:t>
      </w: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and (3).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to be sold by the selling stockholders is common stock that is issuable upon exercise of outstanding preferred options. To the extent the common stock underlying the preferred options are issued, there will be dilution to the ownership interests of our existing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which information is available to us as of February 10, 2025.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61.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28,641,187 shares of our common stock outstanding as of February 10, 2025. The table below exlcudes all shares and shares underlying options issued to the selling stockholders subsequent to February 10,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0" w:type="dxa"/>
            <w:vAlign w:val="bottom"/>
          </w:tcPr>
          <w:p>
            <w:pPr>
              <w:spacing w:after="0"/>
              <w:rPr>
                <w:sz w:val="18"/>
                <w:szCs w:val="18"/>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Beneficially Owned After Sale of</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40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All Shares of Common Stock</w:t>
            </w:r>
          </w:p>
        </w:tc>
        <w:tc>
          <w:tcPr>
            <w:tcW w:w="0" w:type="dxa"/>
            <w:vAlign w:val="bottom"/>
          </w:tcPr>
          <w:p>
            <w:pPr>
              <w:spacing w:after="0"/>
              <w:rPr>
                <w:sz w:val="1"/>
                <w:szCs w:val="1"/>
                <w:color w:val="auto"/>
              </w:rPr>
            </w:pPr>
          </w:p>
        </w:tc>
      </w:tr>
      <w:tr>
        <w:trPr>
          <w:trHeight w:val="238"/>
        </w:trPr>
        <w:tc>
          <w:tcPr>
            <w:tcW w:w="1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00" w:type="dxa"/>
            <w:vAlign w:val="bottom"/>
          </w:tcPr>
          <w:p>
            <w:pPr>
              <w:spacing w:after="0"/>
              <w:rPr>
                <w:sz w:val="20"/>
                <w:szCs w:val="20"/>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Pursuant to this Prospectus</w:t>
            </w:r>
          </w:p>
        </w:tc>
        <w:tc>
          <w:tcPr>
            <w:tcW w:w="0" w:type="dxa"/>
            <w:vAlign w:val="bottom"/>
          </w:tcPr>
          <w:p>
            <w:pPr>
              <w:spacing w:after="0"/>
              <w:rPr>
                <w:sz w:val="1"/>
                <w:szCs w:val="1"/>
                <w:color w:val="auto"/>
              </w:rPr>
            </w:pPr>
          </w:p>
        </w:tc>
      </w:tr>
      <w:tr>
        <w:trPr>
          <w:trHeight w:val="187"/>
        </w:trPr>
        <w:tc>
          <w:tcPr>
            <w:tcW w:w="1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Before Any</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3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Offered</w:t>
            </w:r>
          </w:p>
        </w:tc>
        <w:tc>
          <w:tcPr>
            <w:tcW w:w="4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4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Intracoastal Capital, LLC</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6,079,070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4,863,774</w:t>
            </w: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1,215,296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62"/>
        </w:trPr>
        <w:tc>
          <w:tcPr>
            <w:tcW w:w="160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w w:val="99"/>
              </w:rPr>
              <w:t>CVI Investments, Inc.</w:t>
            </w:r>
          </w:p>
        </w:tc>
        <w:tc>
          <w:tcPr>
            <w:tcW w:w="2340" w:type="dxa"/>
            <w:vAlign w:val="bottom"/>
          </w:tcPr>
          <w:p>
            <w:pPr>
              <w:jc w:val="right"/>
              <w:ind w:right="1925"/>
              <w:spacing w:after="0" w:line="162" w:lineRule="exact"/>
              <w:rPr>
                <w:sz w:val="20"/>
                <w:szCs w:val="20"/>
                <w:color w:val="auto"/>
              </w:rPr>
            </w:pPr>
            <w:r>
              <w:rPr>
                <w:rFonts w:ascii="Times New Roman" w:cs="Times New Roman" w:eastAsia="Times New Roman" w:hAnsi="Times New Roman"/>
                <w:sz w:val="15"/>
                <w:szCs w:val="15"/>
                <w:color w:val="auto"/>
                <w:w w:val="91"/>
              </w:rPr>
              <w:t>(2)(3)</w:t>
            </w:r>
          </w:p>
        </w:tc>
        <w:tc>
          <w:tcPr>
            <w:tcW w:w="240" w:type="dxa"/>
            <w:vAlign w:val="bottom"/>
          </w:tcPr>
          <w:p>
            <w:pPr>
              <w:spacing w:after="0"/>
              <w:rPr>
                <w:sz w:val="14"/>
                <w:szCs w:val="14"/>
                <w:color w:val="auto"/>
              </w:rPr>
            </w:pPr>
          </w:p>
        </w:tc>
        <w:tc>
          <w:tcPr>
            <w:tcW w:w="1480" w:type="dxa"/>
            <w:vAlign w:val="bottom"/>
            <w:gridSpan w:val="2"/>
            <w:vMerge w:val="restart"/>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1,257,143</w:t>
            </w:r>
          </w:p>
        </w:tc>
        <w:tc>
          <w:tcPr>
            <w:tcW w:w="1440" w:type="dxa"/>
            <w:vAlign w:val="bottom"/>
            <w:gridSpan w:val="2"/>
            <w:vMerge w:val="restart"/>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10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4,863,774</w:t>
            </w:r>
          </w:p>
        </w:tc>
        <w:tc>
          <w:tcPr>
            <w:tcW w:w="40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w w:val="91"/>
              </w:rPr>
              <w:t>(4)</w:t>
            </w:r>
          </w:p>
        </w:tc>
        <w:tc>
          <w:tcPr>
            <w:tcW w:w="1420" w:type="dxa"/>
            <w:vAlign w:val="bottom"/>
            <w:gridSpan w:val="2"/>
            <w:vMerge w:val="restart"/>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vMerge w:val="restart"/>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1600" w:type="dxa"/>
            <w:vAlign w:val="bottom"/>
            <w:vMerge w:val="continue"/>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
        </w:trPr>
        <w:tc>
          <w:tcPr>
            <w:tcW w:w="160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3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1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Anson Investments Master Fund LP</w:t>
            </w:r>
            <w:r>
              <w:rPr>
                <w:rFonts w:ascii="Times New Roman" w:cs="Times New Roman" w:eastAsia="Times New Roman" w:hAnsi="Times New Roman"/>
                <w:sz w:val="29"/>
                <w:szCs w:val="29"/>
                <w:color w:val="auto"/>
                <w:vertAlign w:val="superscript"/>
              </w:rPr>
              <w:t>(5)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4,577,078</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3,793,742</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57"/>
        </w:trPr>
        <w:tc>
          <w:tcPr>
            <w:tcW w:w="41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Anson East Master Fund LP</w:t>
            </w:r>
            <w:r>
              <w:rPr>
                <w:rFonts w:ascii="Times New Roman" w:cs="Times New Roman" w:eastAsia="Times New Roman" w:hAnsi="Times New Roman"/>
                <w:sz w:val="29"/>
                <w:szCs w:val="29"/>
                <w:color w:val="auto"/>
                <w:vertAlign w:val="superscript"/>
              </w:rPr>
              <w:t>(6)</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1,070,032</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1,070,032</w:t>
            </w:r>
          </w:p>
        </w:tc>
        <w:tc>
          <w:tcPr>
            <w:tcW w:w="40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Stuywater Capital LLC</w:t>
            </w:r>
            <w:r>
              <w:rPr>
                <w:rFonts w:ascii="Times New Roman" w:cs="Times New Roman" w:eastAsia="Times New Roman" w:hAnsi="Times New Roman"/>
                <w:sz w:val="29"/>
                <w:szCs w:val="29"/>
                <w:color w:val="auto"/>
                <w:vertAlign w:val="superscript"/>
              </w:rPr>
              <w:t>(3)(7)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1,056,680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985,780</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70,900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(8)</w:t>
            </w: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240,263</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122,670</w:t>
            </w:r>
          </w:p>
        </w:tc>
        <w:tc>
          <w:tcPr>
            <w:tcW w:w="40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117,593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1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(8)</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489,109</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249,721</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239,388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(8)</w:t>
            </w: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25,743*</w:t>
            </w: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40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9"/>
              </w:rPr>
              <w:t>Charles Worthman</w:t>
            </w:r>
            <w:r>
              <w:rPr>
                <w:rFonts w:ascii="Times New Roman" w:cs="Times New Roman" w:eastAsia="Times New Roman" w:hAnsi="Times New Roman"/>
                <w:sz w:val="29"/>
                <w:szCs w:val="29"/>
                <w:color w:val="auto"/>
                <w:w w:val="99"/>
                <w:vertAlign w:val="superscript"/>
              </w:rPr>
              <w:t>(8)</w:t>
            </w:r>
          </w:p>
        </w:tc>
        <w:tc>
          <w:tcPr>
            <w:tcW w:w="2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25,743*</w:t>
            </w: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600" w:type="dxa"/>
            <w:vAlign w:val="bottom"/>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(9)</w:t>
            </w: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15,966,530</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 Excludes certain shares or shares underlying options issued to the selling stockholder on February 11, 2025.</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 Excludes certain shares or shares underlying options issued to the selling stockholder on February 11, 2025.</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2,349,488 options to purchase shares of our common stock at an exercise price per share of $2.10, and 2,514,286 options to purchase shares of our common stock at an exercise price per share of $1.75. Does not include 887,422 shares of our common stock issuable upon exercise of warrants held by CVI at an exercise price per share of $1.50.</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ind w:left="340" w:hanging="332"/>
        <w:spacing w:after="0" w:line="25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 Excludes certain shares or shares underlying options issued to the selling stockholder on February 11, 2025.</w:t>
      </w:r>
    </w:p>
    <w:p>
      <w:pPr>
        <w:spacing w:after="0" w:line="6"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East Master Fund LP (“Anson East”), hold voting and dispositive power over the common stock held by Anson East.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East is Maples Corporate Services Limited, PO Box 309, Ugland House, Grand Cayman, KY1-1104, Cayman Islands. Excludes certain shares or shares underlying options issued to the selling stockholder on February 11, 2025.</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70,900 shares of our common stock and options to purchase an aggregate of 985,780 shares of our common stock. Noam Rubenstein, the sole member of Stuywater Capital LLC (“Stuywater”), has sole voting control and investment discretion over the securities reported herein that are held by Stuywater. As a result, he may be deemed to have beneficial ownership (as determined under Section 13(d) of the Securities Exchange Act of 1934, as amended) of the securities reported herein that are held by Stuywater. The address of Stuywater is 430 Park Avenue, 3rd Floor, New York, New York 10022. Excludes certain shares or shares underlying options issued to the selling stockholder on February 11, 2025.</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 Excludes certain shares underlying options issued to the selling stockholder on February 11, 2025.</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beneficial ownership limitation that certain of the selling stockholders are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9" w:name="page70"/>
    <w:bookmarkEnd w:id="69"/>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34,744,476 shares were issued and outstanding as of February 11,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11, 2025, we had:</w:t>
      </w:r>
    </w:p>
    <w:p>
      <w:pPr>
        <w:spacing w:after="0" w:line="225"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3,002,145 shares of our common stock issuable upon the exercise of outstanding stock options granted to employees, directors and consultants, with exercise prices ranging from approximately $0.005 to $15.75 and having a weighted-average exercise price of $4.19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147,217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11,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of $2.8375;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issued in this offering, expiring two years after the later of (i) the Authorized Share Increase Date and (ii) the Stockholder Approval Date, at an exercise price of $2.6625.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S-1 of which this prospectus forms a part, are underlying our 8,000,002 outstanding series G preferred investment options expiring in January 2027, our 7,577,100 outstanding series H preferred investment options expiring in January 2027, and our 389,428 outstanding placement agent preferred investment options expiring in January 2027. See “Prospectus Summary-Recent Developments-Registered Direct Offerings” above, for a summary of the terms of the series G preferred investment options, series H preferred investment options and the placement agent preferred investment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included in this Prospectus, have been audited by Brightman Almagor Zohar &amp;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http://www.microbotmedical.com</w:t>
      </w:r>
      <w:r>
        <w:rPr>
          <w:rFonts w:ascii="Times New Roman" w:cs="Times New Roman" w:eastAsia="Times New Roman" w:hAnsi="Times New Roman"/>
          <w:sz w:val="18"/>
          <w:szCs w:val="18"/>
          <w:color w:val="auto"/>
        </w:rPr>
        <w:t>, at which you may access these materials free of charge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40" w:type="dxa"/>
            <w:vAlign w:val="bottom"/>
            <w:gridSpan w:val="7"/>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20" w:type="dxa"/>
            <w:vAlign w:val="bottom"/>
            <w:gridSpan w:val="8"/>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80" w:type="dxa"/>
            <w:vAlign w:val="bottom"/>
          </w:tcPr>
          <w:p>
            <w:pPr>
              <w:spacing w:after="0"/>
              <w:rPr>
                <w:sz w:val="24"/>
                <w:szCs w:val="24"/>
                <w:color w:val="auto"/>
              </w:rPr>
            </w:pPr>
          </w:p>
        </w:tc>
      </w:tr>
      <w:tr>
        <w:trPr>
          <w:trHeight w:val="432"/>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F-8 – F-34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Balance Sheets as of September 30, 2024 (Unaudited) and December 31, 2023 (Audited)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and Nine Months Ended September 30,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Shareholders’ Equity for the Three and Nine Months Ended September 30,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Nine Months Ended September 30,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F-38</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Interim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F-39 - F-45</w:t>
            </w:r>
          </w:p>
        </w:tc>
      </w:tr>
      <w:tr>
        <w:trPr>
          <w:trHeight w:val="432"/>
        </w:trPr>
        <w:tc>
          <w:tcPr>
            <w:tcW w:w="34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6"/>
          </w:tcPr>
          <w:p>
            <w:pPr>
              <w:jc w:val="center"/>
              <w:ind w:right="372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6" w:name="page77"/>
    <w:bookmarkEnd w:id="76"/>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Microbot Medical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2023 and 2022, and the related consolidated statements of comprehensive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1B to the financial statements, the Company’s financial statements include a net loss of $ 10,740 thousand for the year ended December 31, 2023 and accumulated deficit of $ 79,501 thousand as of December 31, 2023. The Company is dependent on its ability to obtain additional debt and/or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Contingencies - Settlement of litigation resulting from the 2017 financing — Refer to Notes 9G and 16C to the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26, 2024, the Company entered into a settlement agreement and release with third parties, effectively resolving a lawsuit brought against the Company in 2020. The lawsuit stemmed from securities purchase agreements made between the Company and the third parties in 2017. The settlement amount consisted of a cash payment and shares of restricted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concluded that the settlement agreement gave rise to loss contingency in the scope of Accounting Standards Codification Subtopic 450-20, Contingencies – Loss Contingencies, and as of December 31, 2023, the Company recorded a contingent liability.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settlement amount was recorded in the Company’s consolidated financial statements as non-operating loss, offset by loss recovery received from the Company’s insurance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with respect to the contingent liability arising from the settlement agreement and the loss recovery received from the Company’s insurance company, performing audit procedures to evaluate the reasonableness of management’s assumptions and conclusions concerning the recognition and measurement of the contingent liability and the insurance recovery receivables, required a high degree of auditor judgment and an increased extent of effort.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settlement agreement, agreement with the Company’s insurance company, and other supporting documentation, followed by inquiries with the Company’s external counsel and general counsel regarding the details of the agreements.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technical accounting specialists, we evaluated the management’s assessment and conclusion with regards to the accounting treatment of the settlement agreement and loss recovery received from the Company’s insurance company. Our procedures included evaluating the Company’s accounting memorandum and inquires with the management with regard to judgements made.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calculation of the contingent liability.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disclosures in the financial statements pertinent to the settlement agreement and loss recovery received from the Company’s insurance company by comparing management’s disclosures to audit evidence obtained.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619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2,468</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3,917</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5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1,335</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0"/>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w:t>
            </w:r>
          </w:p>
        </w:tc>
        <w:tc>
          <w:tcPr>
            <w:tcW w:w="6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23"/>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payables</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2,211</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1,027</w:t>
            </w:r>
          </w:p>
        </w:tc>
        <w:tc>
          <w:tcPr>
            <w:tcW w:w="6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0"/>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and 2022; 11,707,317 and 7,890,628 shares issued 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75,970</w:t>
            </w:r>
          </w:p>
        </w:tc>
      </w:tr>
      <w:tr>
        <w:trPr>
          <w:trHeight w:val="243"/>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(79,501)</w:t>
            </w:r>
          </w:p>
        </w:tc>
        <w:tc>
          <w:tcPr>
            <w:tcW w:w="6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(68,761)</w:t>
            </w:r>
          </w:p>
        </w:tc>
      </w:tr>
      <w:tr>
        <w:trPr>
          <w:trHeight w:val="22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3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bottom w:val="single" w:sz="8" w:color="CCEEFF"/>
            </w:tcBorders>
          </w:tcPr>
          <w:p>
            <w:pPr>
              <w:spacing w:after="0"/>
              <w:rPr>
                <w:sz w:val="19"/>
                <w:szCs w:val="19"/>
                <w:color w:val="auto"/>
              </w:rPr>
            </w:pPr>
          </w:p>
        </w:tc>
      </w:tr>
      <w:tr>
        <w:trPr>
          <w:trHeight w:val="223"/>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0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94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shd w:val="clear" w:color="auto" w:fill="CCEEFF"/>
          </w:tcPr>
          <w:p>
            <w:pPr>
              <w:spacing w:after="0"/>
              <w:rPr>
                <w:sz w:val="18"/>
                <w:szCs w:val="18"/>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9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(4,131)</w:t>
            </w:r>
          </w:p>
        </w:tc>
        <w:tc>
          <w:tcPr>
            <w:tcW w:w="6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09"/>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8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(1,111)</w:t>
            </w:r>
          </w:p>
        </w:tc>
        <w:tc>
          <w:tcPr>
            <w:tcW w:w="6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197"/>
        </w:trPr>
        <w:tc>
          <w:tcPr>
            <w:tcW w:w="5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10,199,984</w:t>
            </w:r>
          </w:p>
        </w:tc>
        <w:tc>
          <w:tcPr>
            <w:tcW w:w="68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7,260,344</w:t>
            </w:r>
          </w:p>
        </w:tc>
      </w:tr>
      <w:tr>
        <w:trPr>
          <w:trHeight w:val="20"/>
        </w:trPr>
        <w:tc>
          <w:tcPr>
            <w:tcW w:w="58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340" w:type="dxa"/>
            <w:vAlign w:val="bottom"/>
            <w:gridSpan w:val="7"/>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The accompanying notes are an integral part of these consolidated financial statements.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5"/>
              </w:rPr>
              <w:t>F-5</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December 31, 2021</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Issuance of common stock and warrants net of issuance costs (*)</w:t>
      </w:r>
    </w:p>
    <w:p>
      <w:pPr>
        <w:spacing w:after="0" w:line="1" w:lineRule="exact"/>
        <w:rPr>
          <w:sz w:val="20"/>
          <w:szCs w:val="20"/>
          <w:color w:val="auto"/>
        </w:rPr>
      </w:pPr>
    </w:p>
    <w:p>
      <w:pPr>
        <w:ind w:right="1420"/>
        <w:spacing w:after="0" w:line="260" w:lineRule="auto"/>
        <w:rPr>
          <w:sz w:val="20"/>
          <w:szCs w:val="20"/>
          <w:color w:val="auto"/>
        </w:rPr>
      </w:pPr>
      <w:r>
        <w:rPr>
          <w:rFonts w:ascii="Times New Roman" w:cs="Times New Roman" w:eastAsia="Times New Roman" w:hAnsi="Times New Roman"/>
          <w:sz w:val="18"/>
          <w:szCs w:val="18"/>
          <w:color w:val="auto"/>
        </w:rPr>
        <w:t>Share-based compensation Net 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December 31, 2022</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Issuance of common stock and warrants net of issuance costs (**)</w:t>
      </w:r>
    </w:p>
    <w:p>
      <w:pPr>
        <w:spacing w:after="0" w:line="1" w:lineRule="exact"/>
        <w:rPr>
          <w:sz w:val="20"/>
          <w:szCs w:val="20"/>
          <w:color w:val="auto"/>
        </w:rPr>
      </w:pPr>
    </w:p>
    <w:p>
      <w:pPr>
        <w:ind w:right="1420"/>
        <w:spacing w:after="0" w:line="255" w:lineRule="auto"/>
        <w:rPr>
          <w:sz w:val="20"/>
          <w:szCs w:val="20"/>
          <w:color w:val="auto"/>
        </w:rPr>
      </w:pPr>
      <w:r>
        <w:rPr>
          <w:rFonts w:ascii="Times New Roman" w:cs="Times New Roman" w:eastAsia="Times New Roman" w:hAnsi="Times New Roman"/>
          <w:sz w:val="18"/>
          <w:szCs w:val="18"/>
          <w:color w:val="auto"/>
        </w:rPr>
        <w:t>Share-based compensation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December 31, 2023</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Shareholders’ Equity</w:t>
      </w:r>
    </w:p>
    <w:p>
      <w:pPr>
        <w:spacing w:after="0" w:line="21"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5"/>
        </w:trPr>
        <w:tc>
          <w:tcPr>
            <w:tcW w:w="262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6"/>
        </w:trPr>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0" w:type="dxa"/>
            <w:vAlign w:val="bottom"/>
          </w:tcPr>
          <w:p>
            <w:pPr>
              <w:spacing w:after="0"/>
              <w:rPr>
                <w:sz w:val="20"/>
                <w:szCs w:val="20"/>
                <w:color w:val="auto"/>
              </w:rPr>
            </w:pPr>
          </w:p>
        </w:tc>
      </w:tr>
      <w:tr>
        <w:trPr>
          <w:trHeight w:val="426"/>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69,902</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(55,593)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60" w:type="dxa"/>
            <w:vAlign w:val="bottom"/>
          </w:tcPr>
          <w:p>
            <w:pPr>
              <w:spacing w:after="0"/>
              <w:rPr>
                <w:sz w:val="24"/>
                <w:szCs w:val="24"/>
                <w:color w:val="auto"/>
              </w:rPr>
            </w:pPr>
          </w:p>
        </w:tc>
      </w:tr>
      <w:tr>
        <w:trPr>
          <w:trHeight w:val="414"/>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782,495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180" w:type="dxa"/>
            <w:vAlign w:val="bottom"/>
          </w:tcPr>
          <w:p>
            <w:pPr>
              <w:spacing w:after="0"/>
              <w:rPr>
                <w:sz w:val="24"/>
                <w:szCs w:val="24"/>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60" w:type="dxa"/>
            <w:vAlign w:val="bottom"/>
          </w:tcPr>
          <w:p>
            <w:pPr>
              <w:spacing w:after="0"/>
              <w:rPr>
                <w:sz w:val="24"/>
                <w:szCs w:val="24"/>
                <w:color w:val="auto"/>
              </w:rPr>
            </w:pPr>
          </w:p>
        </w:tc>
      </w:tr>
      <w:tr>
        <w:trPr>
          <w:trHeight w:val="216"/>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60" w:type="dxa"/>
            <w:vAlign w:val="bottom"/>
          </w:tcPr>
          <w:p>
            <w:pPr>
              <w:spacing w:after="0"/>
              <w:rPr>
                <w:sz w:val="18"/>
                <w:szCs w:val="18"/>
                <w:color w:val="auto"/>
              </w:rPr>
            </w:pPr>
          </w:p>
        </w:tc>
      </w:tr>
      <w:tr>
        <w:trPr>
          <w:trHeight w:val="261"/>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2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(13,168)</w:t>
            </w:r>
          </w:p>
        </w:tc>
      </w:tr>
      <w:tr>
        <w:trPr>
          <w:trHeight w:val="228"/>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7,890,628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60" w:type="dxa"/>
            <w:vAlign w:val="bottom"/>
          </w:tcPr>
          <w:p>
            <w:pPr>
              <w:spacing w:after="0"/>
              <w:rPr>
                <w:sz w:val="19"/>
                <w:szCs w:val="19"/>
                <w:color w:val="auto"/>
              </w:rPr>
            </w:pPr>
          </w:p>
        </w:tc>
      </w:tr>
      <w:tr>
        <w:trPr>
          <w:trHeight w:val="395"/>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3,816,689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6,520</w:t>
            </w:r>
          </w:p>
        </w:tc>
        <w:tc>
          <w:tcPr>
            <w:tcW w:w="180" w:type="dxa"/>
            <w:vAlign w:val="bottom"/>
          </w:tcPr>
          <w:p>
            <w:pPr>
              <w:spacing w:after="0"/>
              <w:rPr>
                <w:sz w:val="24"/>
                <w:szCs w:val="24"/>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60" w:type="dxa"/>
            <w:vAlign w:val="bottom"/>
          </w:tcPr>
          <w:p>
            <w:pPr>
              <w:spacing w:after="0"/>
              <w:rPr>
                <w:sz w:val="24"/>
                <w:szCs w:val="24"/>
                <w:color w:val="auto"/>
              </w:rPr>
            </w:pPr>
          </w:p>
        </w:tc>
      </w:tr>
      <w:tr>
        <w:trPr>
          <w:trHeight w:val="216"/>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60" w:type="dxa"/>
            <w:vAlign w:val="bottom"/>
          </w:tcPr>
          <w:p>
            <w:pPr>
              <w:spacing w:after="0"/>
              <w:rPr>
                <w:sz w:val="18"/>
                <w:szCs w:val="18"/>
                <w:color w:val="auto"/>
              </w:rPr>
            </w:pPr>
          </w:p>
        </w:tc>
      </w:tr>
      <w:tr>
        <w:trPr>
          <w:trHeight w:val="261"/>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(10,740)</w:t>
            </w:r>
          </w:p>
        </w:tc>
        <w:tc>
          <w:tcPr>
            <w:tcW w:w="2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(10,740)</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83,884</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6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-1593850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-1182370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-890905</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-471170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-179705</wp:posOffset>
            </wp:positionV>
            <wp:extent cx="713232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360" w:space="380"/>
            <w:col w:w="7460"/>
          </w:cols>
          <w:pgMar w:left="320" w:top="684" w:right="379" w:bottom="1440" w:gutter="0" w:footer="0" w:header="0"/>
        </w:sectPr>
      </w:pPr>
    </w:p>
    <w:p>
      <w:pPr>
        <w:ind w:right="7540" w:firstLine="8"/>
        <w:spacing w:after="0" w:line="312" w:lineRule="auto"/>
        <w:tabs>
          <w:tab w:leader="none" w:pos="32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of issuance costs in the amount of $676. (**) Net of issuance costs in the amount of $1,075.</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accompanying notes are an integral part of these consolidated financial statements.</w:t>
      </w: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5715</wp:posOffset>
            </wp:positionV>
            <wp:extent cx="22713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(10,740)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9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(10,060)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9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2,899</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9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9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2,519</w:t>
            </w:r>
          </w:p>
        </w:tc>
        <w:tc>
          <w:tcPr>
            <w:tcW w:w="3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year</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202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December 31, 2023, the Company had cash equivalents and marketable securities balance of approximately $6,385, excluding restricted cash. Due to continuing research and development activities, the Company expects to continue to incur additional losses for the foreseeable future. The Company implemented a cost reduction program in May 2023, and consummated capital raises in May and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1620" w:hanging="640"/>
        <w:spacing w:after="0" w:line="282"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Reclassification of prior year disclosures: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Acquisitions of assets: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Restricted cash:</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Restricted cash of $49 as of December 31, 2023, serves as collateral for the Company’s lease agreement, and $77 as of December 31, 2022, serves as collateral for lease agreements and credit cards.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Fair value of financial instruments: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J. Concentrations of credit risk:</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 Property and equipment:</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09"/>
        </w:trPr>
        <w:tc>
          <w:tcPr>
            <w:tcW w:w="6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4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Over the lease period</w:t>
            </w: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2023, and 2022, no impairment charge has been recorded.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L. Liabilities due to termination of employment agreements: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 Common stock warrants: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 Basic and diluted net loss per share:</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have been excluded from the calculation of the diluted loss per share for the years ended December 31, 2023 and December 31, 2022,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 General and administrative expenses, net: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2023 and 2022, were offset by insurance loss recoveries in the amounts of approximately $281 and $156,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 Research and development expenses, net: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2V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34"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 Share-based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Income taxes: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2023, and 2022, the Company had a full valuation allowance against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Marketable securities: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176"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 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16C below.</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16C below.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grants are deducted from the research and development expenses as the applicable costs are incurred. Research and development expenses, net, for the years ended December 31, 2023 and 2022, include participation in research and development expenses in the amount of approximately $279 and $0, respectively.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 Recently issued accounting pronouncements: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2023 and 2022:</w:t>
      </w:r>
    </w:p>
    <w:p>
      <w:pPr>
        <w:spacing w:after="0" w:line="32"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5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2,468</w:t>
            </w:r>
          </w:p>
        </w:tc>
        <w:tc>
          <w:tcPr>
            <w:tcW w:w="102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w:t>
            </w: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1,247</w:t>
            </w:r>
          </w:p>
        </w:tc>
      </w:tr>
      <w:tr>
        <w:trPr>
          <w:trHeight w:val="26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Borders>
              <w:bottom w:val="single" w:sz="8" w:color="CCEEFF"/>
            </w:tcBorders>
          </w:tcPr>
          <w:p>
            <w:pPr>
              <w:spacing w:after="0"/>
              <w:rPr>
                <w:sz w:val="22"/>
                <w:szCs w:val="22"/>
                <w:color w:val="auto"/>
              </w:rPr>
            </w:pPr>
          </w:p>
        </w:tc>
      </w:tr>
      <w:tr>
        <w:trPr>
          <w:trHeight w:val="197"/>
        </w:trPr>
        <w:tc>
          <w:tcPr>
            <w:tcW w:w="5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3,761</w:t>
            </w:r>
          </w:p>
        </w:tc>
      </w:tr>
      <w:tr>
        <w:trPr>
          <w:trHeight w:val="223"/>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6,385</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$59 and $12 for the years ended December 31, 2023 and 2022, respectively.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Treasuries have contractual maturities of less than 12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980"/>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2023 and 2022:</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23"/>
        </w:trPr>
        <w:tc>
          <w:tcPr>
            <w:tcW w:w="2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3"/>
              </w:rPr>
              <w:t>3,917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9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1,999</w:t>
            </w:r>
          </w:p>
        </w:tc>
        <w:tc>
          <w:tcPr>
            <w:tcW w:w="92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5,760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1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2400" w:type="dxa"/>
            <w:vAlign w:val="bottom"/>
            <w:gridSpan w:val="2"/>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3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933"/>
              <w:spacing w:after="0"/>
              <w:rPr>
                <w:sz w:val="20"/>
                <w:szCs w:val="20"/>
                <w:color w:val="auto"/>
              </w:rPr>
            </w:pPr>
            <w:r>
              <w:rPr>
                <w:rFonts w:ascii="Times New Roman" w:cs="Times New Roman" w:eastAsia="Times New Roman" w:hAnsi="Times New Roman"/>
                <w:sz w:val="18"/>
                <w:szCs w:val="18"/>
                <w:color w:val="auto"/>
              </w:rPr>
              <w:t>F-15</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November 2019, the Company signed an office space lease agreement for the period from November 2019 until October 2024. In addition, the Company received an option to extend the lease agreement for an additional 5 years. The monthly lease payments are approximately $16. To secure the lease payments the Company had issued a bank guarantee of $49 in favor of the facility’s lessor. Additionally, the Company entered into agreements for car leases.</w:t>
      </w:r>
    </w:p>
    <w:p>
      <w:pPr>
        <w:spacing w:after="0" w:line="180" w:lineRule="exact"/>
        <w:rPr>
          <w:sz w:val="20"/>
          <w:szCs w:val="20"/>
          <w:color w:val="auto"/>
        </w:rPr>
      </w:pPr>
    </w:p>
    <w:p>
      <w:pPr>
        <w:jc w:val="both"/>
        <w:ind w:left="980"/>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lease cost and the classification of such costs in the Company’s consolidated statements of comprehensive loss for the years ended December 31, 2023 and 2022:</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240" w:type="dxa"/>
            <w:vAlign w:val="bottom"/>
          </w:tcPr>
          <w:p>
            <w:pPr>
              <w:spacing w:after="0"/>
              <w:rPr>
                <w:sz w:val="20"/>
                <w:szCs w:val="20"/>
                <w:color w:val="auto"/>
              </w:rPr>
            </w:pPr>
          </w:p>
        </w:tc>
        <w:tc>
          <w:tcPr>
            <w:tcW w:w="334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174"/>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200" w:type="dxa"/>
            <w:vAlign w:val="bottom"/>
            <w:tcBorders>
              <w:bottom w:val="single" w:sz="8" w:color="CCEEFF"/>
            </w:tcBorders>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624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23"/>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under operating lease agreements</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Undiscounted maturities of future operating lease payments as of December 31, 2023 are summarized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43"/>
        </w:trPr>
        <w:tc>
          <w:tcPr>
            <w:tcW w:w="5120" w:type="dxa"/>
            <w:vAlign w:val="bottom"/>
            <w:tcBorders>
              <w:bottom w:val="single" w:sz="8" w:color="CCEEFF"/>
            </w:tcBorders>
          </w:tcPr>
          <w:p>
            <w:pPr>
              <w:spacing w:after="0"/>
              <w:rPr>
                <w:sz w:val="21"/>
                <w:szCs w:val="21"/>
                <w:color w:val="auto"/>
              </w:rPr>
            </w:pPr>
          </w:p>
        </w:tc>
        <w:tc>
          <w:tcPr>
            <w:tcW w:w="3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r>
      <w:tr>
        <w:trPr>
          <w:trHeight w:val="24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2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-2540</wp:posOffset>
            </wp:positionV>
            <wp:extent cx="10801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leases 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-127635</wp:posOffset>
            </wp:positionV>
            <wp:extent cx="10801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19685</wp:posOffset>
            </wp:positionV>
            <wp:extent cx="23742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7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18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1"/>
              </w:rPr>
              <w:t>9%</w:t>
            </w:r>
          </w:p>
        </w:tc>
        <w:tc>
          <w:tcPr>
            <w:tcW w:w="220" w:type="dxa"/>
            <w:vAlign w:val="bottom"/>
          </w:tcPr>
          <w:p>
            <w:pPr>
              <w:spacing w:after="0"/>
              <w:rPr>
                <w:sz w:val="20"/>
                <w:szCs w:val="20"/>
                <w:color w:val="auto"/>
              </w:rPr>
            </w:pPr>
          </w:p>
        </w:tc>
      </w:tr>
      <w:tr>
        <w:trPr>
          <w:trHeight w:val="414"/>
        </w:trPr>
        <w:tc>
          <w:tcPr>
            <w:tcW w:w="9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F-16</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ectPr>
          <w:pgSz w:w="11900" w:h="16838" w:orient="portrait"/>
          <w:cols w:equalWidth="0" w:num="1">
            <w:col w:w="11240"/>
          </w:cols>
          <w:pgMar w:left="320" w:top="684"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PROPERTY AND EQUIPMENT, NET</w:t>
      </w:r>
    </w:p>
    <w:p>
      <w:pPr>
        <w:spacing w:after="0" w:line="200" w:lineRule="exact"/>
        <w:rPr>
          <w:sz w:val="20"/>
          <w:szCs w:val="20"/>
          <w:color w:val="auto"/>
        </w:rPr>
      </w:pPr>
    </w:p>
    <w:p>
      <w:pPr>
        <w:spacing w:after="0" w:line="2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Historical Cost:</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Research equipment and software</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Leasehold improvement</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Furniture and office equipment</w:t>
      </w:r>
    </w:p>
    <w:p>
      <w:pPr>
        <w:spacing w:after="0" w:line="2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Accumulated Depreciation:</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Research equipment and software</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Leasehold improvement</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Furniture and office equipment</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98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3"/>
        </w:trPr>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40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43"/>
        </w:trPr>
        <w:tc>
          <w:tcPr>
            <w:tcW w:w="34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407"/>
        </w:trPr>
        <w:tc>
          <w:tcPr>
            <w:tcW w:w="3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34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-1636395</wp:posOffset>
            </wp:positionV>
            <wp:extent cx="5700395"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-1353820</wp:posOffset>
            </wp:positionV>
            <wp:extent cx="570039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-1062355</wp:posOffset>
            </wp:positionV>
            <wp:extent cx="570039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-762635</wp:posOffset>
            </wp:positionV>
            <wp:extent cx="570039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-487680</wp:posOffset>
            </wp:positionV>
            <wp:extent cx="570039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-179070</wp:posOffset>
            </wp:positionV>
            <wp:extent cx="5700395"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840" w:space="720"/>
            <w:col w:w="468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2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9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7"/>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33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w:t>
            </w:r>
          </w:p>
        </w:tc>
        <w:tc>
          <w:tcPr>
            <w:tcW w:w="1280" w:type="dxa"/>
            <w:vAlign w:val="bottom"/>
          </w:tcPr>
          <w:p>
            <w:pPr>
              <w:spacing w:after="0"/>
              <w:rPr>
                <w:sz w:val="18"/>
                <w:szCs w:val="18"/>
                <w:color w:val="auto"/>
              </w:rPr>
            </w:pPr>
          </w:p>
        </w:tc>
      </w:tr>
      <w:tr>
        <w:trPr>
          <w:trHeight w:val="243"/>
        </w:trPr>
        <w:tc>
          <w:tcPr>
            <w:tcW w:w="98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102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280" w:type="dxa"/>
            <w:vAlign w:val="bottom"/>
          </w:tcPr>
          <w:p>
            <w:pPr>
              <w:spacing w:after="0"/>
              <w:rPr>
                <w:sz w:val="21"/>
                <w:szCs w:val="21"/>
                <w:color w:val="auto"/>
              </w:rPr>
            </w:pPr>
          </w:p>
        </w:tc>
      </w:tr>
      <w:tr>
        <w:trPr>
          <w:trHeight w:val="223"/>
        </w:trPr>
        <w:tc>
          <w:tcPr>
            <w:tcW w:w="980" w:type="dxa"/>
            <w:vAlign w:val="bottom"/>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F-17</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IIA for participation in research and development since 2013 through December 31, 2023 totaling approximately $1,804. This amount includes amounts received in 2023 of approximately $304, which are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0" w:lineRule="exact"/>
        <w:rPr>
          <w:sz w:val="20"/>
          <w:szCs w:val="20"/>
          <w:color w:val="auto"/>
        </w:rPr>
      </w:pPr>
    </w:p>
    <w:p>
      <w:pPr>
        <w:jc w:val="both"/>
        <w:ind w:left="980"/>
        <w:spacing w:after="0" w:line="226"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December 31, 2023, the Company received approximately $27 of such grant. In relation with the Ministry of Economy grant, the Company is</w:t>
      </w:r>
    </w:p>
    <w:p>
      <w:pPr>
        <w:spacing w:after="0" w:line="3"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w:t>
      </w:r>
    </w:p>
    <w:p>
      <w:pPr>
        <w:jc w:val="both"/>
        <w:ind w:left="980"/>
        <w:spacing w:after="0" w:line="221" w:lineRule="auto"/>
        <w:rPr>
          <w:sz w:val="20"/>
          <w:szCs w:val="20"/>
          <w:color w:val="auto"/>
        </w:rPr>
      </w:pPr>
      <w:r>
        <w:rPr>
          <w:rFonts w:ascii="Times New Roman" w:cs="Times New Roman" w:eastAsia="Times New Roman" w:hAnsi="Times New Roman"/>
          <w:sz w:val="18"/>
          <w:szCs w:val="18"/>
          <w:color w:val="auto"/>
        </w:rPr>
        <w:t>Company’s Self-Cleaning Shunt (SCS)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December 31, 2023, the 50 months period has expired and CardioSert can buy-back the Technology at any time.</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 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and maintaining, the Technology, which subsequent to the balance sheet date resulted in CardioSert triggering its right to reacquire the Technology for nominal consideration. See Note 16E below.</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referred to in Note 10 below,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1620" w:hanging="640"/>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7" w:lineRule="exact"/>
        <w:rPr>
          <w:rFonts w:ascii="Times New Roman" w:cs="Times New Roman" w:eastAsia="Times New Roman" w:hAnsi="Times New Roman"/>
          <w:sz w:val="18"/>
          <w:szCs w:val="18"/>
          <w:color w:val="auto"/>
        </w:rPr>
      </w:pPr>
    </w:p>
    <w:p>
      <w:pPr>
        <w:ind w:left="1620" w:hanging="640"/>
        <w:spacing w:after="0" w:line="260"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ind w:left="980"/>
        <w:spacing w:after="0" w:line="274" w:lineRule="auto"/>
        <w:rPr>
          <w:sz w:val="20"/>
          <w:szCs w:val="20"/>
          <w:color w:val="auto"/>
        </w:rPr>
      </w:pPr>
      <w:r>
        <w:rPr>
          <w:rFonts w:ascii="Times New Roman" w:cs="Times New Roman" w:eastAsia="Times New Roman" w:hAnsi="Times New Roman"/>
          <w:sz w:val="17"/>
          <w:szCs w:val="17"/>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Lawsuit was settled in January 2024. Refer to Note 16C below.</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Collection of the judgment was deferred pending resolution of Mona’s counterclaim.</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 (the “Judgment”).</w:t>
      </w:r>
    </w:p>
    <w:p>
      <w:pPr>
        <w:spacing w:after="0" w:line="180"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his motion to vacate. On March 15, 2024, the Magistrate Judge issued an Order to Show Cause (“OTSC”) directing the liquidation of certain of Mona’s accounts, and the transfer of the sale proceeds to the Company in partial satisfaction of the Judgment. The OTSC hearing is scheduled to be held in the second quarter of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has 11,707,317 and 7,890,628 shares of common stock issued and outstanding, respectively.</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3, 2022 and in connection with the Offerings, the Company entered into an Engagement Letter with Wainwright as mentioned in Note 9E, as compensation for such placement agent services, the Company paid Wainwright aggregate cash fees and reimbursed Wainwright for its expenses aggregating approximately $565. The Company incurred other related offering expenses of $111. The Company also issued to Wainwright or its designees warrants to purchase 51,125 shares of common stock (the “Wainwright Warrants”). The Wainwright Warrants have a term of five years from the commencement of sales in the Offerings, and have an exercise price of $6.11 per share. The Company estimated the fair value of the warrants using a Black-Scholes options pricing model and concluded it is approximately $138.</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February 13, 2023, 240,000 of the Company’s outstanding pre-funded warrants were exercised into an equivalent number of shares of common stock, at an exercise price of $0.0001 per share.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Registered direct and private placement offerings: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w:t>
      </w:r>
    </w:p>
    <w:p>
      <w:pPr>
        <w:jc w:val="both"/>
        <w:ind w:left="980"/>
        <w:spacing w:after="0" w:line="252" w:lineRule="auto"/>
        <w:tabs>
          <w:tab w:leader="none" w:pos="1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up to 234,500 shares of the Company’s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spacing w:after="0" w:line="19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Registered Direct and Private Placement Offerings:</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9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A preferred investment option, the series B preferred investment option, the series C preferred investment option, the series D preferred investment option, and all of the pre-funded warrants issued to investors. Based on the Company’s analysis all such warrants were classified as equity.</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Preferred investment options amendment: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spacing w:after="0" w:line="19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grant date fair values of preferred investment options issued to Wainwright and preferred investment options issued to investors that were modified in the years ended December 31, 2023 and 2022 were estimated using the Black-Scholes valuation model with the following:</w:t>
      </w: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5715</wp:posOffset>
            </wp:positionV>
            <wp:extent cx="22371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06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72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101.31%-122.39%</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3.85%- 4.93%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1.42-5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720" w:type="dxa"/>
            <w:vAlign w:val="bottom"/>
          </w:tcPr>
          <w:p>
            <w:pPr>
              <w:spacing w:after="0"/>
              <w:rPr>
                <w:sz w:val="20"/>
                <w:szCs w:val="20"/>
                <w:color w:val="auto"/>
              </w:rPr>
            </w:pPr>
          </w:p>
        </w:tc>
      </w:tr>
      <w:tr>
        <w:trPr>
          <w:trHeight w:val="414"/>
        </w:trPr>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8"/>
                <w:szCs w:val="18"/>
                <w:color w:val="auto"/>
              </w:rPr>
              <w:t>F-24</w:t>
            </w: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811"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Mr. Harel Gadot, the Company’s Chairman of the Board, President and CEO (the “CEO”), options to purchase an aggregate of 260,000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certain employees, consultants and directors, options to purchase an aggregate of 270,822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1,507,137</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711,308</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(123,083)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26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260" w:type="dxa"/>
            <w:vAlign w:val="bottom"/>
          </w:tcPr>
          <w:p>
            <w:pPr>
              <w:spacing w:after="0"/>
              <w:rPr>
                <w:sz w:val="21"/>
                <w:szCs w:val="21"/>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997,148</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530,822</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6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899,609</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2023 and December 31, 2022, respectively.</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aggregate intrinsic value of the outstanding options is $277 and $185, respectively, and the aggregate intrinsic value of the exercisable options is $102 and $185,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and 2022 was $1.40 and $4.50,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approximately $1,918 of total unrecognized compensation costs related to unvested share-based compensation awards granted under the Share Incentive Plan. The costs are expected to be recognized over a weighted average period of 2.4 years.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stock options outstanding as of December 31, 2023 and December 31, 2022,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 years as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of December 31,</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December</w:t>
            </w:r>
          </w:p>
        </w:tc>
        <w:tc>
          <w:tcPr>
            <w:tcW w:w="0" w:type="dxa"/>
            <w:vAlign w:val="bottom"/>
          </w:tcPr>
          <w:p>
            <w:pPr>
              <w:spacing w:after="0"/>
              <w:rPr>
                <w:sz w:val="1"/>
                <w:szCs w:val="1"/>
                <w:color w:val="auto"/>
              </w:rPr>
            </w:pPr>
          </w:p>
        </w:tc>
      </w:tr>
      <w:tr>
        <w:trPr>
          <w:trHeight w:val="238"/>
        </w:trPr>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0.00-0.01</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1.00-3.73</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860,808</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95,925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4.2-7.26</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639,232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687,482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484,871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315,807</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8.16-9.64</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380,872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380,872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380,872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356,019</w:t>
            </w:r>
          </w:p>
        </w:tc>
        <w:tc>
          <w:tcPr>
            <w:tcW w:w="0" w:type="dxa"/>
            <w:vAlign w:val="bottom"/>
          </w:tcPr>
          <w:p>
            <w:pPr>
              <w:spacing w:after="0"/>
              <w:rPr>
                <w:sz w:val="1"/>
                <w:szCs w:val="1"/>
                <w:color w:val="auto"/>
              </w:rPr>
            </w:pPr>
          </w:p>
        </w:tc>
      </w:tr>
      <w:tr>
        <w:trPr>
          <w:trHeight w:val="243"/>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15.3-15.75</w:t>
            </w: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152,873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166,206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152,873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166,206</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F-27</w:t>
            </w: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 date fair values of employee stock options granted in the years ended December 31, 2023 and 2022 were estimated using the Black-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Scholes valuation model with the following:</w:t>
      </w:r>
    </w:p>
    <w:p>
      <w:pPr>
        <w:spacing w:after="0" w:line="20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2100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7"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5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111.2%-161.7%</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3.3%- 4.7%</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1.7%- 3.7%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38"/>
        </w:trPr>
        <w:tc>
          <w:tcPr>
            <w:tcW w:w="31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0"/>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2,754.00</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9,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45,643</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25,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47,619</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27,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45,045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1,022,495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 limit</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51,125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51,125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32,778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23, 2026</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60,476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2026</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35,088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 2028</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350,878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2028</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31,231</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2028</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312,309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2028</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$0.01.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2023 and 2022.</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the calculation of the basic and diluted net loss, the Company included warrants that would be exercised for no or little consideration and are exercisable with no contingencies.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shareholders in each of the periods presented above, diluted loss per share was computed without consideration to potentially dilutive instruments as their inclusion would have been anti-dilutive. As of December 31, 2023 and 2022, potentially dilutive securities excluded from the diluted loss per share calculation are as follows:</w:t>
      </w:r>
    </w:p>
    <w:p>
      <w:pPr>
        <w:spacing w:after="0" w:line="17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2100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47,619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45,045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October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1,022,495</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2,044,990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51,125</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32,778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60,476</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35,088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350,878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31,231</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312,309</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employee stock options to purchase common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2,095,362</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1,507,137</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4480"/>
              <w:spacing w:after="0"/>
              <w:rPr>
                <w:sz w:val="20"/>
                <w:szCs w:val="20"/>
                <w:color w:val="auto"/>
              </w:rPr>
            </w:pPr>
            <w:r>
              <w:rPr>
                <w:rFonts w:ascii="Times New Roman" w:cs="Times New Roman" w:eastAsia="Times New Roman" w:hAnsi="Times New Roman"/>
                <w:sz w:val="18"/>
                <w:szCs w:val="18"/>
                <w:color w:val="auto"/>
              </w:rPr>
              <w:t>F-29</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vMerge w:val="continue"/>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EXPENSES, NET</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45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grants</w:t>
            </w: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 EXPENSES, NET</w:t>
            </w: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insurance loss recoveries</w:t>
            </w: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0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F-30</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PARTIES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There were no material related party transactions in each of the years ended December 31, 2023 and 2022 that were outside of the Company’s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2023 and 2022.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has generated accumulated net operating losses in the U.S. of approximately $506,317 and $502,053,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years ended 2023 and 2022. Microbot Israel has not received a final tax assessment since 2018.</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Microbot Israel has generated accumulated net operating losses in Israel of approximately $41,164 and $34,688, respectively, which may be carried forward and offset against taxable income in the future for an indefinite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9"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19685</wp:posOffset>
            </wp:positionV>
            <wp:extent cx="2100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30" w:lineRule="exact"/>
        <w:rPr>
          <w:sz w:val="20"/>
          <w:szCs w:val="20"/>
          <w:color w:val="auto"/>
        </w:rPr>
      </w:pPr>
    </w:p>
    <w:p>
      <w:pPr>
        <w:ind w:left="7160"/>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19685</wp:posOffset>
            </wp:positionV>
            <wp:extent cx="2100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Net operating loss carryforwards</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vacation pay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Legal settlement accrual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Advance payment from IIA</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Less: valuation allowance</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115,778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113,393</w:t>
            </w:r>
          </w:p>
        </w:tc>
        <w:tc>
          <w:tcPr>
            <w:tcW w:w="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464</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191"/>
        </w:trPr>
        <w:tc>
          <w:tcPr>
            <w:tcW w:w="5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116,371</w:t>
            </w:r>
          </w:p>
        </w:tc>
        <w:tc>
          <w:tcPr>
            <w:tcW w:w="26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113,569</w:t>
            </w:r>
          </w:p>
        </w:tc>
        <w:tc>
          <w:tcPr>
            <w:tcW w:w="60" w:type="dxa"/>
            <w:vAlign w:val="bottom"/>
          </w:tcPr>
          <w:p>
            <w:pPr>
              <w:spacing w:after="0"/>
              <w:rPr>
                <w:sz w:val="16"/>
                <w:szCs w:val="16"/>
                <w:color w:val="auto"/>
              </w:rPr>
            </w:pPr>
          </w:p>
        </w:tc>
      </w:tr>
      <w:tr>
        <w:trPr>
          <w:trHeight w:val="261"/>
        </w:trPr>
        <w:tc>
          <w:tcPr>
            <w:tcW w:w="50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(116,014)</w:t>
            </w:r>
          </w:p>
        </w:tc>
        <w:tc>
          <w:tcPr>
            <w:tcW w:w="4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(113,455)</w:t>
            </w:r>
          </w:p>
        </w:tc>
      </w:tr>
      <w:tr>
        <w:trPr>
          <w:trHeight w:val="223"/>
        </w:trPr>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-1165225</wp:posOffset>
            </wp:positionV>
            <wp:extent cx="570039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-890905</wp:posOffset>
            </wp:positionV>
            <wp:extent cx="570039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-616585</wp:posOffset>
            </wp:positionV>
            <wp:extent cx="570039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-316865</wp:posOffset>
            </wp:positionV>
            <wp:extent cx="570039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40" w:space="720"/>
            <w:col w:w="4680"/>
          </w:cols>
          <w:pgMar w:left="320" w:top="684" w:right="339" w:bottom="1440" w:gutter="0" w:footer="0" w:header="0"/>
          <w:type w:val="continuous"/>
        </w:sectPr>
      </w:pPr>
    </w:p>
    <w:tbl>
      <w:tblPr>
        <w:tblLayout w:type="fixed"/>
        <w:tblInd w:w="980" w:type="dxa"/>
        <w:tblCellMar>
          <w:top w:w="0" w:type="dxa"/>
          <w:left w:w="0" w:type="dxa"/>
          <w:bottom w:w="0" w:type="dxa"/>
          <w:right w:w="0" w:type="dxa"/>
        </w:tblCellMar>
      </w:tblPr>
      <w:tr>
        <w:trPr>
          <w:trHeight w:val="196"/>
        </w:trPr>
        <w:tc>
          <w:tcPr>
            <w:tcW w:w="5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66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6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receivable (Ministry of Economy)</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66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(280)</w:t>
            </w:r>
          </w:p>
        </w:tc>
        <w:tc>
          <w:tcPr>
            <w:tcW w:w="64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6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payable by the Company.</w:t>
      </w:r>
    </w:p>
    <w:p>
      <w:pPr>
        <w:spacing w:after="0" w:line="187"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As mentioned in Note 9E above, the Company engaged Wainwright to act as its exclusive placement agent in connection with the transactions summarized above pursuant to an Engagement Letter, dated October 24, 2023 and paid Wainwright a cash fee equal to 7.0% of the gross proceeds received from the exercise of the Existing Investment Options as well as a management fee equal to 1.0% of the gross proceeds from the exercise of the Existing Investment Options. The Company also paid Wainwright $60 for non-accountable expenses, and approximately $16 for certain administrative fees.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8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Closing of the preferred investment option exercise inducement offer letter, and the modification of the previous warrants, the issuance of the stock and the warrants, and the receipt of cash, all occurred after December 31, 2023.</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Reinstatement of annual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8, 2024, the Board of Directors of the Company authorized the reinstatement of the annual fees payable to the independent directors for their services, effective as of January 1, 2024. Such fees were suspended in May 2023 as a result of the Company’s cost reduction plan.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also reinstated in full of the annual compensation of the CEO, effective as of January 1, 2024. Such compensation was reduced by 50% in May 2023 as a result of the Company’s cost reduction plan.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Settlement of litigation resulting from the 2017 financing:</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a lawsuit brought against the Company in 2020. The lawsuit stemmed from securities purchase agreements made between the Company and the third parties in 2017.</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agreed to pay $2,154 consisting of a cash payment of $1,100, covered by the Company’s insurance company, and 1,005,965 shares of restricted common stock. Furthermore, the Company’s insurance company is responsible for covering legal expenses incurred by the Company in relation to the legal proceedings of the Lawsuit. As part of the Settlement Agreement, the Company is also obligated to register the restricted common stock. In February 2024, the Plaintiffs filed a stipulation discontinuing the Lawsuit with prejudice.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Stock option grants and 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 The Company also granted the CEO and other executives, options to purchase an aggregate of 132,500 shares of common stock at an exercise price per share of $1.25, with vesting based on meeting certain performance conditions in the year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certain employees and advisors, options to purchase an aggregate of 77,500 shares of the Company’s common stock, at an exercise price per share of $1.2684, with a vesting period of three years.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 The remaining 75% of the CEO’s bonus will be paid in cash contingent upon meeting certain conditions during 2024. As for other Company executives’ 2023 annual bonuses, in February 2024, the Company paid 50% of such bonuses in cash. The remaining 50% of such bonuses will be paid in cash contingent upon meeting certain conditions during 2024. As of December 31, 2023 and for the year then ended, the portions of the bonuses, which were paid in February 2024 in options and cash, were reflected as a liability in the Company’s balance sheet against payroll expenses in the Company’s statement of comprehensive loss, amounting to approximately $140.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Return of CardioSert intellectual property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2024, the Company received notice from CardioSert that it was triggering its right to reacquire the Technology, pursuant to its rights under the CardioSert Agreement. The Company expects the transfer of the Technology back to CardioSert will occur in the second fiscal quarter of 2024.</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68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20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0"/>
        </w:trPr>
        <w:tc>
          <w:tcPr>
            <w:tcW w:w="6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6200" w:type="dxa"/>
            <w:vAlign w:val="bottom"/>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receivable related to legal settlement and legal expenses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18"/>
                <w:szCs w:val="18"/>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63"/>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9"/>
                <w:szCs w:val="19"/>
                <w:color w:val="auto"/>
              </w:rPr>
            </w:pPr>
          </w:p>
        </w:tc>
      </w:tr>
      <w:tr>
        <w:trPr>
          <w:trHeight w:val="21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r>
      <w:tr>
        <w:trPr>
          <w:trHeight w:val="210"/>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16,651,433 and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11,707,317 shares issued and outstanding as of September 30, 2024 and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91,192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09"/>
        </w:trPr>
        <w:tc>
          <w:tcPr>
            <w:tcW w:w="6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6"/>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9"/>
                <w:szCs w:val="19"/>
                <w:color w:val="auto"/>
              </w:rPr>
            </w:pPr>
          </w:p>
        </w:tc>
        <w:tc>
          <w:tcPr>
            <w:tcW w:w="2680" w:type="dxa"/>
            <w:vAlign w:val="bottom"/>
            <w:gridSpan w:val="6"/>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8"/>
              </w:rPr>
              <w:t>Unaudited</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rPr>
              <w:t>Unaudited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2,060</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4,646</w:t>
            </w:r>
          </w:p>
        </w:tc>
        <w:tc>
          <w:tcPr>
            <w:tcW w:w="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4,594</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8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932</w:t>
            </w:r>
          </w:p>
        </w:tc>
        <w:tc>
          <w:tcPr>
            <w:tcW w:w="2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3,193</w:t>
            </w:r>
          </w:p>
        </w:tc>
      </w:tr>
      <w:tr>
        <w:trPr>
          <w:trHeight w:val="209"/>
        </w:trPr>
        <w:tc>
          <w:tcPr>
            <w:tcW w:w="5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w:t>
            </w: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(0.53)</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197"/>
        </w:trPr>
        <w:tc>
          <w:tcPr>
            <w:tcW w:w="52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16,471,419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11,707,317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15,129,574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9,653,337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2"/>
        </w:trPr>
        <w:tc>
          <w:tcPr>
            <w:tcW w:w="4180" w:type="dxa"/>
            <w:vAlign w:val="bottom"/>
          </w:tcPr>
          <w:p>
            <w:pPr>
              <w:spacing w:after="0"/>
              <w:rPr>
                <w:sz w:val="21"/>
                <w:szCs w:val="21"/>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3,576,689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(2,446)</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2023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4180" w:type="dxa"/>
            <w:vAlign w:val="bottom"/>
          </w:tcPr>
          <w:p>
            <w:pPr>
              <w:spacing w:after="0"/>
              <w:rPr>
                <w:sz w:val="21"/>
                <w:szCs w:val="21"/>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4,501</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3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6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14,398,964</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CEEFF"/>
            </w:tcBorders>
          </w:tcPr>
          <w:p>
            <w:pPr>
              <w:spacing w:after="0"/>
              <w:rPr>
                <w:sz w:val="22"/>
                <w:szCs w:val="22"/>
                <w:color w:val="auto"/>
              </w:rPr>
            </w:pPr>
          </w:p>
        </w:tc>
      </w:tr>
      <w:tr>
        <w:trPr>
          <w:trHeight w:val="196"/>
        </w:trPr>
        <w:tc>
          <w:tcPr>
            <w:tcW w:w="41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7"/>
                <w:szCs w:val="17"/>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1,566,669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r>
      <w:tr>
        <w:trPr>
          <w:trHeight w:val="23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(2,465)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(2,465)</w:t>
            </w:r>
          </w:p>
        </w:tc>
      </w:tr>
      <w:tr>
        <w:trPr>
          <w:trHeight w:val="26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June 30,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15,965,633</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00" w:type="dxa"/>
            <w:vAlign w:val="bottom"/>
            <w:tcBorders>
              <w:bottom w:val="single" w:sz="8" w:color="CCEEFF"/>
            </w:tcBorders>
          </w:tcPr>
          <w:p>
            <w:pPr>
              <w:spacing w:after="0"/>
              <w:rPr>
                <w:sz w:val="22"/>
                <w:szCs w:val="22"/>
                <w:color w:val="auto"/>
              </w:rPr>
            </w:pPr>
          </w:p>
        </w:tc>
      </w:tr>
      <w:tr>
        <w:trPr>
          <w:trHeight w:val="210"/>
        </w:trPr>
        <w:tc>
          <w:tcPr>
            <w:tcW w:w="4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at-the-market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program, net of 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685,800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r>
      <w:tr>
        <w:trPr>
          <w:trHeight w:val="23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(3,215)</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2024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16,651,433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$333. See Note 4A.</w:t>
      </w:r>
    </w:p>
    <w:p>
      <w:pPr>
        <w:spacing w:after="0" w:line="27"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3G.</w:t>
      </w:r>
    </w:p>
    <w:p>
      <w:pPr>
        <w:spacing w:after="0" w:line="9"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$328. See also Note 4B.</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Net of issuance costs in the amount of approximately $49. See also Note 4D.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(8,051)</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(7,586)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1,335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(5,120)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(8,379)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2,680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short term deposit</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5,104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(1,990)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2,517</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6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86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Accrued executive bonus settled through grant of stock-option awards</w:t>
            </w:r>
          </w:p>
        </w:tc>
        <w:tc>
          <w:tcPr>
            <w:tcW w:w="46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September 30, 2024, the Company had cash equivalents and a marketable securities balance of approximately $4,338, excluding restricted cash. Due to continuing research and development activities, the Company expects to continue to incur additional losses for the foreseeable future, as well as to seek to raise additional funds through future issuances of either debt and/or equity securities and possibly additional grants from government institutions. The Company will require additional capital and its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issuance date of these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firstLine="8"/>
        <w:spacing w:after="0" w:line="282" w:lineRule="auto"/>
        <w:tabs>
          <w:tab w:leader="none" w:pos="1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w:t>
      </w:r>
    </w:p>
    <w:p>
      <w:pPr>
        <w:spacing w:after="0" w:line="16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 and</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workforce due to military service of some employees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C. Unaudited Interim Condensed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condensed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condensed consolidated financial statements should be read in conjunction with the latest audited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nine-month period ended September 30,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3,859</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26"/>
        </w:trPr>
        <w:tc>
          <w:tcPr>
            <w:tcW w:w="4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2,497</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2,497</w:t>
            </w:r>
          </w:p>
        </w:tc>
        <w:tc>
          <w:tcPr>
            <w:tcW w:w="1100" w:type="dxa"/>
            <w:vAlign w:val="bottom"/>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1,420</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3,917</w:t>
            </w:r>
          </w:p>
        </w:tc>
        <w:tc>
          <w:tcPr>
            <w:tcW w:w="3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September 30, 2024 and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for awards that qualify as “plain-vanilla”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determination of each of the inputs can affect the fair value of the stock options granted and the results of operations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to update reportable segment disclosure requirements, primarily through enhanced disclosures about significant segment expenses.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The Company is currently evaluating the impact that the adoption of this standard will have on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September 30, 2024 totaling approximately $1,878. This includes amounts received of approximately $378,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 See also Notes 3C and 5C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September 30, 2024, the Company received approximately $50 of such grant. In relation with the Ministry of Economy grant, the Company is obligated to pay royalties amounting to 3% of future sales of the LIBERTY® Endovascular Robotic Surgical System up to the grant amount plus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See also Note 5C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Microbot Israel transferred the Technology back to CardioSert, for nominal consideration, pursuant to the terms of the CardioSert Agreement. As a result, Microbot Israel’s liability to repay CardioSert’s IIA grants in the aggregate amount of approximately $530 was also transferred back to CardioSert.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The compensation to Wainwright for sales of the shares is a placement fee of 3.0% of the gross sales price of the shares of common stock sold pursuant to this ATM Agreement. See also Notes 4D and 5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on October 24, 2023 and on May 29, 2024,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2" w:gutter="0" w:footer="0" w:header="0"/>
        </w:sectPr>
      </w:pPr>
    </w:p>
    <w:bookmarkStart w:id="118" w:name="page119"/>
    <w:bookmarkEnd w:id="118"/>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 Mona’s appellate brief was filed on June 28, 2024 and the Company’s opposition has also been filed. The Company is waiting for the Court’s determination as to whether oral arguments will be required, which if so are expected to be held by January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10, 2024, Mona posted a bond in the full amount of the Judgment, which the Company will move to collect if the appeal is denied or the original judgment in the Company’s favor is upheld.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Compensation Committee of the Board of Directors of the Company approved certain bonuses for the 2023 fiscal year contingent on capital raising efforts. These bonuses are detailed as follows: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CEO was granted a contingent cash bonus of up to approximately $298, which is divided into two contingent portions. The first 50% of the CEO’s contingent bonus ($149) is payable upon the Company raising at least $3,000 in new funds by June 30, 2024. As of June 30, 2024, the Company did not raise $3,000 in new funds. However, on July 17, 2024, the Compensation Committee of the Board of Directors of the Company nevertheless approved the payment of the first 50% of the contingent bonus to the Company’s CEO in the amount of approximately $149. This bonus was recorded as a charge to expenses in the three-month period ended September 30,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remaining 50% ($149), payable upon the Company raising at least $6,000 in new funds by September 30, 2024 (cumulative, so if $3,000 is not raised by June 30, 2024 but the full $6,000 is raised by September 30, 2024, or if $10,000 is raised by December 31, 2024, the full amount is payable). The Company’s management is unable to predict the likelihood of securing additional capital; therefore, as of September 30, 2024, the Company has not recorded a liability for any contingent bonus.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executives are entitled to an aggregate contingent total bonus of NIS 230,736 (approximately $61), which is payable upon the Company raising at least $3,000 in new funds by September 30, 2024. During the third quarter of 2024, the Company achieved a cumulative capital raise of $3,000. On July 17, 2024, the Compensation Committee of the Board of Directors of the Company approved the payment of such bonuses to the Company’s CFO and CTO in the aggregate amount of approximately $61. This bonus was recorded as a charge to expenses in the three-month period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Preferred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Preferred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June 2024 Offerings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from the Offerings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78,333 shares of common stock which have the same terms as investors’ preferred investment options except for an exercise price equal to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D. At-the-market offerings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the Company filed with the SEC a prospectus supplement relating to the offer, issuance and sale of up to $4,820 of the Company’s shares of common stock pursuant to the ATM Agreement. For the three months ended September 30, 2024, the Company issued 685,800 shares of the Company’s common stock pursuant to the ATM Agreement, for total gross proceeds of approximately $734 before deducting sales agent commissions and other offering expenses of $49.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common stock of the Company are recognized as equity under the requirements of ASC Topic 505 Equity.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E and series F preferred investment options and concluded that they should be classified as equity.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Employee and advisor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For the nine-month period ended September 30, 2024, the Company did not record an expense for these performance-based grants. This was either because the Company’s management believes the conditions are tied to securing additional capital, or because specific performance obligations, with deadlines set on or before September 30, 2024, were not met by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September 2024, the Company granted an advisor options to purchase an aggregate of 25,000 shares of the Company’s common stock, at an exercise price per share of $0.8558, with a vesting period of three years.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offerings subsequent to balance sheet 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October 2024, the Company issued 280,908 shares of the Company’s common stock pursuant to the ATM Agreement, for total gross proceeds of approximately $285.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5"/>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lowerRoman"/>
      <w:start w:val="2"/>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5"/>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1)"/>
      <w:numFmt w:val="lowerRoman"/>
      <w:start w:val="2"/>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2025-02-21T16:45:04Z</dcterms:created>
  <dcterms:modified xsi:type="dcterms:W3CDTF">2025-02-21T16:45:04Z</dcterms:modified>
</cp:coreProperties>
</file>