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07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0796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60" w:type="dxa"/>
            <w:vAlign w:val="bottom"/>
            <w:gridSpan w:val="4"/>
            <w:vMerge w:val="restart"/>
          </w:tcPr>
          <w:p>
            <w:pPr>
              <w:spacing w:after="0" w:line="250" w:lineRule="exact"/>
              <w:rPr>
                <w:rFonts w:ascii="Arial" w:cs="Arial" w:eastAsia="Arial" w:hAnsi="Arial"/>
                <w:sz w:val="22"/>
                <w:szCs w:val="22"/>
                <w:color w:val="0000EE"/>
                <w:w w:val="90"/>
              </w:rPr>
            </w:pPr>
            <w:hyperlink r:id="rId12">
              <w:r>
                <w:rPr>
                  <w:rFonts w:ascii="Arial" w:cs="Arial" w:eastAsia="Arial" w:hAnsi="Arial"/>
                  <w:sz w:val="22"/>
                  <w:szCs w:val="22"/>
                  <w:color w:val="0000EE"/>
                  <w:w w:val="90"/>
                </w:rPr>
                <w:t>Young Rodney KB</w:t>
              </w:r>
            </w:hyperlink>
          </w:p>
        </w:tc>
        <w:tc>
          <w:tcPr>
            <w:tcW w:w="8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40" w:type="dxa"/>
            <w:vAlign w:val="bottom"/>
            <w:gridSpan w:val="7"/>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STEMCELLS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STEM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60" w:type="dxa"/>
            <w:vAlign w:val="bottom"/>
            <w:gridSpan w:val="4"/>
            <w:vMerge w:val="continue"/>
          </w:tcPr>
          <w:p>
            <w:pPr>
              <w:spacing w:after="0"/>
              <w:rPr>
                <w:sz w:val="4"/>
                <w:szCs w:val="4"/>
                <w:color w:val="auto"/>
              </w:rPr>
            </w:pPr>
          </w:p>
        </w:tc>
        <w:tc>
          <w:tcPr>
            <w:tcW w:w="8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gridSpan w:val="4"/>
            <w:vMerge w:val="continue"/>
          </w:tcPr>
          <w:p>
            <w:pPr>
              <w:spacing w:after="0"/>
              <w:rPr>
                <w:sz w:val="2"/>
                <w:szCs w:val="2"/>
                <w:color w:val="auto"/>
              </w:rPr>
            </w:pPr>
          </w:p>
        </w:tc>
        <w:tc>
          <w:tcPr>
            <w:tcW w:w="8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8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60" w:type="dxa"/>
            <w:vAlign w:val="bottom"/>
            <w:tcBorders>
              <w:bottom w:val="single" w:sz="8" w:color="0000EE"/>
            </w:tcBorders>
            <w:gridSpan w:val="4"/>
            <w:vMerge w:val="continue"/>
          </w:tcPr>
          <w:p>
            <w:pPr>
              <w:spacing w:after="0"/>
              <w:rPr>
                <w:sz w:val="5"/>
                <w:szCs w:val="5"/>
                <w:color w:val="auto"/>
              </w:rPr>
            </w:pPr>
          </w:p>
        </w:tc>
        <w:tc>
          <w:tcPr>
            <w:tcW w:w="880" w:type="dxa"/>
            <w:vAlign w:val="bottom"/>
            <w:vMerge w:val="restart"/>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60" w:type="dxa"/>
            <w:vAlign w:val="bottom"/>
            <w:gridSpan w:val="4"/>
          </w:tcPr>
          <w:p>
            <w:pPr>
              <w:spacing w:after="0"/>
              <w:rPr>
                <w:sz w:val="4"/>
                <w:szCs w:val="4"/>
                <w:color w:val="auto"/>
              </w:rPr>
            </w:pPr>
          </w:p>
        </w:tc>
        <w:tc>
          <w:tcPr>
            <w:tcW w:w="880" w:type="dxa"/>
            <w:vAlign w:val="bottom"/>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vMerge w:val="restart"/>
          </w:tcPr>
          <w:p>
            <w:pPr>
              <w:ind w:left="60"/>
              <w:spacing w:after="0"/>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280" w:type="dxa"/>
            <w:vAlign w:val="bottom"/>
            <w:tcBorders>
              <w:top w:val="single" w:sz="8" w:color="EEEEEE"/>
            </w:tcBorders>
          </w:tcPr>
          <w:p>
            <w:pPr>
              <w:spacing w:after="0"/>
              <w:rPr>
                <w:sz w:val="3"/>
                <w:szCs w:val="3"/>
                <w:color w:val="auto"/>
              </w:rPr>
            </w:pPr>
          </w:p>
        </w:tc>
        <w:tc>
          <w:tcPr>
            <w:tcW w:w="140" w:type="dxa"/>
            <w:vAlign w:val="bottom"/>
            <w:tcBorders>
              <w:top w:val="single" w:sz="8" w:color="EEEEEE"/>
            </w:tcBorders>
          </w:tcPr>
          <w:p>
            <w:pPr>
              <w:spacing w:after="0"/>
              <w:rPr>
                <w:sz w:val="3"/>
                <w:szCs w:val="3"/>
                <w:color w:val="auto"/>
              </w:rPr>
            </w:pPr>
          </w:p>
        </w:tc>
        <w:tc>
          <w:tcPr>
            <w:tcW w:w="880" w:type="dxa"/>
            <w:vAlign w:val="bottom"/>
            <w:tcBorders>
              <w:top w:val="single" w:sz="8" w:color="EEEEEE"/>
            </w:tcBorders>
          </w:tcPr>
          <w:p>
            <w:pPr>
              <w:spacing w:after="0"/>
              <w:rPr>
                <w:sz w:val="3"/>
                <w:szCs w:val="3"/>
                <w:color w:val="auto"/>
              </w:rPr>
            </w:pPr>
          </w:p>
        </w:tc>
        <w:tc>
          <w:tcPr>
            <w:tcW w:w="120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172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6"/>
                <w:szCs w:val="6"/>
                <w:color w:val="auto"/>
              </w:rPr>
            </w:pPr>
          </w:p>
        </w:tc>
        <w:tc>
          <w:tcPr>
            <w:tcW w:w="1300" w:type="dxa"/>
            <w:vAlign w:val="bottom"/>
            <w:gridSpan w:val="3"/>
            <w:vMerge w:val="restart"/>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040" w:type="dxa"/>
            <w:vAlign w:val="bottom"/>
            <w:gridSpan w:val="7"/>
            <w:vMerge w:val="restart"/>
          </w:tcPr>
          <w:p>
            <w:pPr>
              <w:spacing w:after="0"/>
              <w:rPr>
                <w:sz w:val="20"/>
                <w:szCs w:val="20"/>
                <w:color w:val="auto"/>
              </w:rPr>
            </w:pPr>
            <w:r>
              <w:rPr>
                <w:rFonts w:ascii="Arial" w:cs="Arial" w:eastAsia="Arial" w:hAnsi="Arial"/>
                <w:sz w:val="14"/>
                <w:szCs w:val="14"/>
                <w:color w:val="auto"/>
                <w:w w:val="99"/>
              </w:rPr>
              <w:t>3. Date of Earliest Transaction (Month/Day/Year)</w:t>
            </w: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1260" w:type="dxa"/>
            <w:vAlign w:val="bottom"/>
            <w:gridSpan w:val="2"/>
            <w:vMerge w:val="restart"/>
          </w:tcPr>
          <w:p>
            <w:pPr>
              <w:ind w:left="160"/>
              <w:spacing w:after="0" w:line="135" w:lineRule="exact"/>
              <w:rPr>
                <w:sz w:val="20"/>
                <w:szCs w:val="20"/>
                <w:color w:val="auto"/>
              </w:rPr>
            </w:pPr>
            <w:r>
              <w:rPr>
                <w:rFonts w:ascii="Arial" w:cs="Arial" w:eastAsia="Arial" w:hAnsi="Arial"/>
                <w:sz w:val="14"/>
                <w:szCs w:val="14"/>
                <w:color w:val="auto"/>
              </w:rPr>
              <w:t>below)</w:t>
            </w:r>
          </w:p>
        </w:tc>
        <w:tc>
          <w:tcPr>
            <w:tcW w:w="960" w:type="dxa"/>
            <w:vAlign w:val="bottom"/>
            <w:vMerge w:val="restart"/>
          </w:tcPr>
          <w:p>
            <w:pPr>
              <w:ind w:left="540"/>
              <w:spacing w:after="0" w:line="135" w:lineRule="exact"/>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300" w:type="dxa"/>
            <w:vAlign w:val="bottom"/>
            <w:gridSpan w:val="3"/>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40" w:type="dxa"/>
            <w:vAlign w:val="bottom"/>
            <w:gridSpan w:val="7"/>
            <w:vMerge w:val="continue"/>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1300" w:type="dxa"/>
            <w:vAlign w:val="bottom"/>
            <w:gridSpan w:val="3"/>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040" w:type="dxa"/>
            <w:vAlign w:val="bottom"/>
            <w:gridSpan w:val="7"/>
            <w:vMerge w:val="continue"/>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860" w:type="dxa"/>
            <w:vAlign w:val="bottom"/>
            <w:gridSpan w:val="2"/>
            <w:vMerge w:val="restart"/>
          </w:tcPr>
          <w:p>
            <w:pPr>
              <w:ind w:left="720"/>
              <w:spacing w:after="0"/>
              <w:rPr>
                <w:sz w:val="20"/>
                <w:szCs w:val="20"/>
                <w:color w:val="auto"/>
              </w:rPr>
            </w:pPr>
            <w:r>
              <w:rPr>
                <w:rFonts w:ascii="Arial" w:cs="Arial" w:eastAsia="Arial" w:hAnsi="Arial"/>
                <w:sz w:val="18"/>
                <w:szCs w:val="18"/>
                <w:color w:val="0000FF"/>
              </w:rPr>
              <w:t>CFO</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3"/>
            <w:vMerge w:val="restart"/>
          </w:tcPr>
          <w:p>
            <w:pPr>
              <w:spacing w:after="0"/>
              <w:rPr>
                <w:sz w:val="20"/>
                <w:szCs w:val="20"/>
                <w:color w:val="auto"/>
              </w:rPr>
            </w:pPr>
            <w:r>
              <w:rPr>
                <w:rFonts w:ascii="Arial" w:cs="Arial" w:eastAsia="Arial" w:hAnsi="Arial"/>
                <w:sz w:val="18"/>
                <w:szCs w:val="18"/>
                <w:color w:val="0000FF"/>
                <w:w w:val="97"/>
              </w:rPr>
              <w:t>STEMCELLS, INC.</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40" w:type="dxa"/>
            <w:vAlign w:val="bottom"/>
            <w:gridSpan w:val="5"/>
          </w:tcPr>
          <w:p>
            <w:pPr>
              <w:ind w:left="160"/>
              <w:spacing w:after="0"/>
              <w:rPr>
                <w:sz w:val="20"/>
                <w:szCs w:val="20"/>
                <w:color w:val="auto"/>
              </w:rPr>
            </w:pPr>
            <w:r>
              <w:rPr>
                <w:rFonts w:ascii="Arial" w:cs="Arial" w:eastAsia="Arial" w:hAnsi="Arial"/>
                <w:sz w:val="18"/>
                <w:szCs w:val="18"/>
                <w:color w:val="0000FF"/>
              </w:rPr>
              <w:t>05/15/2011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60" w:type="dxa"/>
            <w:vAlign w:val="bottom"/>
            <w:gridSpan w:val="2"/>
            <w:vMerge w:val="continue"/>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tcPr>
          <w:p>
            <w:pPr>
              <w:spacing w:after="0"/>
              <w:rPr>
                <w:sz w:val="9"/>
                <w:szCs w:val="9"/>
                <w:color w:val="auto"/>
              </w:rPr>
            </w:pPr>
          </w:p>
        </w:tc>
        <w:tc>
          <w:tcPr>
            <w:tcW w:w="900" w:type="dxa"/>
            <w:vAlign w:val="bottom"/>
          </w:tcPr>
          <w:p>
            <w:pPr>
              <w:spacing w:after="0"/>
              <w:rPr>
                <w:sz w:val="9"/>
                <w:szCs w:val="9"/>
                <w:color w:val="auto"/>
              </w:rPr>
            </w:pP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tcPr>
          <w:p>
            <w:pPr>
              <w:spacing w:after="0" w:line="198" w:lineRule="exact"/>
              <w:rPr>
                <w:sz w:val="20"/>
                <w:szCs w:val="20"/>
                <w:color w:val="auto"/>
              </w:rPr>
            </w:pPr>
            <w:r>
              <w:rPr>
                <w:rFonts w:ascii="Arial" w:cs="Arial" w:eastAsia="Arial" w:hAnsi="Arial"/>
                <w:sz w:val="18"/>
                <w:szCs w:val="18"/>
                <w:color w:val="0000FF"/>
              </w:rPr>
              <w:t>3155 PORTER DRIVE</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42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86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160" w:type="dxa"/>
            <w:vAlign w:val="bottom"/>
            <w:tcBorders>
              <w:bottom w:val="single" w:sz="8" w:color="2C2C2C"/>
            </w:tcBorders>
          </w:tcPr>
          <w:p>
            <w:pPr>
              <w:spacing w:after="0"/>
              <w:rPr>
                <w:sz w:val="19"/>
                <w:szCs w:val="19"/>
                <w:color w:val="auto"/>
              </w:rPr>
            </w:pPr>
          </w:p>
        </w:tc>
        <w:tc>
          <w:tcPr>
            <w:tcW w:w="18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240" w:type="dxa"/>
            <w:vAlign w:val="bottom"/>
            <w:tcBorders>
              <w:bottom w:val="single" w:sz="8" w:color="2C2C2C"/>
            </w:tcBorders>
          </w:tcPr>
          <w:p>
            <w:pPr>
              <w:spacing w:after="0"/>
              <w:rPr>
                <w:sz w:val="19"/>
                <w:szCs w:val="19"/>
                <w:color w:val="auto"/>
              </w:rPr>
            </w:pPr>
          </w:p>
        </w:tc>
        <w:tc>
          <w:tcPr>
            <w:tcW w:w="360" w:type="dxa"/>
            <w:vAlign w:val="bottom"/>
            <w:tcBorders>
              <w:bottom w:val="single" w:sz="8" w:color="2C2C2C"/>
            </w:tcBorders>
          </w:tcPr>
          <w:p>
            <w:pPr>
              <w:spacing w:after="0"/>
              <w:rPr>
                <w:sz w:val="19"/>
                <w:szCs w:val="19"/>
                <w:color w:val="auto"/>
              </w:rPr>
            </w:pPr>
          </w:p>
        </w:tc>
        <w:tc>
          <w:tcPr>
            <w:tcW w:w="900" w:type="dxa"/>
            <w:vAlign w:val="bottom"/>
            <w:tcBorders>
              <w:bottom w:val="single" w:sz="8" w:color="2C2C2C"/>
            </w:tcBorders>
          </w:tcPr>
          <w:p>
            <w:pPr>
              <w:spacing w:after="0"/>
              <w:rPr>
                <w:sz w:val="19"/>
                <w:szCs w:val="19"/>
                <w:color w:val="auto"/>
              </w:rPr>
            </w:pPr>
          </w:p>
        </w:tc>
        <w:tc>
          <w:tcPr>
            <w:tcW w:w="96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40" w:type="dxa"/>
            <w:vAlign w:val="bottom"/>
            <w:gridSpan w:val="8"/>
          </w:tcPr>
          <w:p>
            <w:pPr>
              <w:spacing w:after="0" w:line="155" w:lineRule="exact"/>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15"/>
                <w:szCs w:val="15"/>
                <w:color w:val="auto"/>
              </w:rPr>
            </w:pPr>
          </w:p>
        </w:tc>
        <w:tc>
          <w:tcPr>
            <w:tcW w:w="3440" w:type="dxa"/>
            <w:vAlign w:val="bottom"/>
            <w:gridSpan w:val="8"/>
          </w:tcPr>
          <w:p>
            <w:pPr>
              <w:ind w:left="80"/>
              <w:spacing w:after="0" w:line="155"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gridSpan w:val="3"/>
          </w:tcPr>
          <w:p>
            <w:pPr>
              <w:ind w:left="80"/>
              <w:spacing w:after="0"/>
              <w:rPr>
                <w:sz w:val="20"/>
                <w:szCs w:val="20"/>
                <w:color w:val="auto"/>
              </w:rPr>
            </w:pPr>
            <w:r>
              <w:rPr>
                <w:rFonts w:ascii="Arial" w:cs="Arial" w:eastAsia="Arial" w:hAnsi="Arial"/>
                <w:sz w:val="14"/>
                <w:szCs w:val="14"/>
                <w:color w:val="auto"/>
              </w:rPr>
              <w:t>Line)</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PALO ALTO</w:t>
            </w: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87"/>
              </w:rPr>
              <w:t>CA</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94304</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2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9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3"/>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3"/>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08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920" w:type="dxa"/>
            <w:vAlign w:val="bottom"/>
            <w:tcBorders>
              <w:top w:val="single" w:sz="8" w:color="2C2C2C"/>
            </w:tcBorders>
            <w:gridSpan w:val="19"/>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4"/>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40" w:type="dxa"/>
            <w:vAlign w:val="bottom"/>
            <w:gridSpan w:val="5"/>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5"/>
          </w:tcPr>
          <w:p>
            <w:pPr>
              <w:ind w:left="860"/>
              <w:spacing w:after="0"/>
              <w:rPr>
                <w:sz w:val="20"/>
                <w:szCs w:val="20"/>
                <w:color w:val="auto"/>
              </w:rPr>
            </w:pPr>
            <w:r>
              <w:rPr>
                <w:rFonts w:ascii="Arial" w:cs="Arial" w:eastAsia="Arial" w:hAnsi="Arial"/>
                <w:sz w:val="18"/>
                <w:szCs w:val="18"/>
                <w:color w:val="0000FF"/>
              </w:rPr>
              <w:t>05/15/2011</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80"/>
              <w:spacing w:after="0"/>
              <w:rPr>
                <w:sz w:val="20"/>
                <w:szCs w:val="20"/>
                <w:color w:val="auto"/>
              </w:rPr>
            </w:pPr>
            <w:r>
              <w:rPr>
                <w:rFonts w:ascii="Arial" w:cs="Arial" w:eastAsia="Arial" w:hAnsi="Arial"/>
                <w:sz w:val="14"/>
                <w:szCs w:val="14"/>
                <w:color w:val="0000FF"/>
              </w:rPr>
              <w:t>F</w:t>
            </w:r>
          </w:p>
        </w:tc>
        <w:tc>
          <w:tcPr>
            <w:tcW w:w="74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w w:val="87"/>
              </w:rPr>
              <w:t>21,667</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4"/>
          </w:tcPr>
          <w:p>
            <w:pPr>
              <w:jc w:val="right"/>
              <w:ind w:right="5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0.77</w:t>
            </w:r>
          </w:p>
        </w:tc>
        <w:tc>
          <w:tcPr>
            <w:tcW w:w="1260" w:type="dxa"/>
            <w:vAlign w:val="bottom"/>
            <w:tcBorders>
              <w:bottom w:val="single" w:sz="8" w:color="2C2C2C"/>
            </w:tcBorders>
            <w:gridSpan w:val="2"/>
          </w:tcPr>
          <w:p>
            <w:pPr>
              <w:jc w:val="center"/>
              <w:ind w:right="214"/>
              <w:spacing w:after="0"/>
              <w:rPr>
                <w:sz w:val="20"/>
                <w:szCs w:val="20"/>
                <w:color w:val="auto"/>
              </w:rPr>
            </w:pPr>
            <w:r>
              <w:rPr>
                <w:rFonts w:ascii="Arial" w:cs="Arial" w:eastAsia="Arial" w:hAnsi="Arial"/>
                <w:sz w:val="18"/>
                <w:szCs w:val="18"/>
                <w:color w:val="0000FF"/>
              </w:rPr>
              <w:t>427,533</w:t>
            </w:r>
            <w:r>
              <w:rPr>
                <w:rFonts w:ascii="Arial" w:cs="Arial" w:eastAsia="Arial" w:hAnsi="Arial"/>
                <w:sz w:val="22"/>
                <w:szCs w:val="22"/>
                <w:color w:val="008000"/>
                <w:vertAlign w:val="superscript"/>
              </w:rPr>
              <w:t>(1)</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ind w:right="354"/>
              <w:spacing w:after="0"/>
              <w:rPr>
                <w:sz w:val="20"/>
                <w:szCs w:val="20"/>
                <w:color w:val="auto"/>
              </w:rPr>
            </w:pPr>
            <w:r>
              <w:rPr>
                <w:rFonts w:ascii="Arial" w:cs="Arial" w:eastAsia="Arial" w:hAnsi="Arial"/>
                <w:sz w:val="18"/>
                <w:szCs w:val="18"/>
                <w:color w:val="0000FF"/>
                <w:w w:val="83"/>
              </w:rPr>
              <w:t>12,875</w:t>
            </w:r>
          </w:p>
        </w:tc>
        <w:tc>
          <w:tcPr>
            <w:tcW w:w="960" w:type="dxa"/>
            <w:vAlign w:val="bottom"/>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ind w:left="20"/>
              <w:spacing w:after="0"/>
              <w:rPr>
                <w:sz w:val="20"/>
                <w:szCs w:val="20"/>
                <w:color w:val="auto"/>
              </w:rPr>
            </w:pPr>
            <w:r>
              <w:rPr>
                <w:rFonts w:ascii="Arial" w:cs="Arial" w:eastAsia="Arial" w:hAnsi="Arial"/>
                <w:sz w:val="18"/>
                <w:szCs w:val="18"/>
                <w:color w:val="0000FF"/>
              </w:rPr>
              <w:t>Plan</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920" w:type="dxa"/>
            <w:vAlign w:val="bottom"/>
            <w:tcBorders>
              <w:top w:val="single" w:sz="8" w:color="2C2C2C"/>
            </w:tcBorders>
            <w:gridSpan w:val="19"/>
          </w:tcPr>
          <w:p>
            <w:pPr>
              <w:jc w:val="center"/>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40" w:type="dxa"/>
            <w:vAlign w:val="bottom"/>
            <w:gridSpan w:val="15"/>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13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3"/>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80" w:type="dxa"/>
            <w:vAlign w:val="bottom"/>
            <w:gridSpan w:val="4"/>
          </w:tcPr>
          <w:p>
            <w:pPr>
              <w:ind w:left="46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4"/>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80" w:type="dxa"/>
            <w:vAlign w:val="bottom"/>
            <w:gridSpan w:val="4"/>
          </w:tcPr>
          <w:p>
            <w:pPr>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(1) 200,000 restricted stock units, with 50,000 vesting on each of June 1, 2011, June 1, 2012, June 1, 2013, and June 1, 2014 and (2) 113,334 restricted stock units, with 56,667 of this grant vesting on each of May 15, 2012 and May 15, 2013.</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Shares held in 401(k) account, in accordance with issuer's employer-match policies.</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60" w:type="dxa"/>
            <w:vAlign w:val="bottom"/>
            <w:gridSpan w:val="3"/>
          </w:tcPr>
          <w:p>
            <w:pPr>
              <w:spacing w:after="0"/>
              <w:rPr>
                <w:sz w:val="20"/>
                <w:szCs w:val="20"/>
                <w:color w:val="auto"/>
              </w:rPr>
            </w:pPr>
            <w:r>
              <w:rPr>
                <w:rFonts w:ascii="Arial" w:cs="Arial" w:eastAsia="Arial" w:hAnsi="Arial"/>
                <w:sz w:val="18"/>
                <w:szCs w:val="18"/>
                <w:color w:val="0000FF"/>
                <w:w w:val="95"/>
              </w:rPr>
              <w:t>/s/ Ken Stratton, attorney-in-</w:t>
            </w:r>
          </w:p>
        </w:tc>
        <w:tc>
          <w:tcPr>
            <w:tcW w:w="920" w:type="dxa"/>
            <w:vAlign w:val="bottom"/>
            <w:gridSpan w:val="2"/>
            <w:vMerge w:val="restart"/>
          </w:tcPr>
          <w:p>
            <w:pPr>
              <w:ind w:left="140"/>
              <w:spacing w:after="0"/>
              <w:rPr>
                <w:sz w:val="20"/>
                <w:szCs w:val="20"/>
                <w:color w:val="auto"/>
              </w:rPr>
            </w:pPr>
            <w:r>
              <w:rPr>
                <w:rFonts w:ascii="Arial" w:cs="Arial" w:eastAsia="Arial" w:hAnsi="Arial"/>
                <w:sz w:val="18"/>
                <w:szCs w:val="18"/>
                <w:color w:val="0000FF"/>
                <w:w w:val="84"/>
              </w:rPr>
              <w:t>05/17/2011</w:t>
            </w:r>
          </w:p>
        </w:tc>
        <w:tc>
          <w:tcPr>
            <w:tcW w:w="0" w:type="dxa"/>
            <w:vAlign w:val="bottom"/>
          </w:tcPr>
          <w:p>
            <w:pPr>
              <w:spacing w:after="0"/>
              <w:rPr>
                <w:sz w:val="1"/>
                <w:szCs w:val="1"/>
                <w:color w:val="auto"/>
              </w:rPr>
            </w:pPr>
          </w:p>
        </w:tc>
      </w:tr>
      <w:tr>
        <w:trPr>
          <w:trHeight w:val="88"/>
        </w:trPr>
        <w:tc>
          <w:tcPr>
            <w:tcW w:w="28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74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top w:val="single" w:sz="8" w:color="auto"/>
              <w:bottom w:val="single" w:sz="8" w:color="auto"/>
            </w:tcBorders>
            <w:vMerge w:val="continue"/>
          </w:tcPr>
          <w:p>
            <w:pPr>
              <w:spacing w:after="0"/>
              <w:rPr>
                <w:sz w:val="7"/>
                <w:szCs w:val="7"/>
                <w:color w:val="auto"/>
              </w:rPr>
            </w:pPr>
          </w:p>
        </w:tc>
        <w:tc>
          <w:tcPr>
            <w:tcW w:w="174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6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4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37831" TargetMode="External"/><Relationship Id="rId13" Type="http://schemas.openxmlformats.org/officeDocument/2006/relationships/hyperlink" Target="http://www.sec.gov/cgi-bin/browse-edgar?action=getcompany&amp;CIK=00008839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2019-12-18T02:16:10Z</dcterms:created>
  <dcterms:modified xsi:type="dcterms:W3CDTF">2019-12-18T02:16:10Z</dcterms:modified>
</cp:coreProperties>
</file>