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500" w:right="1540" w:hanging="4087"/>
        <w:spacing w:after="0" w:line="481" w:lineRule="auto"/>
        <w:tabs>
          <w:tab w:leader="none" w:pos="9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spacing w:after="0" w:line="34"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MS PGothic" w:cs="MS PGothic" w:eastAsia="MS PGothic" w:hAnsi="MS PGothic"/>
          <w:sz w:val="17"/>
          <w:szCs w:val="17"/>
          <w:color w:val="auto"/>
        </w:rPr>
      </w:pPr>
    </w:p>
    <w:p>
      <w:pPr>
        <w:ind w:left="44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____ to 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i w:val="1"/>
          <w:iCs w:val="1"/>
          <w:color w:val="auto"/>
        </w:rPr>
        <w:t>State or Other Jurisdiction of</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140" w:space="720"/>
            <w:col w:w="338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25 Recreation Park Drive, Unit 108</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3"/>
          </w:tcPr>
          <w:p>
            <w:pPr>
              <w:ind w:left="200"/>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60" w:type="dxa"/>
            <w:vAlign w:val="bottom"/>
            <w:gridSpan w:val="3"/>
          </w:tcPr>
          <w:p>
            <w:pPr>
              <w:jc w:val="center"/>
              <w:ind w:right="1040"/>
              <w:spacing w:after="0"/>
              <w:rPr>
                <w:sz w:val="20"/>
                <w:szCs w:val="20"/>
                <w:color w:val="auto"/>
              </w:rPr>
            </w:pPr>
            <w:r>
              <w:rPr>
                <w:rFonts w:ascii="Arial" w:cs="Arial" w:eastAsia="Arial" w:hAnsi="Arial"/>
                <w:sz w:val="18"/>
                <w:szCs w:val="18"/>
                <w:color w:val="auto"/>
                <w:w w:val="91"/>
              </w:rPr>
              <w:t>Title of Each Class</w:t>
            </w:r>
          </w:p>
        </w:tc>
        <w:tc>
          <w:tcPr>
            <w:tcW w:w="298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189"/>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8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40" w:type="dxa"/>
            <w:vAlign w:val="bottom"/>
          </w:tcPr>
          <w:p>
            <w:pPr>
              <w:ind w:left="7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8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8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40" w:type="dxa"/>
            <w:vAlign w:val="bottom"/>
          </w:tcPr>
          <w:p>
            <w:pPr>
              <w:ind w:left="76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18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7,108,133 shares of Common Stock, $0.01 par value at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gridSpan w:val="10"/>
          </w:tcPr>
          <w:p>
            <w:pPr>
              <w:jc w:val="center"/>
              <w:ind w:right="1900"/>
              <w:spacing w:after="0"/>
              <w:rPr>
                <w:sz w:val="20"/>
                <w:szCs w:val="20"/>
                <w:color w:val="auto"/>
              </w:rPr>
            </w:pPr>
            <w:r>
              <w:rPr>
                <w:rFonts w:ascii="Arial" w:cs="Arial" w:eastAsia="Arial" w:hAnsi="Arial"/>
                <w:sz w:val="18"/>
                <w:szCs w:val="18"/>
                <w:b w:val="1"/>
                <w:bCs w:val="1"/>
                <w:color w:val="auto"/>
              </w:rPr>
              <w:t>MICROBOT MEDICAL INC. AND SUBSIDIARIES</w:t>
            </w:r>
          </w:p>
        </w:tc>
        <w:tc>
          <w:tcPr>
            <w:tcW w:w="10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7"/>
          </w:tcPr>
          <w:p>
            <w:pPr>
              <w:jc w:val="center"/>
              <w:ind w:right="3960"/>
              <w:spacing w:after="0"/>
              <w:rPr>
                <w:sz w:val="20"/>
                <w:szCs w:val="20"/>
                <w:color w:val="auto"/>
              </w:rPr>
            </w:pPr>
            <w:r>
              <w:rPr>
                <w:rFonts w:ascii="Arial" w:cs="Arial" w:eastAsia="Arial" w:hAnsi="Arial"/>
                <w:sz w:val="18"/>
                <w:szCs w:val="18"/>
                <w:color w:val="auto"/>
                <w:w w:val="90"/>
              </w:rPr>
              <w:t>Index</w:t>
            </w:r>
          </w:p>
        </w:tc>
        <w:tc>
          <w:tcPr>
            <w:tcW w:w="10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2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shd w:val="clear" w:color="auto" w:fill="CCEEFF"/>
          </w:tcPr>
          <w:p>
            <w:pPr>
              <w:spacing w:after="0"/>
              <w:rPr>
                <w:sz w:val="18"/>
                <w:szCs w:val="18"/>
                <w:color w:val="auto"/>
              </w:rPr>
            </w:pPr>
          </w:p>
        </w:tc>
      </w:tr>
      <w:tr>
        <w:trPr>
          <w:trHeight w:val="216"/>
        </w:trPr>
        <w:tc>
          <w:tcPr>
            <w:tcW w:w="10220" w:type="dxa"/>
            <w:vAlign w:val="bottom"/>
            <w:gridSpan w:val="19"/>
          </w:tcPr>
          <w:p>
            <w:pPr>
              <w:spacing w:after="0"/>
              <w:rPr>
                <w:sz w:val="20"/>
                <w:szCs w:val="20"/>
                <w:color w:val="auto"/>
              </w:rPr>
            </w:pPr>
            <w:r>
              <w:rPr>
                <w:rFonts w:ascii="Arial" w:cs="Arial" w:eastAsia="Arial" w:hAnsi="Arial"/>
                <w:sz w:val="18"/>
                <w:szCs w:val="18"/>
                <w:color w:val="auto"/>
              </w:rPr>
              <w:t>Item 1 - Financial Statements</w:t>
            </w:r>
          </w:p>
        </w:tc>
        <w:tc>
          <w:tcPr>
            <w:tcW w:w="1020" w:type="dxa"/>
            <w:vAlign w:val="bottom"/>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00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June 30, 2021 (unaudited) and December 31, 2020 (audited)</w:t>
              </w:r>
            </w:hyperlink>
          </w:p>
        </w:tc>
        <w:tc>
          <w:tcPr>
            <w:tcW w:w="102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04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Operations for the Three and Six Months Ended June 30, 2021 and 2020 (unaudited)</w:t>
              </w:r>
            </w:hyperlink>
          </w:p>
        </w:tc>
        <w:tc>
          <w:tcPr>
            <w:tcW w:w="102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040" w:type="dxa"/>
            <w:vAlign w:val="bottom"/>
            <w:gridSpan w:val="18"/>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Interim Consolidated Statements of Comprehensive Loss for the Three and Six Months Ended June 30, 2021 and 2020 (unaudited)</w:t>
              </w:r>
            </w:hyperlink>
          </w:p>
        </w:tc>
        <w:tc>
          <w:tcPr>
            <w:tcW w:w="102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040" w:type="dxa"/>
            <w:vAlign w:val="bottom"/>
            <w:gridSpan w:val="18"/>
          </w:tcPr>
          <w:p>
            <w:pPr>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Interim Consolidated Statements of Shareholders’ Equity for the Three and Six Months Ended June 30, 2021 and 2020 (unaudited)</w:t>
              </w:r>
            </w:hyperlink>
          </w:p>
        </w:tc>
        <w:tc>
          <w:tcPr>
            <w:tcW w:w="102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04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Interim Consolidated Statements of Cash Flows for the Six Months Ended June 30, 2021 and 2020 (unaudited)</w:t>
              </w:r>
            </w:hyperlink>
          </w:p>
        </w:tc>
        <w:tc>
          <w:tcPr>
            <w:tcW w:w="102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79"/>
              </w:rPr>
              <w:t>6</w:t>
            </w:r>
          </w:p>
        </w:tc>
      </w:tr>
      <w:tr>
        <w:trPr>
          <w:trHeight w:val="175"/>
        </w:trPr>
        <w:tc>
          <w:tcPr>
            <w:tcW w:w="180" w:type="dxa"/>
            <w:vAlign w:val="bottom"/>
            <w:tcBorders>
              <w:top w:val="single" w:sz="8" w:color="CCEEFF"/>
            </w:tcBorders>
          </w:tcPr>
          <w:p>
            <w:pPr>
              <w:spacing w:after="0"/>
              <w:rPr>
                <w:sz w:val="15"/>
                <w:szCs w:val="15"/>
                <w:color w:val="auto"/>
              </w:rPr>
            </w:pPr>
          </w:p>
        </w:tc>
        <w:tc>
          <w:tcPr>
            <w:tcW w:w="798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Interim Consolidated Financial Statements</w:t>
              </w:r>
            </w:hyperlink>
          </w:p>
        </w:tc>
        <w:tc>
          <w:tcPr>
            <w:tcW w:w="2060" w:type="dxa"/>
            <w:vAlign w:val="bottom"/>
            <w:tcBorders>
              <w:top w:val="single" w:sz="8" w:color="CCEEFF"/>
            </w:tcBorders>
            <w:gridSpan w:val="4"/>
          </w:tcPr>
          <w:p>
            <w:pPr>
              <w:spacing w:after="0"/>
              <w:rPr>
                <w:sz w:val="15"/>
                <w:szCs w:val="15"/>
                <w:color w:val="auto"/>
              </w:rPr>
            </w:pPr>
          </w:p>
        </w:tc>
        <w:tc>
          <w:tcPr>
            <w:tcW w:w="1020" w:type="dxa"/>
            <w:vAlign w:val="bottom"/>
            <w:tcBorders>
              <w:top w:val="single" w:sz="8" w:color="CCEEFF"/>
            </w:tcBorders>
          </w:tcPr>
          <w:p>
            <w:pPr>
              <w:jc w:val="center"/>
              <w:ind w:left="29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7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2 - Management’s Discussion and Analysis of Financial Condition and Results of Operations</w:t>
              </w:r>
            </w:hyperlink>
          </w:p>
        </w:tc>
        <w:tc>
          <w:tcPr>
            <w:tcW w:w="314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15</w:t>
            </w:r>
          </w:p>
        </w:tc>
      </w:tr>
      <w:tr>
        <w:trPr>
          <w:trHeight w:val="176"/>
        </w:trPr>
        <w:tc>
          <w:tcPr>
            <w:tcW w:w="10220" w:type="dxa"/>
            <w:vAlign w:val="bottom"/>
            <w:gridSpan w:val="1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3 - Quantitative and Qualitative Disclosures About Market Risk</w:t>
              </w:r>
            </w:hyperlink>
          </w:p>
        </w:tc>
        <w:tc>
          <w:tcPr>
            <w:tcW w:w="102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4 - Controls and Procedures</w:t>
              </w:r>
            </w:hyperlink>
          </w:p>
        </w:tc>
        <w:tc>
          <w:tcPr>
            <w:tcW w:w="782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10220" w:type="dxa"/>
            <w:vAlign w:val="bottom"/>
            <w:gridSpan w:val="19"/>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020" w:type="dxa"/>
            <w:vAlign w:val="bottom"/>
          </w:tcPr>
          <w:p>
            <w:pPr>
              <w:spacing w:after="0"/>
              <w:rPr>
                <w:sz w:val="15"/>
                <w:szCs w:val="15"/>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1 - Legal Proceedings</w:t>
              </w:r>
            </w:hyperlink>
          </w:p>
        </w:tc>
        <w:tc>
          <w:tcPr>
            <w:tcW w:w="8260" w:type="dxa"/>
            <w:vAlign w:val="bottom"/>
            <w:tcBorders>
              <w:bottom w:val="single" w:sz="8" w:color="CCEEFF"/>
            </w:tcBorders>
            <w:gridSpan w:val="1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21</w:t>
            </w:r>
          </w:p>
        </w:tc>
      </w:tr>
      <w:tr>
        <w:trPr>
          <w:trHeight w:val="175"/>
        </w:trPr>
        <w:tc>
          <w:tcPr>
            <w:tcW w:w="10220" w:type="dxa"/>
            <w:vAlign w:val="bottom"/>
            <w:gridSpan w:val="1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 - Risk Factors</w:t>
              </w:r>
            </w:hyperlink>
          </w:p>
        </w:tc>
        <w:tc>
          <w:tcPr>
            <w:tcW w:w="102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2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2 - Unregistered Sales of Equity Securities and Use of Proceeds</w:t>
              </w:r>
            </w:hyperlink>
          </w:p>
        </w:tc>
        <w:tc>
          <w:tcPr>
            <w:tcW w:w="102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49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3 - Defaults Upon Senior Securities</w:t>
              </w:r>
            </w:hyperlink>
          </w:p>
        </w:tc>
        <w:tc>
          <w:tcPr>
            <w:tcW w:w="5260" w:type="dxa"/>
            <w:vAlign w:val="bottom"/>
            <w:tcBorders>
              <w:top w:val="single" w:sz="8" w:color="CCEEFF"/>
            </w:tcBorders>
            <w:gridSpan w:val="8"/>
          </w:tcPr>
          <w:p>
            <w:pPr>
              <w:spacing w:after="0"/>
              <w:rPr>
                <w:sz w:val="15"/>
                <w:szCs w:val="15"/>
                <w:color w:val="auto"/>
              </w:rPr>
            </w:pPr>
          </w:p>
        </w:tc>
        <w:tc>
          <w:tcPr>
            <w:tcW w:w="102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4 - Mine Safety Disclosures</w:t>
              </w:r>
            </w:hyperlink>
          </w:p>
        </w:tc>
        <w:tc>
          <w:tcPr>
            <w:tcW w:w="7820" w:type="dxa"/>
            <w:vAlign w:val="bottom"/>
            <w:tcBorders>
              <w:bottom w:val="single" w:sz="8" w:color="CCEEFF"/>
            </w:tcBorders>
            <w:gridSpan w:val="11"/>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10220" w:type="dxa"/>
            <w:vAlign w:val="bottom"/>
            <w:gridSpan w:val="1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5 - Other Information</w:t>
              </w:r>
            </w:hyperlink>
          </w:p>
        </w:tc>
        <w:tc>
          <w:tcPr>
            <w:tcW w:w="102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220" w:type="dxa"/>
            <w:vAlign w:val="bottom"/>
            <w:gridSpan w:val="1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6 - Exhibits</w:t>
              </w:r>
            </w:hyperlink>
          </w:p>
        </w:tc>
        <w:tc>
          <w:tcPr>
            <w:tcW w:w="102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1220" w:type="dxa"/>
            <w:vAlign w:val="bottom"/>
            <w:tcBorders>
              <w:top w:val="single" w:sz="8" w:color="0000EE"/>
            </w:tcBorders>
            <w:gridSpan w:val="3"/>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9000" w:type="dxa"/>
            <w:vAlign w:val="bottom"/>
            <w:tcBorders>
              <w:top w:val="single" w:sz="8" w:color="CCEEFF"/>
            </w:tcBorders>
            <w:gridSpan w:val="16"/>
          </w:tcPr>
          <w:p>
            <w:pPr>
              <w:spacing w:after="0"/>
              <w:rPr>
                <w:sz w:val="15"/>
                <w:szCs w:val="15"/>
                <w:color w:val="auto"/>
              </w:rPr>
            </w:pPr>
          </w:p>
        </w:tc>
        <w:tc>
          <w:tcPr>
            <w:tcW w:w="10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23</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As of 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As of December 31,</w:t>
            </w:r>
          </w:p>
        </w:tc>
      </w:tr>
      <w:tr>
        <w:trPr>
          <w:trHeight w:val="229"/>
        </w:trPr>
        <w:tc>
          <w:tcPr>
            <w:tcW w:w="5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640" w:type="dxa"/>
            <w:vAlign w:val="bottom"/>
          </w:tcPr>
          <w:p>
            <w:pPr>
              <w:spacing w:after="0"/>
              <w:rPr>
                <w:sz w:val="20"/>
                <w:szCs w:val="20"/>
                <w:color w:val="auto"/>
              </w:rPr>
            </w:pPr>
          </w:p>
        </w:tc>
        <w:tc>
          <w:tcPr>
            <w:tcW w:w="1620" w:type="dxa"/>
            <w:vAlign w:val="bottom"/>
            <w:gridSpan w:val="3"/>
          </w:tcPr>
          <w:p>
            <w:pPr>
              <w:jc w:val="right"/>
              <w:ind w:right="810"/>
              <w:spacing w:after="0"/>
              <w:rPr>
                <w:sz w:val="20"/>
                <w:szCs w:val="20"/>
                <w:color w:val="auto"/>
              </w:rPr>
            </w:pPr>
            <w:r>
              <w:rPr>
                <w:rFonts w:ascii="Arial" w:cs="Arial" w:eastAsia="Arial" w:hAnsi="Arial"/>
                <w:sz w:val="18"/>
                <w:szCs w:val="18"/>
                <w:color w:val="auto"/>
              </w:rPr>
              <w:t>Notes</w:t>
            </w:r>
          </w:p>
        </w:tc>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Audited</w:t>
            </w:r>
          </w:p>
        </w:tc>
      </w:tr>
      <w:tr>
        <w:trPr>
          <w:trHeight w:val="216"/>
        </w:trPr>
        <w:tc>
          <w:tcPr>
            <w:tcW w:w="564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4,999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r>
      <w:tr>
        <w:trPr>
          <w:trHeight w:val="216"/>
        </w:trPr>
        <w:tc>
          <w:tcPr>
            <w:tcW w:w="5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r>
      <w:tr>
        <w:trPr>
          <w:trHeight w:val="229"/>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LIABILITIES AND STOCKHOLDERS’ EQUITY</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r>
      <w:tr>
        <w:trPr>
          <w:trHeight w:val="249"/>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21"/>
                <w:szCs w:val="21"/>
                <w:color w:val="auto"/>
              </w:rPr>
            </w:pPr>
          </w:p>
        </w:tc>
      </w:tr>
      <w:tr>
        <w:trPr>
          <w:trHeight w:val="203"/>
        </w:trPr>
        <w:tc>
          <w:tcPr>
            <w:tcW w:w="56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21"/>
                <w:szCs w:val="21"/>
                <w:color w:val="auto"/>
              </w:rPr>
            </w:pPr>
          </w:p>
        </w:tc>
      </w:tr>
      <w:tr>
        <w:trPr>
          <w:trHeight w:val="210"/>
        </w:trPr>
        <w:tc>
          <w:tcPr>
            <w:tcW w:w="56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0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1,747</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640" w:type="dxa"/>
            <w:vAlign w:val="bottom"/>
          </w:tcPr>
          <w:p>
            <w:pPr>
              <w:ind w:left="180"/>
              <w:spacing w:after="0" w:line="201" w:lineRule="exact"/>
              <w:rPr>
                <w:sz w:val="20"/>
                <w:szCs w:val="20"/>
                <w:color w:val="auto"/>
              </w:rPr>
            </w:pPr>
            <w:r>
              <w:rPr>
                <w:rFonts w:ascii="Arial" w:cs="Arial" w:eastAsia="Arial" w:hAnsi="Arial"/>
                <w:sz w:val="18"/>
                <w:szCs w:val="18"/>
                <w:color w:val="auto"/>
                <w:w w:val="99"/>
              </w:rPr>
              <w:t>Common stock; $0.01 par value; 60,000,000 shares authorized as of</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9"/>
              </w:rPr>
              <w:t>June 30, 2021 and December 31, 2020 7,108,133 shares issued and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outstanding as of June 30, 2021 and December 31, 2020</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68,516</w:t>
            </w:r>
          </w:p>
        </w:tc>
        <w:tc>
          <w:tcPr>
            <w:tcW w:w="80" w:type="dxa"/>
            <w:vAlign w:val="bottom"/>
            <w:shd w:val="clear" w:color="auto" w:fill="CCEEFF"/>
          </w:tcPr>
          <w:p>
            <w:pPr>
              <w:spacing w:after="0"/>
              <w:rPr>
                <w:sz w:val="18"/>
                <w:szCs w:val="18"/>
                <w:color w:val="auto"/>
              </w:rPr>
            </w:pPr>
          </w:p>
        </w:tc>
      </w:tr>
      <w:tr>
        <w:trPr>
          <w:trHeight w:val="236"/>
        </w:trPr>
        <w:tc>
          <w:tcPr>
            <w:tcW w:w="56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(49,179)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(44,280)</w:t>
            </w:r>
          </w:p>
        </w:tc>
      </w:tr>
      <w:tr>
        <w:trPr>
          <w:trHeight w:val="236"/>
        </w:trPr>
        <w:tc>
          <w:tcPr>
            <w:tcW w:w="5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6"/>
          </w:tcPr>
          <w:p>
            <w:pPr>
              <w:jc w:val="center"/>
              <w:ind w:right="481"/>
              <w:spacing w:after="0"/>
              <w:rPr>
                <w:sz w:val="20"/>
                <w:szCs w:val="20"/>
                <w:color w:val="auto"/>
              </w:rPr>
            </w:pPr>
            <w:r>
              <w:rPr>
                <w:rFonts w:ascii="Arial" w:cs="Arial" w:eastAsia="Arial" w:hAnsi="Arial"/>
                <w:sz w:val="18"/>
                <w:szCs w:val="18"/>
                <w:color w:val="auto"/>
                <w:w w:val="89"/>
              </w:rPr>
              <w:t>For the Three Months Ended</w:t>
            </w:r>
          </w:p>
        </w:tc>
        <w:tc>
          <w:tcPr>
            <w:tcW w:w="260" w:type="dxa"/>
            <w:vAlign w:val="bottom"/>
          </w:tcPr>
          <w:p>
            <w:pPr>
              <w:spacing w:after="0"/>
              <w:rPr>
                <w:sz w:val="18"/>
                <w:szCs w:val="18"/>
                <w:color w:val="auto"/>
              </w:rPr>
            </w:pPr>
          </w:p>
        </w:tc>
        <w:tc>
          <w:tcPr>
            <w:tcW w:w="2620" w:type="dxa"/>
            <w:vAlign w:val="bottom"/>
            <w:gridSpan w:val="6"/>
          </w:tcPr>
          <w:p>
            <w:pPr>
              <w:jc w:val="center"/>
              <w:ind w:right="281"/>
              <w:spacing w:after="0"/>
              <w:rPr>
                <w:sz w:val="20"/>
                <w:szCs w:val="20"/>
                <w:color w:val="auto"/>
              </w:rPr>
            </w:pPr>
            <w:r>
              <w:rPr>
                <w:rFonts w:ascii="Arial" w:cs="Arial" w:eastAsia="Arial" w:hAnsi="Arial"/>
                <w:sz w:val="18"/>
                <w:szCs w:val="18"/>
                <w:color w:val="auto"/>
                <w:w w:val="91"/>
              </w:rPr>
              <w:t>For the Six Months Ended</w:t>
            </w:r>
          </w:p>
        </w:tc>
      </w:tr>
      <w:tr>
        <w:trPr>
          <w:trHeight w:val="237"/>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4"/>
          </w:tcPr>
          <w:p>
            <w:pPr>
              <w:jc w:val="center"/>
              <w:ind w:left="610"/>
              <w:spacing w:after="0"/>
              <w:rPr>
                <w:sz w:val="20"/>
                <w:szCs w:val="20"/>
                <w:color w:val="auto"/>
              </w:rPr>
            </w:pPr>
            <w:r>
              <w:rPr>
                <w:rFonts w:ascii="Arial" w:cs="Arial" w:eastAsia="Arial" w:hAnsi="Arial"/>
                <w:sz w:val="18"/>
                <w:szCs w:val="18"/>
                <w:color w:val="auto"/>
                <w:w w:val="90"/>
              </w:rPr>
              <w:t>Unaudited</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center"/>
              <w:ind w:left="550"/>
              <w:spacing w:after="0"/>
              <w:rPr>
                <w:sz w:val="20"/>
                <w:szCs w:val="20"/>
                <w:color w:val="auto"/>
              </w:rPr>
            </w:pPr>
            <w:r>
              <w:rPr>
                <w:rFonts w:ascii="Arial" w:cs="Arial" w:eastAsia="Arial" w:hAnsi="Arial"/>
                <w:sz w:val="18"/>
                <w:szCs w:val="18"/>
                <w:color w:val="auto"/>
                <w:w w:val="92"/>
              </w:rPr>
              <w:t>Unaudited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1,389</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2,508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1,360</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2,687</w:t>
            </w:r>
          </w:p>
        </w:tc>
      </w:tr>
      <w:tr>
        <w:trPr>
          <w:trHeight w:val="216"/>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2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(0.26)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(0.69)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(0.57)</w:t>
            </w:r>
          </w:p>
        </w:tc>
      </w:tr>
      <w:tr>
        <w:trPr>
          <w:trHeight w:val="196"/>
        </w:trPr>
        <w:tc>
          <w:tcPr>
            <w:tcW w:w="52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weighted average common shares outstanding</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7,108,133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7,103,260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7,108,133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7,128,752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Interim Consolidated Statements of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240"/>
          </w:cols>
          <w:pgMar w:left="320" w:top="688" w:right="339" w:bottom="1440" w:gutter="0" w:footer="0" w:header="0"/>
        </w:sectPr>
      </w:pPr>
    </w:p>
    <w:p>
      <w:pPr>
        <w:spacing w:after="0" w:line="211" w:lineRule="exact"/>
        <w:rPr>
          <w:sz w:val="20"/>
          <w:szCs w:val="20"/>
          <w:color w:val="auto"/>
        </w:rPr>
      </w:pPr>
    </w:p>
    <w:p>
      <w:pPr>
        <w:jc w:val="center"/>
        <w:ind w:left="5160"/>
        <w:spacing w:after="0"/>
        <w:rPr>
          <w:sz w:val="20"/>
          <w:szCs w:val="20"/>
          <w:color w:val="auto"/>
        </w:rPr>
      </w:pPr>
      <w:r>
        <w:rPr>
          <w:rFonts w:ascii="Arial" w:cs="Arial" w:eastAsia="Arial" w:hAnsi="Arial"/>
          <w:sz w:val="16"/>
          <w:szCs w:val="16"/>
          <w:color w:val="auto"/>
        </w:rPr>
        <w:t>For the Three Months Ended</w:t>
      </w:r>
    </w:p>
    <w:p>
      <w:pPr>
        <w:spacing w:after="0" w:line="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5715</wp:posOffset>
            </wp:positionV>
            <wp:extent cx="1800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17145"/>
                    </a:xfrm>
                    <a:prstGeom prst="rect">
                      <a:avLst/>
                    </a:prstGeom>
                    <a:noFill/>
                  </pic:spPr>
                </pic:pic>
              </a:graphicData>
            </a:graphic>
          </wp:anchor>
        </w:drawing>
      </w:r>
    </w:p>
    <w:p>
      <w:pPr>
        <w:spacing w:after="0" w:line="15" w:lineRule="exact"/>
        <w:rPr>
          <w:sz w:val="20"/>
          <w:szCs w:val="20"/>
          <w:color w:val="auto"/>
        </w:rPr>
      </w:pPr>
    </w:p>
    <w:p>
      <w:pPr>
        <w:ind w:left="5640"/>
        <w:spacing w:after="0"/>
        <w:tabs>
          <w:tab w:leader="none" w:pos="7220" w:val="left"/>
        </w:tabs>
        <w:rPr>
          <w:sz w:val="20"/>
          <w:szCs w:val="20"/>
          <w:color w:val="auto"/>
        </w:rPr>
      </w:pPr>
      <w:r>
        <w:rPr>
          <w:rFonts w:ascii="Arial" w:cs="Arial" w:eastAsia="Arial" w:hAnsi="Arial"/>
          <w:sz w:val="17"/>
          <w:szCs w:val="17"/>
          <w:color w:val="auto"/>
        </w:rPr>
        <w:t>2021</w:t>
      </w:r>
      <w:r>
        <w:rPr>
          <w:sz w:val="20"/>
          <w:szCs w:val="20"/>
          <w:color w:val="auto"/>
        </w:rPr>
        <w:tab/>
      </w:r>
      <w:r>
        <w:rPr>
          <w:rFonts w:ascii="Arial" w:cs="Arial" w:eastAsia="Arial" w:hAnsi="Arial"/>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22225</wp:posOffset>
            </wp:positionV>
            <wp:extent cx="1800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17145"/>
                    </a:xfrm>
                    <a:prstGeom prst="rect">
                      <a:avLst/>
                    </a:prstGeom>
                    <a:noFill/>
                  </pic:spPr>
                </pic:pic>
              </a:graphicData>
            </a:graphic>
          </wp:anchor>
        </w:drawing>
      </w:r>
    </w:p>
    <w:p>
      <w:pPr>
        <w:spacing w:after="0" w:line="28"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For the Six Months Ended</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5715</wp:posOffset>
            </wp:positionV>
            <wp:extent cx="17659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15"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29210</wp:posOffset>
            </wp:positionV>
            <wp:extent cx="17659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Unaudited</w:t>
      </w:r>
    </w:p>
    <w:p>
      <w:pPr>
        <w:spacing w:after="0" w:line="43" w:lineRule="exact"/>
        <w:rPr>
          <w:sz w:val="20"/>
          <w:szCs w:val="20"/>
          <w:color w:val="auto"/>
        </w:rPr>
      </w:pPr>
    </w:p>
    <w:p>
      <w:pPr>
        <w:sectPr>
          <w:pgSz w:w="11900" w:h="16838" w:orient="portrait"/>
          <w:cols w:equalWidth="0" w:num="2">
            <w:col w:w="8060" w:space="720"/>
            <w:col w:w="24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5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(2,511)</w:t>
            </w:r>
          </w:p>
        </w:tc>
        <w:tc>
          <w:tcPr>
            <w:tcW w:w="560" w:type="dxa"/>
            <w:vAlign w:val="bottom"/>
            <w:gridSpan w:val="2"/>
            <w:shd w:val="clear" w:color="auto" w:fill="CCEEFF"/>
          </w:tcPr>
          <w:p>
            <w:pPr>
              <w:jc w:val="right"/>
              <w:ind w:right="267"/>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(1,855)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(4,899)</w:t>
            </w:r>
          </w:p>
        </w:tc>
        <w:tc>
          <w:tcPr>
            <w:tcW w:w="56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(4,060)</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Net unrealized loss on available for sale security</w:t>
            </w:r>
          </w:p>
        </w:tc>
        <w:tc>
          <w:tcPr>
            <w:tcW w:w="440" w:type="dxa"/>
            <w:vAlign w:val="bottom"/>
          </w:tcPr>
          <w:p>
            <w:pPr>
              <w:spacing w:after="0"/>
              <w:rPr>
                <w:sz w:val="20"/>
                <w:szCs w:val="20"/>
                <w:color w:val="auto"/>
              </w:rPr>
            </w:pP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(2,511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(1,855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(4,899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Represents amount less than 1 thousand.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Paid-In</w:t>
            </w:r>
          </w:p>
        </w:tc>
        <w:tc>
          <w:tcPr>
            <w:tcW w:w="9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Treasury</w:t>
            </w:r>
          </w:p>
        </w:tc>
        <w:tc>
          <w:tcPr>
            <w:tcW w:w="1420" w:type="dxa"/>
            <w:vAlign w:val="bottom"/>
            <w:gridSpan w:val="4"/>
          </w:tcPr>
          <w:p>
            <w:pPr>
              <w:jc w:val="center"/>
              <w:ind w:right="121"/>
              <w:spacing w:after="0"/>
              <w:rPr>
                <w:sz w:val="20"/>
                <w:szCs w:val="20"/>
                <w:color w:val="auto"/>
              </w:rPr>
            </w:pPr>
            <w:r>
              <w:rPr>
                <w:rFonts w:ascii="Arial" w:cs="Arial" w:eastAsia="Arial" w:hAnsi="Arial"/>
                <w:sz w:val="18"/>
                <w:szCs w:val="18"/>
                <w:color w:val="auto"/>
                <w:w w:val="90"/>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4400" w:type="dxa"/>
            <w:vAlign w:val="bottom"/>
          </w:tcPr>
          <w:p>
            <w:pPr>
              <w:spacing w:after="0"/>
              <w:rPr>
                <w:sz w:val="21"/>
                <w:szCs w:val="21"/>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381"/>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7"/>
        </w:trPr>
        <w:tc>
          <w:tcPr>
            <w:tcW w:w="440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81"/>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r>
      <w:tr>
        <w:trPr>
          <w:trHeight w:val="216"/>
        </w:trPr>
        <w:tc>
          <w:tcPr>
            <w:tcW w:w="4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2020 (Audited)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7,108,133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(44,280)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24,308</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5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(4,899)</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(4,899)</w:t>
            </w:r>
          </w:p>
        </w:tc>
      </w:tr>
      <w:tr>
        <w:trPr>
          <w:trHeight w:val="256"/>
        </w:trPr>
        <w:tc>
          <w:tcPr>
            <w:tcW w:w="4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June 30, 2021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69,225</w:t>
            </w:r>
          </w:p>
        </w:tc>
        <w:tc>
          <w:tcPr>
            <w:tcW w:w="3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20,118</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4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Balances, March 31, 2021 (Unaudited)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7,108,133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68,926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(46,668)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22,330</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(2,511)</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(2,511)</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2021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2019 (Audited)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7,185,628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31,540</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 of treasury Common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r>
      <w:tr>
        <w:trPr>
          <w:trHeight w:val="249"/>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(4,060)</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w:t>
            </w:r>
          </w:p>
        </w:tc>
      </w:tr>
      <w:tr>
        <w:trPr>
          <w:trHeight w:val="257"/>
        </w:trPr>
        <w:tc>
          <w:tcPr>
            <w:tcW w:w="4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June 30, 2020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7,103,260</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67,489</w:t>
            </w:r>
          </w:p>
        </w:tc>
        <w:tc>
          <w:tcPr>
            <w:tcW w:w="3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(39,171</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4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Balances, March 31, 2020 (Unaudited)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7,103,260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66,923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(37,316)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29,678</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r>
      <w:tr>
        <w:trPr>
          <w:trHeight w:val="236"/>
        </w:trPr>
        <w:tc>
          <w:tcPr>
            <w:tcW w:w="4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(1,855)</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(1,855)</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2020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7,103,260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For the Six Months Ended 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gridSpan w:val="3"/>
          </w:tcPr>
          <w:p>
            <w:pPr>
              <w:jc w:val="right"/>
              <w:ind w:right="864"/>
              <w:spacing w:after="0"/>
              <w:rPr>
                <w:sz w:val="20"/>
                <w:szCs w:val="20"/>
                <w:color w:val="auto"/>
              </w:rPr>
            </w:pPr>
            <w:r>
              <w:rPr>
                <w:rFonts w:ascii="Arial" w:cs="Arial" w:eastAsia="Arial" w:hAnsi="Arial"/>
                <w:sz w:val="18"/>
                <w:szCs w:val="18"/>
                <w:color w:val="auto"/>
              </w:rPr>
              <w:t>Unaudited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6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(4,899)</w:t>
            </w:r>
          </w:p>
        </w:tc>
        <w:tc>
          <w:tcPr>
            <w:tcW w:w="1140" w:type="dxa"/>
            <w:vAlign w:val="bottom"/>
          </w:tcPr>
          <w:p>
            <w:pPr>
              <w:jc w:val="right"/>
              <w:ind w:right="984"/>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(4,060)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34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709</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909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(224)</w:t>
            </w:r>
          </w:p>
        </w:tc>
        <w:tc>
          <w:tcPr>
            <w:tcW w:w="1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(4,291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convertible loan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sales of investment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270</w:t>
            </w:r>
          </w:p>
        </w:tc>
        <w:tc>
          <w:tcPr>
            <w:tcW w:w="11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2,521</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w:t>
            </w:r>
          </w:p>
        </w:tc>
        <w:tc>
          <w:tcPr>
            <w:tcW w:w="3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Repayment of shareholders investment</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(3,375)</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flows from financing activities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(4,032)</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(4,818)</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19,734</w:t>
            </w:r>
          </w:p>
        </w:tc>
        <w:tc>
          <w:tcPr>
            <w:tcW w:w="1140" w:type="dxa"/>
            <w:vAlign w:val="bottom"/>
          </w:tcPr>
          <w:p>
            <w:pPr>
              <w:spacing w:after="0"/>
              <w:rPr>
                <w:sz w:val="20"/>
                <w:szCs w:val="20"/>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w w:val="94"/>
              </w:rPr>
              <w:t>33,129</w:t>
            </w: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112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360"/>
              <w:spacing w:after="0"/>
              <w:rPr>
                <w:sz w:val="20"/>
                <w:szCs w:val="20"/>
                <w:color w:val="auto"/>
              </w:rPr>
            </w:pPr>
            <w:r>
              <w:rPr>
                <w:rFonts w:ascii="Arial" w:cs="Arial" w:eastAsia="Arial" w:hAnsi="Arial"/>
                <w:sz w:val="18"/>
                <w:szCs w:val="18"/>
                <w:color w:val="auto"/>
              </w:rPr>
              <w:t>Interest paid from litigation</w:t>
            </w:r>
          </w:p>
        </w:tc>
        <w:tc>
          <w:tcPr>
            <w:tcW w:w="1120" w:type="dxa"/>
            <w:vAlign w:val="bottom"/>
          </w:tcPr>
          <w:p>
            <w:pPr>
              <w:jc w:val="right"/>
              <w:ind w:right="96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84"/>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236</w:t>
            </w:r>
          </w:p>
        </w:tc>
      </w:tr>
      <w:tr>
        <w:trPr>
          <w:trHeight w:val="197"/>
        </w:trPr>
        <w:tc>
          <w:tcPr>
            <w:tcW w:w="744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received from interest</w:t>
            </w:r>
          </w:p>
        </w:tc>
        <w:tc>
          <w:tcPr>
            <w:tcW w:w="112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 and six-month periods ended June 30, 2021, are not necessarily indicative of the results that may be expected for the year ended December 31, 2021.</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June 30, 2021, the Company had unrestricted cash and cash equivalent balance of $15,619,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184"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color w:val="auto"/>
              </w:rPr>
              <w:t>As of June 30, 2021</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9"/>
              </w:rPr>
              <w:t>Level 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7"/>
              </w:rPr>
              <w:t>As of December 31, 2020</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ind w:left="1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investment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9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jc w:val="both"/>
        <w:spacing w:after="0" w:line="253"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 The standard is effective for the Company on January 1, 2021 with early adoption permitted. The adoption of ASU 2019-12 on January 1, 2021 did not have a material impact on the Company’s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lease agreements with lease and non-lease components, which we account for as a single lease component. Variable lease payments based on an index or rate are initially measured using the index or rate in effect at the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0999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16" w:lineRule="exact"/>
        <w:rPr>
          <w:sz w:val="20"/>
          <w:szCs w:val="20"/>
          <w:color w:val="auto"/>
        </w:rPr>
      </w:pPr>
    </w:p>
    <w:p>
      <w:pPr>
        <w:ind w:left="7300"/>
        <w:spacing w:after="0"/>
        <w:tabs>
          <w:tab w:leader="none" w:pos="90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099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32" w:lineRule="exact"/>
        <w:rPr>
          <w:sz w:val="20"/>
          <w:szCs w:val="20"/>
          <w:color w:val="auto"/>
        </w:rPr>
      </w:pPr>
    </w:p>
    <w:p>
      <w:pPr>
        <w:ind w:left="1140"/>
        <w:spacing w:after="0"/>
        <w:tabs>
          <w:tab w:leader="none" w:pos="6700" w:val="left"/>
          <w:tab w:leader="none" w:pos="7960" w:val="left"/>
          <w:tab w:leader="none" w:pos="8480" w:val="left"/>
          <w:tab w:leader="none" w:pos="984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w:t>
        <w:tab/>
        <w:t>$</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June 30, 2021 are summarized as follows: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2021(Remainder of the year)</w:t>
            </w:r>
          </w:p>
        </w:tc>
        <w:tc>
          <w:tcPr>
            <w:tcW w:w="180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6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842</w:t>
            </w:r>
          </w:p>
        </w:tc>
        <w:tc>
          <w:tcPr>
            <w:tcW w:w="60" w:type="dxa"/>
            <w:vAlign w:val="bottom"/>
            <w:tcBorders>
              <w:top w:val="single" w:sz="8" w:color="CCEEFF"/>
            </w:tcBorders>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6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60" w:type="dxa"/>
            <w:vAlign w:val="bottom"/>
            <w:tcBorders>
              <w:top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Leases recorded on the balance sheet consist of the following:</w:t>
            </w: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right"/>
              <w:ind w:right="127"/>
              <w:spacing w:after="0"/>
              <w:rPr>
                <w:sz w:val="20"/>
                <w:szCs w:val="20"/>
                <w:color w:val="auto"/>
              </w:rPr>
            </w:pPr>
            <w:r>
              <w:rPr>
                <w:rFonts w:ascii="Arial" w:cs="Arial" w:eastAsia="Arial" w:hAnsi="Arial"/>
                <w:sz w:val="18"/>
                <w:szCs w:val="18"/>
                <w:color w:val="auto"/>
              </w:rPr>
              <w:t>As of</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gridSpan w:val="2"/>
          </w:tcPr>
          <w:p>
            <w:pPr>
              <w:jc w:val="right"/>
              <w:ind w:right="27"/>
              <w:spacing w:after="0"/>
              <w:rPr>
                <w:sz w:val="20"/>
                <w:szCs w:val="20"/>
                <w:color w:val="auto"/>
              </w:rPr>
            </w:pPr>
            <w:r>
              <w:rPr>
                <w:rFonts w:ascii="Arial" w:cs="Arial" w:eastAsia="Arial" w:hAnsi="Arial"/>
                <w:sz w:val="18"/>
                <w:szCs w:val="18"/>
                <w:color w:val="auto"/>
              </w:rPr>
              <w:t>June 30,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147"/>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Operating lease right of use asset</w:t>
            </w:r>
          </w:p>
        </w:tc>
        <w:tc>
          <w:tcPr>
            <w:tcW w:w="1520" w:type="dxa"/>
            <w:vAlign w:val="bottom"/>
            <w:gridSpan w:val="2"/>
          </w:tcPr>
          <w:p>
            <w:pPr>
              <w:jc w:val="right"/>
              <w:ind w:right="69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674</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current</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 non-current</w:t>
            </w:r>
          </w:p>
        </w:tc>
        <w:tc>
          <w:tcPr>
            <w:tcW w:w="6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5"/>
          <w:szCs w:val="15"/>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27940</wp:posOffset>
            </wp:positionV>
            <wp:extent cx="9512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17145"/>
                    </a:xfrm>
                    <a:prstGeom prst="rect">
                      <a:avLst/>
                    </a:prstGeom>
                    <a:noFill/>
                  </pic:spPr>
                </pic:pic>
              </a:graphicData>
            </a:graphic>
          </wp:anchor>
        </w:drawing>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14605</wp:posOffset>
            </wp:positionV>
            <wp:extent cx="9512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jc w:val="center"/>
        <w:ind w:right="1540"/>
        <w:spacing w:after="0"/>
        <w:rPr>
          <w:sz w:val="20"/>
          <w:szCs w:val="20"/>
          <w:color w:val="auto"/>
        </w:rPr>
      </w:pPr>
      <w:r>
        <w:rPr>
          <w:rFonts w:ascii="Arial" w:cs="Arial" w:eastAsia="Arial" w:hAnsi="Arial"/>
          <w:sz w:val="15"/>
          <w:szCs w:val="15"/>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27940</wp:posOffset>
            </wp:positionV>
            <wp:extent cx="9601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0120" cy="17145"/>
                    </a:xfrm>
                    <a:prstGeom prst="rect">
                      <a:avLst/>
                    </a:prstGeom>
                    <a:noFill/>
                  </pic:spPr>
                </pic:pic>
              </a:graphicData>
            </a:graphic>
          </wp:anchor>
        </w:drawing>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14605</wp:posOffset>
            </wp:positionV>
            <wp:extent cx="9601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1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80" w:space="720"/>
            <w:col w:w="2540"/>
          </w:cols>
          <w:pgMar w:left="320" w:top="692" w:right="339" w:bottom="1440" w:gutter="0" w:footer="0" w:header="0"/>
          <w:type w:val="continuous"/>
        </w:sectPr>
      </w:pP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21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2160" w:type="dxa"/>
            <w:vAlign w:val="bottom"/>
          </w:tcPr>
          <w:p>
            <w:pPr>
              <w:jc w:val="right"/>
              <w:ind w:right="710"/>
              <w:spacing w:after="0"/>
              <w:rPr>
                <w:sz w:val="20"/>
                <w:szCs w:val="20"/>
                <w:color w:val="auto"/>
              </w:rPr>
            </w:pPr>
            <w:r>
              <w:rPr>
                <w:rFonts w:ascii="Arial" w:cs="Arial" w:eastAsia="Arial" w:hAnsi="Arial"/>
                <w:sz w:val="18"/>
                <w:szCs w:val="18"/>
                <w:color w:val="auto"/>
              </w:rPr>
              <w:t>9%</w:t>
            </w:r>
          </w:p>
        </w:tc>
        <w:tc>
          <w:tcPr>
            <w:tcW w:w="1060" w:type="dxa"/>
            <w:vAlign w:val="bottom"/>
          </w:tcPr>
          <w:p>
            <w:pPr>
              <w:ind w:left="800"/>
              <w:spacing w:after="0"/>
              <w:rPr>
                <w:sz w:val="20"/>
                <w:szCs w:val="20"/>
                <w:color w:val="auto"/>
              </w:rPr>
            </w:pPr>
            <w:r>
              <w:rPr>
                <w:rFonts w:ascii="Arial" w:cs="Arial" w:eastAsia="Arial" w:hAnsi="Arial"/>
                <w:sz w:val="18"/>
                <w:szCs w:val="18"/>
                <w:color w:val="auto"/>
                <w:w w:val="92"/>
              </w:rPr>
              <w:t>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Microbot Israel has received grants from the Israeli Innovation Authority (“IIA”) for participation in research and development since 2013 through June 30, 2021 totaling approximately $1,500. In return, the Company is obligated to pay royalties amounting to 3%-3.5% of its future sales from commercialization of the funded research and development, up to the amount of the grants received.</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payment of royalties with respect to 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US$ 12.27, based on an exchange rate of NIS 3.26 to the dollar) covering up to 60 consulting hours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par value $0.01 per share,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the shares pursuant to the ATM Agreement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was denied by decision and order entered on February 17, 2021.</w:t>
      </w:r>
    </w:p>
    <w:p>
      <w:pPr>
        <w:spacing w:after="0" w:line="17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On March 18, 2021, the Company filed a notice of appeal of the denial of the Motion to Dismiss. At this time no estimation of the potential outcome of the litigation can be made.</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Several motions were filed during 2019 and 2020. On December 18, 2020, the Magistrate Judge issued a Report &amp; Recommendation, which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30, 2021, the Court issued an Order adopting the Magistrate Judge’s Report &amp; Recommendation; and on March 31, 2021, the Clerk entered Judgement against Joseph Mona and in favor of the Company in the amount of $484. On April 27, 2021, Mona filed an appeal of the Court’s Judgment, which is pending before the U.S. Court of Appeals for the Second Circuit. the Company intends to oppose the appeal.</w:t>
      </w:r>
    </w:p>
    <w:p>
      <w:pPr>
        <w:spacing w:after="0" w:line="14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4" w:name="page15"/>
    <w:bookmarkEnd w:id="14"/>
    <w:p>
      <w:pPr>
        <w:ind w:left="980" w:right="20"/>
        <w:spacing w:after="0" w:line="308" w:lineRule="auto"/>
        <w:rPr>
          <w:sz w:val="20"/>
          <w:szCs w:val="20"/>
          <w:color w:val="auto"/>
        </w:rPr>
      </w:pPr>
      <w:r>
        <w:rPr>
          <w:rFonts w:ascii="Arial" w:cs="Arial" w:eastAsia="Arial" w:hAnsi="Arial"/>
          <w:sz w:val="17"/>
          <w:szCs w:val="17"/>
          <w:color w:val="auto"/>
        </w:rPr>
        <w:t>On May 3, 2021, the Company obtained a writ of execution to enforce the Judgment against Mona, given Mona’s failure to post a bond or other security in the full amount of the Judgment pending the appeal as required by the Federal Rules of Civil Procedure.</w:t>
      </w:r>
    </w:p>
    <w:p>
      <w:pPr>
        <w:spacing w:after="0" w:line="146"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On May 7, 2021, the Company filed a motion to permit the registration of the Judgment in districts outside the Southern District of New York in which Mona may have assets available to satisfy he Judgment.</w:t>
      </w:r>
    </w:p>
    <w:p>
      <w:pPr>
        <w:spacing w:after="0" w:line="1" w:lineRule="exact"/>
        <w:rPr>
          <w:sz w:val="20"/>
          <w:szCs w:val="20"/>
          <w:color w:val="auto"/>
        </w:rPr>
      </w:pPr>
    </w:p>
    <w:p>
      <w:pPr>
        <w:ind w:left="980"/>
        <w:spacing w:after="0" w:line="290" w:lineRule="auto"/>
        <w:rPr>
          <w:sz w:val="20"/>
          <w:szCs w:val="20"/>
          <w:color w:val="auto"/>
        </w:rPr>
      </w:pPr>
      <w:r>
        <w:rPr>
          <w:rFonts w:ascii="Arial" w:cs="Arial" w:eastAsia="Arial" w:hAnsi="Arial"/>
          <w:sz w:val="17"/>
          <w:szCs w:val="17"/>
          <w:color w:val="auto"/>
        </w:rPr>
        <w:t>In June 2021, the Magistrate issued an order permitting Mona to file an Amended Counterclaim Complaint, and rejected the Company’s request to execute on the Judgment. The Company filed a response to Mona’s amended counterclaim on July 21,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June 30, 2021 and December 31, 2020, the Company had 7,108,133 shares of common stock issued and outstanding.</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1020"/>
        <w:spacing w:after="0" w:line="296" w:lineRule="auto"/>
        <w:rPr>
          <w:sz w:val="20"/>
          <w:szCs w:val="20"/>
          <w:color w:val="auto"/>
        </w:rPr>
      </w:pPr>
      <w:r>
        <w:rPr>
          <w:rFonts w:ascii="Arial" w:cs="Arial" w:eastAsia="Arial" w:hAnsi="Arial"/>
          <w:sz w:val="16"/>
          <w:szCs w:val="16"/>
          <w:color w:val="auto"/>
        </w:rPr>
        <w:t>During the six months ended June 30, 2021, the Company granted to Mr. Harel Gadot, the Company’s Chairman of the Board, President and CEO, and certain employees and consultants, options to purchase an aggregate of 315,000 shares of the Company’s common stock, at an exercise price per share of $6.72 - $8.48. The stock options vest over a period of 2 – 3 years as outlined in the option agreements evidencing such grants. As a result, the Company recognized compensation expenses for the six months ended June 30, 2021 in the total amount of $174 included in general and administrative expenses and $33 included in research and development expenses.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2020.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2020.</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(including certain CardioSert assets), are comprised of proprietary innovative technologies. Using the ViRob platform, Microbot is currently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when integrated into the LIBERTY device, may drastically reduce procedure time and costs while enhancing the operator experience.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We are continuing our feasibility animal trials with respect to the LIBERTY device, and are expecting a design freeze in the fourth quarter of 2021, pre-submission to the FDA in the first quarter of 2022, clinical trials to commence in the third quarter of 2022, and submission to the FDA in the fourth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38"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2021 and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six-month periods ended June 30, 2021 and 2020 (table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4"/>
              </w:rPr>
              <w:t>Increase/</w:t>
            </w:r>
          </w:p>
        </w:tc>
        <w:tc>
          <w:tcPr>
            <w:tcW w:w="120" w:type="dxa"/>
            <w:vAlign w:val="bottom"/>
          </w:tcPr>
          <w:p>
            <w:pPr>
              <w:spacing w:after="0"/>
              <w:rPr>
                <w:sz w:val="18"/>
                <w:szCs w:val="18"/>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Six months ended</w:t>
            </w:r>
          </w:p>
        </w:tc>
        <w:tc>
          <w:tcPr>
            <w:tcW w:w="160" w:type="dxa"/>
            <w:vAlign w:val="bottom"/>
          </w:tcPr>
          <w:p>
            <w:pPr>
              <w:spacing w:after="0"/>
              <w:rPr>
                <w:sz w:val="18"/>
                <w:szCs w:val="18"/>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2"/>
              </w:rPr>
              <w:t>Increase/</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2,508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1,215</w:t>
            </w:r>
          </w:p>
        </w:tc>
        <w:tc>
          <w:tcPr>
            <w:tcW w:w="2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Microbot’s research and development expenses were approximately $1,389,000 and $2,508,000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compared to approximately $669,000 and $1,360,000 for the same periods in 2020. The increase in research and development expenses for the three and six months ended June 30, 2021 was primarily due to increases in the payroll and related expenses due to new hires, and increases relating to professional services, materials and intellectual property with respect to the LIBERTY device. Microbot expects its research and development expenses to continue to increase over time as Microbot advances its development programs and begins pre-clinical and clinical trials for its product candidates.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approximately $1,087,000 and $2,360,000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compared to approximately $1,215,000 and $2,687,000 for the same periods in 2020. The decrease in general and administrative expenses for the three and six months ended June 30, 2021 was primarily due to decrease in bonus expenses paid to our chief executive officer and a decrease in travel expenses offset by increases in salaries and related expenses. Microbot believes its general and administrative expenses may increase over time as it advances its programs, increases its headcount and operating activities and incurs expenses associated with being a public company.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(income) expenses were approximately $35,000 and $31,000 for the three and six months ended June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approximately $(29,000) and $13,000 for the same periods in 2020. The increase in financial expenses for the three and six months ended June 30, 2021 was primarily due to the exchange rate between the U.S. and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incurred losses since inception and negative cash flows from operating activities for all periods presented. As of June 30, 2021, Microbot had a net working capital of approximately $19,757,000, consisting primarily of cash and cash equivalents and marketable securities. This compares to net working capital of approximately $23,908,000 as of December 31, 2020.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301" w:lineRule="auto"/>
        <w:rPr>
          <w:sz w:val="20"/>
          <w:szCs w:val="20"/>
          <w:color w:val="auto"/>
        </w:rPr>
      </w:pPr>
      <w:r>
        <w:rPr>
          <w:rFonts w:ascii="Arial" w:cs="Arial" w:eastAsia="Arial" w:hAnsi="Arial"/>
          <w:sz w:val="16"/>
          <w:szCs w:val="16"/>
          <w:color w:val="auto"/>
        </w:rPr>
        <w:t>Microbot has funded its operations through the issuance of capital stock, grants from the Israeli Innovation Authority, and convertible debt. Since inception (November 2010) through June 30, 2021, Microbot has raised net cash proceeds of approximately $54,770,000, and incurred a total cumulative loss of approximately $49,179,000. Microbot returned $3,375,000 (before interest) of such proceeds as a result of an adverse outcome in a litigation that concluded in the first quarter of 2020, and is now subject to an additional lawsuit seeking the return of an additional $6,750,000 of such proceeds.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Israel obtained from the Israeli Innovation Authority (“IIA”) grants for participation in research and development for the years 2013 through June 30, 2021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believes that its net cash will be sufficient to fund its operations for at least 24 months and fund operations necessary to continue development activities of the SCS, LIBERTY and perhaps other product candidates. However, in the event we are unsuccessful in our current litigation with Empery and Hudson Bay, pursuant to which they are seeking the return of $6,750,000 in proceeds we received from them in a 2017 stock offering, we may have funds for less than 24 months.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intends to also raise capital through future issuances of debt and/or equity securities, including its existing $10 million registered At-The-Market offering and other registered offerings under its existing Registration Statement on Form S-3 for up to $75 million of securities, which it may draw down from time to time.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(table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67"/>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18"/>
                <w:szCs w:val="18"/>
                <w:color w:val="auto"/>
              </w:rPr>
            </w:pPr>
          </w:p>
        </w:tc>
      </w:tr>
      <w:tr>
        <w:trPr>
          <w:trHeight w:val="24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17"/>
        </w:trPr>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and cash equivalents and restricted cash</w:t>
            </w:r>
          </w:p>
        </w:tc>
        <w:tc>
          <w:tcPr>
            <w:tcW w:w="14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2021 and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from operating activities for the six months ended June 30, 2021 was approximately $4,291,000, calculated by adjusting net loss from operations by approximately $608,000 to eliminate non-cash and expense items not involving cash flows such as depreciation and share based compensation expense, as well as other changes in current assets and liabilities resulting in non-cash adjustments in the consolidated statements of operations. Cash used in operating activities for the six months ended June 30, 2020 was approximately $3,688,000 similarly adjusted by approximately $372,000.</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Net cash flows from investing activities for the six months ended June 30, 2021 was approximately $259,000 compared to approximately $2,245,000 for the six months ended June 30, 2020, which consisted of proceeds from marketable securities of $2,521,000 offset by investing in a convertible loan in the amount of $200,000.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for the six months ended June 30, 2021 was $0 compared to approximately $3,375,000 for the six months ended June 30, 2020, which consisted of repayment of shareholders investments relating to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June 30, 2021 and December 31,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2021. Based on that review and evaluation, the Chief Executive Officer and Chief Financial Officer, along with the management of the Company, have determined that as of June 30, 2021,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On March 18, 2021, we filed a notice of appeal of the denial of the Motion to Dismiss. At this time no estimation of the potential outcome of the litigation can be made, and management is unable to assess the likelihood that we will succeed at trial with respect to the SPA or the Financing, having previously lost another lawsuit with respect to the Financing.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30, 2021, the Court issued an Order adopting the Magistrate Judge’s Report &amp; Recommendation; and on March 31, 2021, the Clerk entered Judgement against Joseph Mona and in favor of Microbot in the amount of $484,614.30. On April 27, 2021, Mona filed an appeal of the Court’s Judgment, which is pending before the U.S. Court of Appeals for the Second Circuit. Microbot intends to oppose the appeal.</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3, 2021, Microbot obtained a writ of execution to enforce the Judgment against Mona, given Mona’s failure to post a bond or other security in the full amount of the Judgment pending the appeal as required by the Federal Rules of Civil Procedure. On May 7, 2021, Microbot filed a motion to permit the registration of the Judgment in districts outside the Southern District of New York in which Mona may have assets available to satisfy the Judgment.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our request to execute on the Judgment. We filed a response to Mona’s amended counterclaim on July 21,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8"/>
              </w:rPr>
            </w:pPr>
            <w:hyperlink r:id="rId46">
              <w:r>
                <w:rPr>
                  <w:rFonts w:ascii="Arial" w:cs="Arial" w:eastAsia="Arial" w:hAnsi="Arial"/>
                  <w:sz w:val="18"/>
                  <w:szCs w:val="18"/>
                  <w:color w:val="0000EE"/>
                  <w:w w:val="98"/>
                </w:rPr>
                <w:t>At the Market Offering Agreement, dated June 10, 2021, by and between Microbot Medical Inc. and H.C. Wainwright &amp; Co., LLC</w:t>
              </w:r>
            </w:hyperlink>
          </w:p>
        </w:tc>
      </w:tr>
      <w:tr>
        <w:trPr>
          <w:trHeight w:val="196"/>
        </w:trPr>
        <w:tc>
          <w:tcPr>
            <w:tcW w:w="1140" w:type="dxa"/>
            <w:vAlign w:val="bottom"/>
          </w:tcPr>
          <w:p>
            <w:pPr>
              <w:spacing w:after="0"/>
              <w:rPr>
                <w:sz w:val="17"/>
                <w:szCs w:val="17"/>
                <w:color w:val="auto"/>
              </w:rPr>
            </w:pPr>
          </w:p>
        </w:tc>
        <w:tc>
          <w:tcPr>
            <w:tcW w:w="8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(incorporated by reference to the Company’s Current Report on Form 8-K filed with the SEC on June 10, 2021)</w:t>
              </w:r>
            </w:hyperlink>
          </w:p>
        </w:tc>
        <w:tc>
          <w:tcPr>
            <w:tcW w:w="2040" w:type="dxa"/>
            <w:vAlign w:val="bottom"/>
            <w:gridSpan w:val="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100" w:type="dxa"/>
            <w:vAlign w:val="bottom"/>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Certification of Harel Gadot, Chairman, President and Chief Executive Officer</w:t>
              </w:r>
            </w:hyperlink>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Certification of David Ben Naim, Chief Financial Officer</w:t>
              </w:r>
            </w:hyperlink>
          </w:p>
        </w:tc>
        <w:tc>
          <w:tcPr>
            <w:tcW w:w="1520" w:type="dxa"/>
            <w:vAlign w:val="bottom"/>
            <w:tcBorders>
              <w:top w:val="single" w:sz="8" w:color="0000EE"/>
            </w:tcBorders>
          </w:tcPr>
          <w:p>
            <w:pPr>
              <w:spacing w:after="0"/>
              <w:rPr>
                <w:sz w:val="17"/>
                <w:szCs w:val="17"/>
                <w:color w:val="auto"/>
              </w:rPr>
            </w:pPr>
          </w:p>
        </w:tc>
        <w:tc>
          <w:tcPr>
            <w:tcW w:w="444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Harel Gadot, Chairman, President and Chief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Section 906 of the Sarbanes-Oxley Act of 2002</w:t>
              </w:r>
            </w:hyperlink>
          </w:p>
        </w:tc>
        <w:tc>
          <w:tcPr>
            <w:tcW w:w="668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David Ben Naim, Chief Financial Officer, pursuant to 18 U.S.C. Section 1350, as adopted pursuant to Section 906 of the</w:t>
              </w:r>
            </w:hyperlink>
          </w:p>
        </w:tc>
      </w:tr>
      <w:tr>
        <w:trPr>
          <w:trHeight w:val="196"/>
        </w:trPr>
        <w:tc>
          <w:tcPr>
            <w:tcW w:w="114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Sarbanes-Oxley Act of 2002</w:t>
              </w:r>
            </w:hyperlink>
          </w:p>
        </w:tc>
        <w:tc>
          <w:tcPr>
            <w:tcW w:w="80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7"/>
          </w:tcPr>
          <w:p>
            <w:pPr>
              <w:spacing w:after="0"/>
              <w:rPr>
                <w:sz w:val="20"/>
                <w:szCs w:val="20"/>
                <w:color w:val="auto"/>
              </w:rPr>
            </w:pPr>
            <w:r>
              <w:rPr>
                <w:rFonts w:ascii="Arial" w:cs="Arial" w:eastAsia="Arial" w:hAnsi="Arial"/>
                <w:sz w:val="18"/>
                <w:szCs w:val="18"/>
                <w:color w:val="auto"/>
                <w:w w:val="90"/>
              </w:rPr>
              <w:t>Inline XBRL Instance - The instance document does not appear in the Interactive Data File because its XBRL tags are embedded within the</w:t>
            </w:r>
          </w:p>
        </w:tc>
      </w:tr>
      <w:tr>
        <w:trPr>
          <w:trHeight w:val="216"/>
        </w:trPr>
        <w:tc>
          <w:tcPr>
            <w:tcW w:w="11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20" w:right="3560" w:hanging="5512"/>
        <w:spacing w:after="0" w:line="511" w:lineRule="auto"/>
        <w:tabs>
          <w:tab w:leader="none" w:pos="1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2021.</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82"/>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88"/>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82"/>
        <w:spacing w:after="0" w:line="28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88"/>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82"/>
        <w:spacing w:after="0" w:line="274"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88"/>
        <w:spacing w:after="0" w:line="26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82"/>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88"/>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82"/>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88"/>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82"/>
        <w:spacing w:after="0" w:line="274"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88"/>
        <w:spacing w:after="0" w:line="26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16, 2021</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June 30, 2021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16, 2021</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46" Type="http://schemas.openxmlformats.org/officeDocument/2006/relationships/hyperlink" Target="https://www.sec.gov/Archives/edgar/data/883975/00014931522101405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2021-08-16T15:32:29Z</dcterms:created>
  <dcterms:modified xsi:type="dcterms:W3CDTF">2021-08-16T15:32:29Z</dcterms:modified>
</cp:coreProperties>
</file>