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10, 2021</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3"/>
              </w:rPr>
              <w:t>Delaware</w:t>
            </w: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000-19871</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87"/>
              </w:rPr>
              <w:t>(Commission</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of incorporation)</w:t>
            </w:r>
          </w:p>
        </w:tc>
        <w:tc>
          <w:tcPr>
            <w:tcW w:w="554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File Number)</w:t>
            </w:r>
          </w:p>
        </w:tc>
        <w:tc>
          <w:tcPr>
            <w:tcW w:w="1660" w:type="dxa"/>
            <w:vAlign w:val="bottom"/>
          </w:tcPr>
          <w:p>
            <w:pPr>
              <w:jc w:val="center"/>
              <w:ind w:left="1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Hingham, Massachusetts 02043</w:t>
            </w:r>
          </w:p>
        </w:tc>
        <w:tc>
          <w:tcPr>
            <w:tcW w:w="1660" w:type="dxa"/>
            <w:vAlign w:val="bottom"/>
          </w:tcPr>
          <w:p>
            <w:pPr>
              <w:spacing w:after="0"/>
              <w:rPr>
                <w:sz w:val="18"/>
                <w:szCs w:val="18"/>
                <w:color w:val="auto"/>
              </w:rPr>
            </w:pPr>
          </w:p>
        </w:tc>
      </w:tr>
      <w:tr>
        <w:trPr>
          <w:trHeight w:val="234"/>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3"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3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20" w:type="dxa"/>
            <w:vAlign w:val="bottom"/>
          </w:tcPr>
          <w:p>
            <w:pPr>
              <w:spacing w:after="0"/>
              <w:rPr>
                <w:sz w:val="20"/>
                <w:szCs w:val="20"/>
                <w:color w:val="auto"/>
              </w:rPr>
            </w:pPr>
          </w:p>
        </w:tc>
        <w:tc>
          <w:tcPr>
            <w:tcW w:w="2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MBOT</w:t>
            </w:r>
          </w:p>
        </w:tc>
        <w:tc>
          <w:tcPr>
            <w:tcW w:w="220" w:type="dxa"/>
            <w:vAlign w:val="bottom"/>
          </w:tcPr>
          <w:p>
            <w:pPr>
              <w:spacing w:after="0"/>
              <w:rPr>
                <w:sz w:val="20"/>
                <w:szCs w:val="20"/>
                <w:color w:val="auto"/>
              </w:rPr>
            </w:pPr>
          </w:p>
        </w:tc>
        <w:tc>
          <w:tcPr>
            <w:tcW w:w="4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Capital Market</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468630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ind w:left="660"/>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June 10, 2021, Microbot Medical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entered into an At the Market Offering Agreement (the “</w:t>
      </w:r>
      <w:r>
        <w:rPr>
          <w:rFonts w:ascii="Arial" w:cs="Arial" w:eastAsia="Arial" w:hAnsi="Arial"/>
          <w:sz w:val="17"/>
          <w:szCs w:val="17"/>
          <w:b w:val="1"/>
          <w:bCs w:val="1"/>
          <w:color w:val="auto"/>
        </w:rPr>
        <w:t>ATM Agreement</w:t>
      </w:r>
      <w:r>
        <w:rPr>
          <w:rFonts w:ascii="Arial" w:cs="Arial" w:eastAsia="Arial" w:hAnsi="Arial"/>
          <w:sz w:val="17"/>
          <w:szCs w:val="17"/>
          <w:color w:val="auto"/>
        </w:rPr>
        <w:t>”) with H.C. Wainwright &amp; Co., LLC (“</w:t>
      </w:r>
      <w:r>
        <w:rPr>
          <w:rFonts w:ascii="Arial" w:cs="Arial" w:eastAsia="Arial" w:hAnsi="Arial"/>
          <w:sz w:val="17"/>
          <w:szCs w:val="17"/>
          <w:b w:val="1"/>
          <w:bCs w:val="1"/>
          <w:color w:val="auto"/>
        </w:rPr>
        <w:t>Wainwright</w:t>
      </w:r>
      <w:r>
        <w:rPr>
          <w:rFonts w:ascii="Arial" w:cs="Arial" w:eastAsia="Arial" w:hAnsi="Arial"/>
          <w:sz w:val="17"/>
          <w:szCs w:val="17"/>
          <w:color w:val="auto"/>
        </w:rPr>
        <w:t>”), as sales agent, in connection with an “at the market offering” under which the Company from may offer and sell, from time to time in its sole discretion, shares of its common stock, par value $0.01 per share, having an aggregate offering price of up to $10,000,000 (the “</w:t>
      </w:r>
      <w:r>
        <w:rPr>
          <w:rFonts w:ascii="Arial" w:cs="Arial" w:eastAsia="Arial" w:hAnsi="Arial"/>
          <w:sz w:val="17"/>
          <w:szCs w:val="17"/>
          <w:b w:val="1"/>
          <w:bCs w:val="1"/>
          <w:color w:val="auto"/>
        </w:rPr>
        <w:t>Shares</w:t>
      </w:r>
      <w:r>
        <w:rPr>
          <w:rFonts w:ascii="Arial" w:cs="Arial" w:eastAsia="Arial" w:hAnsi="Arial"/>
          <w:sz w:val="17"/>
          <w:szCs w:val="17"/>
          <w:color w:val="auto"/>
        </w:rPr>
        <w:t>”) at market prices or as otherwise agreed with Wainwright. Shares sold under the ATM Agreement will be offered and sold pursuant to the Company’s Registration Statement on Form S-3, which was initially filed on November 25, 2020 and which was declared effective by the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on December 4, 2020 (Registration No. 333-250966)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and the related prospectus as supplemented by a prospectus supplement that the Company expects to file with the SEC relating to the Shares shortly after the filing of this Current Report on Form 8-K.</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Upon the Company’s delivery of a placement notice and subject to the terms and conditions of the ATM Agreement, Wainwright may sell the Shares by any method permitted that is deemed an “at the market offering” as defined in Rule 415 under the Securities Act of 1933, as amended, including sales made directly on the Nasdaq Capital Market or sales made to or through a market maker other than on an exchange, at market prices prevailing at the time of sale or in negotiated transactions. The offer and sale of the Shares pursuant to the ATM Agreement will terminate upon the earlier of (a) the issuance and sale of all of the Shares subject to the ATM Agreement or (b) the termination of the ATM Agreement by Wainwright or the Company pursuant to the terms thereof. The Company has no obligation to sell any of the Shares, and may at any time suspend offers under the Agreement or terminate the Agreement.</w:t>
      </w:r>
    </w:p>
    <w:p>
      <w:pPr>
        <w:spacing w:after="0" w:line="19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agreed to pay Wainwright a commission of 3.0% of the aggregate gross proceeds from any Shares sold by Wainwright and to provide Wainwright with customary indemnification and contribution rights, including for liabilities under the Securities Act of 1933, as amended. The Company also will reimburse Wainwright for certain specified expenses in connection with entering into the ATM Agreement and future sales of Shares. The ATM Agreement contains customary representations and warranties and conditions to the placements of the Shares.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Current Report on Form 8-K shall not constitute an offer to sell or the solicitation of an offer to buy the Shares, nor shall there be any offer, solicitation or sale of the Shares in any state or country in which such offer, solicitation or sale would be unlawful prior to registration or qualification under the securities laws of any such state or country.</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opinion of the Company’s counsel regarding the validity of the Shares is filed as Exhibit 5.1 to this Current Report on Form 8-K. This opinion is also filed with reference to, and is hereby incorporated by reference into, the Registration Statement.</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 of the terms of the ATM Agreement is not complete and is qualified in its entirety by reference to the full text of the ATM Agreement, a copy of which is filed as Exhibit 10.1 to this Current Report on Form 8-K and is incorporated herein by reference.</w:t>
      </w:r>
    </w:p>
    <w:p>
      <w:pPr>
        <w:spacing w:after="0" w:line="14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cautions you that statements included in this Current Report on Form 8-K that are not a description of historical facts are forward-looking statements. These forward-looking statements include statements regarding the Company’s ability to sell Shares pursuant to the ATM Agreement. The inclusion of forward-looking statements should not be regarded as a representation by the Company that any of these statements, results or sales will be achieved or completed due in part to risks and uncertainties inherent in the Company’s business, including those described in the Company’s Form 10-K for the year ended December 31, 2020 filed with the SEC on March 31, 2021, as amended on April 14, 2021. You are cautioned not to place undue reliance on these forward-looking statements, which speak only as of the date hereof, and the Company undertakes no obligation to revise or update this report to reflect events or circumstances after the date hereof. All forward-looking statements are qualified in their entirety by this cautionary statement. This caution is made under the safe harbor provisions of Section 21E of the Private Securities Litigation Reform Act of 1995.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160" w:hanging="1152"/>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0"/>
                <w:szCs w:val="20"/>
                <w:color w:val="auto"/>
              </w:rPr>
            </w:pPr>
          </w:p>
        </w:tc>
        <w:tc>
          <w:tcPr>
            <w:tcW w:w="10080" w:type="dxa"/>
            <w:vAlign w:val="bottom"/>
            <w:gridSpan w:val="4"/>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Opinion of Mintz, Levin, Cohn, Ferris, Glovsky and Popeo, P.C.</w:t>
              </w:r>
            </w:hyperlink>
          </w:p>
        </w:tc>
        <w:tc>
          <w:tcPr>
            <w:tcW w:w="0" w:type="dxa"/>
            <w:vAlign w:val="bottom"/>
          </w:tcPr>
          <w:p>
            <w:pPr>
              <w:spacing w:after="0"/>
              <w:rPr>
                <w:sz w:val="1"/>
                <w:szCs w:val="1"/>
                <w:color w:val="auto"/>
              </w:rPr>
            </w:pPr>
          </w:p>
        </w:tc>
      </w:tr>
      <w:tr>
        <w:trPr>
          <w:trHeight w:val="162"/>
        </w:trPr>
        <w:tc>
          <w:tcPr>
            <w:tcW w:w="980" w:type="dxa"/>
            <w:vAlign w:val="bottom"/>
          </w:tcPr>
          <w:p>
            <w:pPr>
              <w:spacing w:after="0" w:line="142" w:lineRule="exact"/>
              <w:rPr>
                <w:sz w:val="20"/>
                <w:szCs w:val="20"/>
                <w:color w:val="auto"/>
              </w:rPr>
            </w:pPr>
            <w:r>
              <w:rPr>
                <w:rFonts w:ascii="Arial" w:cs="Arial" w:eastAsia="Arial" w:hAnsi="Arial"/>
                <w:sz w:val="16"/>
                <w:szCs w:val="16"/>
                <w:color w:val="auto"/>
              </w:rPr>
              <w:t>5.1</w:t>
            </w:r>
          </w:p>
        </w:tc>
        <w:tc>
          <w:tcPr>
            <w:tcW w:w="180" w:type="dxa"/>
            <w:vAlign w:val="bottom"/>
          </w:tcPr>
          <w:p>
            <w:pPr>
              <w:spacing w:after="0"/>
              <w:rPr>
                <w:sz w:val="14"/>
                <w:szCs w:val="14"/>
                <w:color w:val="auto"/>
              </w:rPr>
            </w:pPr>
          </w:p>
        </w:tc>
        <w:tc>
          <w:tcPr>
            <w:tcW w:w="10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40" w:type="dxa"/>
            <w:vAlign w:val="bottom"/>
            <w:shd w:val="clear" w:color="auto" w:fill="0000EE"/>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10080" w:type="dxa"/>
            <w:vAlign w:val="bottom"/>
            <w:gridSpan w:val="4"/>
          </w:tcPr>
          <w:p>
            <w:pPr>
              <w:spacing w:after="0"/>
              <w:rPr>
                <w:rFonts w:ascii="Arial" w:cs="Arial" w:eastAsia="Arial" w:hAnsi="Arial"/>
                <w:sz w:val="18"/>
                <w:szCs w:val="18"/>
                <w:color w:val="0000EE"/>
                <w:w w:val="98"/>
              </w:rPr>
            </w:pPr>
            <w:hyperlink w:anchor="page6">
              <w:r>
                <w:rPr>
                  <w:rFonts w:ascii="Arial" w:cs="Arial" w:eastAsia="Arial" w:hAnsi="Arial"/>
                  <w:sz w:val="18"/>
                  <w:szCs w:val="18"/>
                  <w:color w:val="0000EE"/>
                  <w:w w:val="98"/>
                </w:rPr>
                <w:t>At the Market Offering Agreement, dated June 10, 2021, by and between Microbot Medical Inc. and H.C. Wainwright &amp; Co., LLC.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180" w:type="dxa"/>
            <w:vAlign w:val="bottom"/>
          </w:tcPr>
          <w:p>
            <w:pPr>
              <w:spacing w:after="0"/>
              <w:rPr>
                <w:sz w:val="17"/>
                <w:szCs w:val="17"/>
                <w:color w:val="auto"/>
              </w:rPr>
            </w:pPr>
          </w:p>
        </w:tc>
        <w:tc>
          <w:tcPr>
            <w:tcW w:w="94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Consent of Mintz, Levin, Cohn, Ferris, Glovsky and Popeo, P.C. (contained in Exhibit 5.1).</w:t>
              </w:r>
            </w:hyperlink>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9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40" w:type="dxa"/>
            <w:vAlign w:val="bottom"/>
            <w:tcBorders>
              <w:top w:val="single" w:sz="8" w:color="0000EE"/>
              <w:bottom w:val="single" w:sz="8" w:color="auto"/>
            </w:tcBorders>
          </w:tcPr>
          <w:p>
            <w:pPr>
              <w:spacing w:after="0"/>
              <w:rPr>
                <w:sz w:val="24"/>
                <w:szCs w:val="24"/>
                <w:color w:val="auto"/>
              </w:rPr>
            </w:pPr>
          </w:p>
        </w:tc>
        <w:tc>
          <w:tcPr>
            <w:tcW w:w="1940" w:type="dxa"/>
            <w:vAlign w:val="bottom"/>
            <w:tcBorders>
              <w:top w:val="single" w:sz="8" w:color="0000EE"/>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 President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June 10,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1933575</wp:posOffset>
            </wp:positionH>
            <wp:positionV relativeFrom="paragraph">
              <wp:posOffset>154305</wp:posOffset>
            </wp:positionV>
            <wp:extent cx="720090" cy="916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91694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One Financial Center</w:t>
      </w:r>
    </w:p>
    <w:p>
      <w:pPr>
        <w:spacing w:after="0" w:line="23"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617 542 6000</w:t>
      </w:r>
    </w:p>
    <w:p>
      <w:pPr>
        <w:spacing w:after="0" w:line="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acted as counsel to Microbot Medical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of a Prospectus Supplement, dated June 10, 2021, to a Prospectus, dated December 4, 2021 (the “</w:t>
      </w:r>
      <w:r>
        <w:rPr>
          <w:rFonts w:ascii="Arial" w:cs="Arial" w:eastAsia="Arial" w:hAnsi="Arial"/>
          <w:sz w:val="17"/>
          <w:szCs w:val="17"/>
          <w:b w:val="1"/>
          <w:bCs w:val="1"/>
          <w:color w:val="auto"/>
        </w:rPr>
        <w:t>Prospectus and Prospectus Supplement</w:t>
      </w:r>
      <w:r>
        <w:rPr>
          <w:rFonts w:ascii="Arial" w:cs="Arial" w:eastAsia="Arial" w:hAnsi="Arial"/>
          <w:sz w:val="17"/>
          <w:szCs w:val="17"/>
          <w:color w:val="auto"/>
        </w:rPr>
        <w:t>”), filed pursuant to a Registration Statement on Form S-3, Registration No. 333-250966 (the “</w:t>
      </w:r>
      <w:r>
        <w:rPr>
          <w:rFonts w:ascii="Arial" w:cs="Arial" w:eastAsia="Arial" w:hAnsi="Arial"/>
          <w:sz w:val="17"/>
          <w:szCs w:val="17"/>
          <w:b w:val="1"/>
          <w:b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color w:val="auto"/>
        </w:rPr>
        <w:t>Statement</w:t>
      </w:r>
      <w:r>
        <w:rPr>
          <w:rFonts w:ascii="Arial" w:cs="Arial" w:eastAsia="Arial" w:hAnsi="Arial"/>
          <w:sz w:val="17"/>
          <w:szCs w:val="17"/>
          <w:color w:val="auto"/>
        </w:rPr>
        <w:t>”), pursuant to which the Company is registering under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the sale of up to</w:t>
      </w:r>
      <w:r>
        <w:rPr>
          <w:rFonts w:ascii="Arial" w:cs="Arial" w:eastAsia="Arial" w:hAnsi="Arial"/>
          <w:sz w:val="17"/>
          <w:szCs w:val="17"/>
          <w:b w:val="1"/>
          <w:bCs w:val="1"/>
          <w:color w:val="auto"/>
        </w:rPr>
        <w:t xml:space="preserve"> </w:t>
      </w:r>
      <w:r>
        <w:rPr>
          <w:rFonts w:ascii="Arial" w:cs="Arial" w:eastAsia="Arial" w:hAnsi="Arial"/>
          <w:sz w:val="17"/>
          <w:szCs w:val="17"/>
          <w:color w:val="auto"/>
        </w:rPr>
        <w:t>$10,000,000 of shares (the “</w:t>
      </w:r>
      <w:r>
        <w:rPr>
          <w:rFonts w:ascii="Arial" w:cs="Arial" w:eastAsia="Arial" w:hAnsi="Arial"/>
          <w:sz w:val="17"/>
          <w:szCs w:val="17"/>
          <w:b w:val="1"/>
          <w:bCs w:val="1"/>
          <w:color w:val="auto"/>
        </w:rPr>
        <w:t>Placement Shares</w:t>
      </w:r>
      <w:r>
        <w:rPr>
          <w:rFonts w:ascii="Arial" w:cs="Arial" w:eastAsia="Arial" w:hAnsi="Arial"/>
          <w:sz w:val="17"/>
          <w:szCs w:val="17"/>
          <w:color w:val="auto"/>
        </w:rPr>
        <w:t>”) of common stock, $0.01 par value per share (the “</w:t>
      </w:r>
      <w:r>
        <w:rPr>
          <w:rFonts w:ascii="Arial" w:cs="Arial" w:eastAsia="Arial" w:hAnsi="Arial"/>
          <w:sz w:val="17"/>
          <w:szCs w:val="17"/>
          <w:b w:val="1"/>
          <w:bCs w:val="1"/>
          <w:color w:val="auto"/>
        </w:rPr>
        <w:t>Common Stock</w:t>
      </w:r>
      <w:r>
        <w:rPr>
          <w:rFonts w:ascii="Arial" w:cs="Arial" w:eastAsia="Arial" w:hAnsi="Arial"/>
          <w:sz w:val="17"/>
          <w:szCs w:val="17"/>
          <w:color w:val="auto"/>
        </w:rPr>
        <w:t>”), of the Company. The Placement Shares are being sold pursuant to a At the Market Offering Agreement, dated as of June 10, 2021, by and between the Company and H.C. Wainwright &amp; Co., LLC (the “</w:t>
      </w:r>
      <w:r>
        <w:rPr>
          <w:rFonts w:ascii="Arial" w:cs="Arial" w:eastAsia="Arial" w:hAnsi="Arial"/>
          <w:sz w:val="17"/>
          <w:szCs w:val="17"/>
          <w:b w:val="1"/>
          <w:bCs w:val="1"/>
          <w:color w:val="auto"/>
        </w:rPr>
        <w:t>Agreement</w:t>
      </w:r>
      <w:r>
        <w:rPr>
          <w:rFonts w:ascii="Arial" w:cs="Arial" w:eastAsia="Arial" w:hAnsi="Arial"/>
          <w:sz w:val="17"/>
          <w:szCs w:val="17"/>
          <w:color w:val="auto"/>
        </w:rPr>
        <w:t>”), pursuant to which the Company may issue and sell the Placement Shares pursuant to the Registration Statement and the Prospectus and Prospectus Supplement.</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connection with this opinion, we have examined the Company’s Restated Certificate of Incorporation, as amended to date, and Amended and Restated By-laws, as amended to date, such other records of the corporate proceedings of the Company and certificates of the Company’s officers as we have deemed relevant, as well as the Registration Statement and the exhibits thereto and the Prospectus and the Prospectus Supplement.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certified, photostatic or facsimile copies and the authenticity of the originals of such copies.</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Based upon the foregoing, and subject to the limitations set forth below, we are of the opinion that the Placement Shares, when issued by the Company out of the Company’s duly authorized Common Stock and issued and delivered by the Company against payment therefor as contemplated by the Agreement, on terms approved by the Board of Directors of the Company, or a duly authorized committee thereof, will be duly and validly issued, fully paid and non-assessable.</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opinion is limited to the General Corporation Law of the State of Delaware and the United States federal laws, and we express no opinion with respect to the laws of any other jurisdiction. No opinion is expressed herein with respect to the qualification of the Placement Shares under the securities or blue sky laws of any state or any foreign jurisdiction.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W</w:t>
      </w:r>
      <w:r>
        <w:rPr>
          <w:rFonts w:ascii="Arial" w:cs="Arial" w:eastAsia="Arial" w:hAnsi="Arial"/>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10, 2021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relied as to certain matters on information obtained from public officials, officers of the Company, and other sources believed by us to be responsible.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hereby consent to the filing of this opinion as an exhibit to a Current Report on Form 8-K and the Registration Statement in accordance with the requirements of Item 601(b)(5) 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23495</wp:posOffset>
            </wp:positionV>
            <wp:extent cx="3566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Mintz, Levin, Cohn, Ferris, Glovsky and Popeo, P.C.</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Mintz, Levin, Cohn, Ferris, Glovsky and Popeo, P.C.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w:t>
      </w:r>
      <w:r>
        <w:rPr>
          <w:rFonts w:ascii="Arial" w:cs="Arial" w:eastAsia="Arial" w:hAnsi="Arial"/>
          <w:sz w:val="12"/>
          <w:szCs w:val="12"/>
          <w:color w:val="auto"/>
        </w:rPr>
        <w:t>OSTON</w:t>
      </w:r>
      <w:r>
        <w:rPr>
          <w:rFonts w:ascii="Arial" w:cs="Arial" w:eastAsia="Arial" w:hAnsi="Arial"/>
          <w:sz w:val="18"/>
          <w:szCs w:val="18"/>
          <w:color w:val="auto"/>
        </w:rPr>
        <w:t xml:space="preserve"> | L</w:t>
      </w:r>
      <w:r>
        <w:rPr>
          <w:rFonts w:ascii="Arial" w:cs="Arial" w:eastAsia="Arial" w:hAnsi="Arial"/>
          <w:sz w:val="12"/>
          <w:szCs w:val="12"/>
          <w:color w:val="auto"/>
        </w:rPr>
        <w:t>ONDON</w:t>
      </w:r>
      <w:r>
        <w:rPr>
          <w:rFonts w:ascii="Arial" w:cs="Arial" w:eastAsia="Arial" w:hAnsi="Arial"/>
          <w:sz w:val="18"/>
          <w:szCs w:val="18"/>
          <w:color w:val="auto"/>
        </w:rPr>
        <w:t xml:space="preserve"> | L</w:t>
      </w:r>
      <w:r>
        <w:rPr>
          <w:rFonts w:ascii="Arial" w:cs="Arial" w:eastAsia="Arial" w:hAnsi="Arial"/>
          <w:sz w:val="12"/>
          <w:szCs w:val="12"/>
          <w:color w:val="auto"/>
        </w:rPr>
        <w:t>OS</w:t>
      </w:r>
      <w:r>
        <w:rPr>
          <w:rFonts w:ascii="Arial" w:cs="Arial" w:eastAsia="Arial" w:hAnsi="Arial"/>
          <w:sz w:val="18"/>
          <w:szCs w:val="18"/>
          <w:color w:val="auto"/>
        </w:rPr>
        <w:t xml:space="preserve"> A</w:t>
      </w:r>
      <w:r>
        <w:rPr>
          <w:rFonts w:ascii="Arial" w:cs="Arial" w:eastAsia="Arial" w:hAnsi="Arial"/>
          <w:sz w:val="12"/>
          <w:szCs w:val="12"/>
          <w:color w:val="auto"/>
        </w:rPr>
        <w:t>NGELES</w:t>
      </w:r>
      <w:r>
        <w:rPr>
          <w:rFonts w:ascii="Arial" w:cs="Arial" w:eastAsia="Arial" w:hAnsi="Arial"/>
          <w:sz w:val="18"/>
          <w:szCs w:val="18"/>
          <w:color w:val="auto"/>
        </w:rPr>
        <w:t xml:space="preserve"> | N</w:t>
      </w:r>
      <w:r>
        <w:rPr>
          <w:rFonts w:ascii="Arial" w:cs="Arial" w:eastAsia="Arial" w:hAnsi="Arial"/>
          <w:sz w:val="12"/>
          <w:szCs w:val="12"/>
          <w:color w:val="auto"/>
        </w:rPr>
        <w:t>EW</w:t>
      </w:r>
      <w:r>
        <w:rPr>
          <w:rFonts w:ascii="Arial" w:cs="Arial" w:eastAsia="Arial" w:hAnsi="Arial"/>
          <w:sz w:val="18"/>
          <w:szCs w:val="18"/>
          <w:color w:val="auto"/>
        </w:rPr>
        <w:t xml:space="preserve"> Y</w:t>
      </w:r>
      <w:r>
        <w:rPr>
          <w:rFonts w:ascii="Arial" w:cs="Arial" w:eastAsia="Arial" w:hAnsi="Arial"/>
          <w:sz w:val="12"/>
          <w:szCs w:val="12"/>
          <w:color w:val="auto"/>
        </w:rPr>
        <w:t>ORK</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D</w:t>
      </w:r>
      <w:r>
        <w:rPr>
          <w:rFonts w:ascii="Arial" w:cs="Arial" w:eastAsia="Arial" w:hAnsi="Arial"/>
          <w:sz w:val="12"/>
          <w:szCs w:val="12"/>
          <w:color w:val="auto"/>
        </w:rPr>
        <w:t>IEGO</w:t>
      </w:r>
      <w:r>
        <w:rPr>
          <w:rFonts w:ascii="Arial" w:cs="Arial" w:eastAsia="Arial" w:hAnsi="Arial"/>
          <w:sz w:val="18"/>
          <w:szCs w:val="18"/>
          <w:color w:val="auto"/>
        </w:rPr>
        <w:t xml:space="preserve"> | S</w:t>
      </w:r>
      <w:r>
        <w:rPr>
          <w:rFonts w:ascii="Arial" w:cs="Arial" w:eastAsia="Arial" w:hAnsi="Arial"/>
          <w:sz w:val="12"/>
          <w:szCs w:val="12"/>
          <w:color w:val="auto"/>
        </w:rPr>
        <w:t>AN</w:t>
      </w:r>
      <w:r>
        <w:rPr>
          <w:rFonts w:ascii="Arial" w:cs="Arial" w:eastAsia="Arial" w:hAnsi="Arial"/>
          <w:sz w:val="18"/>
          <w:szCs w:val="18"/>
          <w:color w:val="auto"/>
        </w:rPr>
        <w:t xml:space="preserve"> F</w:t>
      </w:r>
      <w:r>
        <w:rPr>
          <w:rFonts w:ascii="Arial" w:cs="Arial" w:eastAsia="Arial" w:hAnsi="Arial"/>
          <w:sz w:val="12"/>
          <w:szCs w:val="12"/>
          <w:color w:val="auto"/>
        </w:rPr>
        <w:t>RANCISCO</w:t>
      </w:r>
      <w:r>
        <w:rPr>
          <w:rFonts w:ascii="Arial" w:cs="Arial" w:eastAsia="Arial" w:hAnsi="Arial"/>
          <w:sz w:val="18"/>
          <w:szCs w:val="18"/>
          <w:color w:val="auto"/>
        </w:rPr>
        <w:t xml:space="preserve"> | S</w:t>
      </w:r>
      <w:r>
        <w:rPr>
          <w:rFonts w:ascii="Arial" w:cs="Arial" w:eastAsia="Arial" w:hAnsi="Arial"/>
          <w:sz w:val="12"/>
          <w:szCs w:val="12"/>
          <w:color w:val="auto"/>
        </w:rPr>
        <w:t>TAMFORD</w:t>
      </w:r>
      <w:r>
        <w:rPr>
          <w:rFonts w:ascii="Arial" w:cs="Arial" w:eastAsia="Arial" w:hAnsi="Arial"/>
          <w:sz w:val="18"/>
          <w:szCs w:val="18"/>
          <w:color w:val="auto"/>
        </w:rPr>
        <w:t xml:space="preserve"> | W</w:t>
      </w:r>
      <w:r>
        <w:rPr>
          <w:rFonts w:ascii="Arial" w:cs="Arial" w:eastAsia="Arial" w:hAnsi="Arial"/>
          <w:sz w:val="12"/>
          <w:szCs w:val="12"/>
          <w:color w:val="auto"/>
        </w:rPr>
        <w:t>ASHINGTON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ind w:left="10320"/>
        <w:spacing w:after="0"/>
        <w:rPr>
          <w:sz w:val="20"/>
          <w:szCs w:val="20"/>
          <w:color w:val="auto"/>
        </w:rPr>
      </w:pPr>
      <w:r>
        <w:rPr>
          <w:rFonts w:ascii="Arial" w:cs="Arial" w:eastAsia="Arial" w:hAnsi="Arial"/>
          <w:sz w:val="16"/>
          <w:szCs w:val="16"/>
          <w:b w:val="1"/>
          <w:bCs w:val="1"/>
          <w:color w:val="auto"/>
        </w:rPr>
        <w:t>Exhibit 10.1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 THE MARKET OFFERING AGREEMENT</w:t>
      </w:r>
    </w:p>
    <w:p>
      <w:pPr>
        <w:spacing w:after="0" w:line="22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June 10,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H.C. Wainwright &amp; Co.,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Microbot Medical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confirms its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with H.C. Wainwright &amp; Co., LLC (the “</w:t>
      </w:r>
      <w:r>
        <w:rPr>
          <w:rFonts w:ascii="Arial" w:cs="Arial" w:eastAsia="Arial" w:hAnsi="Arial"/>
          <w:sz w:val="18"/>
          <w:szCs w:val="18"/>
          <w:u w:val="single" w:color="auto"/>
          <w:color w:val="auto"/>
        </w:rPr>
        <w:t>Manager</w:t>
      </w:r>
      <w:r>
        <w:rPr>
          <w:rFonts w:ascii="Arial" w:cs="Arial" w:eastAsia="Arial" w:hAnsi="Arial"/>
          <w:sz w:val="18"/>
          <w:szCs w:val="18"/>
          <w:color w:val="auto"/>
        </w:rPr>
        <w:t>”) as follows:</w:t>
      </w:r>
    </w:p>
    <w:p>
      <w:pPr>
        <w:spacing w:after="0" w:line="170" w:lineRule="exact"/>
        <w:rPr>
          <w:sz w:val="20"/>
          <w:szCs w:val="20"/>
          <w:color w:val="auto"/>
        </w:rPr>
      </w:pPr>
    </w:p>
    <w:p>
      <w:pPr>
        <w:ind w:left="1300" w:right="1260" w:hanging="644"/>
        <w:spacing w:after="0" w:line="500" w:lineRule="auto"/>
        <w:tabs>
          <w:tab w:leader="none" w:pos="832"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and any Terms Agreement, shall have the meanings indicated. “</w:t>
      </w:r>
      <w:r>
        <w:rPr>
          <w:rFonts w:ascii="Arial" w:cs="Arial" w:eastAsia="Arial" w:hAnsi="Arial"/>
          <w:sz w:val="18"/>
          <w:szCs w:val="18"/>
          <w:u w:val="single" w:color="auto"/>
          <w:color w:val="auto"/>
        </w:rPr>
        <w:t>Accountants</w:t>
      </w:r>
      <w:r>
        <w:rPr>
          <w:rFonts w:ascii="Arial" w:cs="Arial" w:eastAsia="Arial" w:hAnsi="Arial"/>
          <w:sz w:val="18"/>
          <w:szCs w:val="18"/>
          <w:color w:val="auto"/>
        </w:rPr>
        <w:t>” shall have the meaning ascribed to such term in Section 4(m).</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Act</w:t>
      </w:r>
      <w:r>
        <w:rPr>
          <w:rFonts w:ascii="Arial" w:cs="Arial" w:eastAsia="Arial" w:hAnsi="Arial"/>
          <w:sz w:val="17"/>
          <w:szCs w:val="17"/>
          <w:color w:val="auto"/>
        </w:rPr>
        <w:t>” shall mean the Securities Act of 1933, as amended, and the rules and regulations of the Commission promulgated thereunder.</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3(q).</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shall have the meaning ascribed to such term in Section 3(p).</w:t>
      </w:r>
    </w:p>
    <w:p>
      <w:pPr>
        <w:spacing w:after="0" w:line="225" w:lineRule="exact"/>
        <w:rPr>
          <w:sz w:val="20"/>
          <w:szCs w:val="20"/>
          <w:color w:val="auto"/>
        </w:rPr>
      </w:pPr>
    </w:p>
    <w:p>
      <w:pPr>
        <w:jc w:val="both"/>
        <w:ind w:left="660"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Time</w:t>
      </w:r>
      <w:r>
        <w:rPr>
          <w:rFonts w:ascii="Arial" w:cs="Arial" w:eastAsia="Arial" w:hAnsi="Arial"/>
          <w:sz w:val="18"/>
          <w:szCs w:val="18"/>
          <w:color w:val="auto"/>
        </w:rPr>
        <w:t>” shall mean, with respect to any Shares, the time of sale of such Shares pursuant to this Agreement or any relevant Terms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Prospectus</w:t>
      </w:r>
      <w:r>
        <w:rPr>
          <w:rFonts w:ascii="Arial" w:cs="Arial" w:eastAsia="Arial" w:hAnsi="Arial"/>
          <w:sz w:val="18"/>
          <w:szCs w:val="18"/>
          <w:color w:val="auto"/>
        </w:rPr>
        <w:t>” shall mean the base prospectus contained in the Registration Statement at the Execution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have the meaning ascribed to such term in Section 2(b)(iii).</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 Fee</w:t>
      </w:r>
      <w:r>
        <w:rPr>
          <w:rFonts w:ascii="Arial" w:cs="Arial" w:eastAsia="Arial" w:hAnsi="Arial"/>
          <w:sz w:val="18"/>
          <w:szCs w:val="18"/>
          <w:color w:val="auto"/>
        </w:rPr>
        <w:t>” shall have the meaning ascribed to such term in Section 2(b)(v).</w:t>
      </w:r>
    </w:p>
    <w:p>
      <w:pPr>
        <w:spacing w:after="0" w:line="225" w:lineRule="exact"/>
        <w:rPr>
          <w:sz w:val="20"/>
          <w:szCs w:val="20"/>
          <w:color w:val="auto"/>
        </w:rPr>
      </w:pPr>
    </w:p>
    <w:p>
      <w:pPr>
        <w:jc w:val="both"/>
        <w:ind w:left="660" w:firstLine="648"/>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xml:space="preserve">” shall mean any day other than Saturday, Sunday or other day on which commercial banks in The City of New York are authorized or required by law to remain closed;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for purposes of clarity,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generally are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United States Securities and Exchange Commission.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 Equivalents</w:t>
      </w:r>
      <w:r>
        <w:rPr>
          <w:rFonts w:ascii="Arial" w:cs="Arial" w:eastAsia="Arial" w:hAnsi="Arial"/>
          <w:sz w:val="18"/>
          <w:szCs w:val="18"/>
          <w:color w:val="auto"/>
        </w:rPr>
        <w:t>” shall have the meaning ascribed to such term in Section 3(g).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shall have the meaning ascribed to such term in Section 4(l).</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DTC</w:t>
      </w:r>
      <w:r>
        <w:rPr>
          <w:rFonts w:ascii="Arial" w:cs="Arial" w:eastAsia="Arial" w:hAnsi="Arial"/>
          <w:sz w:val="18"/>
          <w:szCs w:val="18"/>
          <w:color w:val="auto"/>
        </w:rPr>
        <w:t>” shall have the meaning ascribed to such term in Section 2(b)(vii).</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shall mean each date and time that the Registration Statement and any post-effective amendment or amendments thereto became or becomes effective.</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 and the rules and regulations of the Commission promulgated thereunder.</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Execution Time</w:t>
      </w:r>
      <w:r>
        <w:rPr>
          <w:rFonts w:ascii="Arial" w:cs="Arial" w:eastAsia="Arial" w:hAnsi="Arial"/>
          <w:sz w:val="18"/>
          <w:szCs w:val="18"/>
          <w:color w:val="auto"/>
        </w:rPr>
        <w:t>” shall mean the date and time that this Agreement is executed and delivered by the parties hereto.</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shall mean a free writing prospectus, as defined in Rule 405.</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Incorporated Documents</w:t>
      </w:r>
      <w:r>
        <w:rPr>
          <w:rFonts w:ascii="Arial" w:cs="Arial" w:eastAsia="Arial" w:hAnsi="Arial"/>
          <w:sz w:val="17"/>
          <w:szCs w:val="17"/>
          <w:color w:val="auto"/>
        </w:rPr>
        <w:t>” shall mean the documents or portions thereof filed with the Commission on or prior to the Effective Date that are incorporated by reference in the Registration Statement or the Prospectus and any documents or portions thereof filed with the Commission after the Effective Date that are deemed to be incorporated by reference in the Registration Statement or the Prospectus.</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Free Writing Prospectus</w:t>
      </w:r>
      <w:r>
        <w:rPr>
          <w:rFonts w:ascii="Arial" w:cs="Arial" w:eastAsia="Arial" w:hAnsi="Arial"/>
          <w:sz w:val="18"/>
          <w:szCs w:val="18"/>
          <w:color w:val="auto"/>
        </w:rPr>
        <w:t>” shall mean an issuer free writing prospectus, as defined in Rule 433.</w:t>
      </w:r>
    </w:p>
    <w:p>
      <w:pPr>
        <w:spacing w:after="0" w:line="225"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7" w:name="page8"/>
    <w:bookmarkEnd w:id="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ascribed to such term in Section 7(d).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ascribed to such term in Section 3(b).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Amount</w:t>
      </w:r>
      <w:r>
        <w:rPr>
          <w:rFonts w:ascii="Arial" w:cs="Arial" w:eastAsia="Arial" w:hAnsi="Arial"/>
          <w:sz w:val="18"/>
          <w:szCs w:val="18"/>
          <w:color w:val="auto"/>
        </w:rPr>
        <w:t>” shall have the meaning ascribed to such term in Section 2.</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Proceeds</w:t>
      </w:r>
      <w:r>
        <w:rPr>
          <w:rFonts w:ascii="Arial" w:cs="Arial" w:eastAsia="Arial" w:hAnsi="Arial"/>
          <w:sz w:val="18"/>
          <w:szCs w:val="18"/>
          <w:color w:val="auto"/>
        </w:rPr>
        <w:t>” shall have the meaning ascribed to such term in Section 2(b)(v).</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shall have the meaning ascribed to such term in Section 4(g).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Placement</w:t>
      </w:r>
      <w:r>
        <w:rPr>
          <w:rFonts w:ascii="Arial" w:cs="Arial" w:eastAsia="Arial" w:hAnsi="Arial"/>
          <w:sz w:val="18"/>
          <w:szCs w:val="18"/>
          <w:color w:val="auto"/>
        </w:rPr>
        <w:t>” shall have the meaning ascribed to such term in Section 2(c).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shall have the meaning ascribed to such term in Section 3(b).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shall mean the Base Prospectus, as supplemented by the most recently filed Prospectus Supplement.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shall mean each prospectus supplement relating to the Shares prepared and filed pursuant to Rule 424(b) from time to time.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the shelf registration statement (File Number 333-250966) on Form S-3, including exhibits and financial statements and any prospectus supplement relating to the Shares that is filed with the Commission pursuant to Rule 424(b) and deemed part of such registration statement pursuant to Rule 430B, as amended on each Effective Date and, in the event any post-effective amendment thereto becomes effective, shall also mean such registration statement as so amended.</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Representation Date</w:t>
      </w:r>
      <w:r>
        <w:rPr>
          <w:rFonts w:ascii="Arial" w:cs="Arial" w:eastAsia="Arial" w:hAnsi="Arial"/>
          <w:sz w:val="18"/>
          <w:szCs w:val="18"/>
          <w:color w:val="auto"/>
        </w:rPr>
        <w:t>” shall have the meaning ascribed to such term in Section 4(k).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158</w:t>
      </w:r>
      <w:r>
        <w:rPr>
          <w:rFonts w:ascii="Arial" w:cs="Arial" w:eastAsia="Arial" w:hAnsi="Arial"/>
          <w:sz w:val="18"/>
          <w:szCs w:val="18"/>
          <w:color w:val="auto"/>
        </w:rPr>
        <w:t>”, “</w:t>
      </w:r>
      <w:r>
        <w:rPr>
          <w:rFonts w:ascii="Arial" w:cs="Arial" w:eastAsia="Arial" w:hAnsi="Arial"/>
          <w:sz w:val="18"/>
          <w:szCs w:val="18"/>
          <w:u w:val="single" w:color="auto"/>
          <w:color w:val="auto"/>
        </w:rPr>
        <w:t>Rule 164</w:t>
      </w:r>
      <w:r>
        <w:rPr>
          <w:rFonts w:ascii="Arial" w:cs="Arial" w:eastAsia="Arial" w:hAnsi="Arial"/>
          <w:sz w:val="18"/>
          <w:szCs w:val="18"/>
          <w:color w:val="auto"/>
        </w:rPr>
        <w:t>”, “</w:t>
      </w:r>
      <w:r>
        <w:rPr>
          <w:rFonts w:ascii="Arial" w:cs="Arial" w:eastAsia="Arial" w:hAnsi="Arial"/>
          <w:sz w:val="18"/>
          <w:szCs w:val="18"/>
          <w:u w:val="single" w:color="auto"/>
          <w:color w:val="auto"/>
        </w:rPr>
        <w:t>Rule 172</w:t>
      </w:r>
      <w:r>
        <w:rPr>
          <w:rFonts w:ascii="Arial" w:cs="Arial" w:eastAsia="Arial" w:hAnsi="Arial"/>
          <w:sz w:val="18"/>
          <w:szCs w:val="18"/>
          <w:color w:val="auto"/>
        </w:rPr>
        <w:t>”, “</w:t>
      </w:r>
      <w:r>
        <w:rPr>
          <w:rFonts w:ascii="Arial" w:cs="Arial" w:eastAsia="Arial" w:hAnsi="Arial"/>
          <w:sz w:val="18"/>
          <w:szCs w:val="18"/>
          <w:u w:val="single" w:color="auto"/>
          <w:color w:val="auto"/>
        </w:rPr>
        <w:t>Rule 173</w:t>
      </w:r>
      <w:r>
        <w:rPr>
          <w:rFonts w:ascii="Arial" w:cs="Arial" w:eastAsia="Arial" w:hAnsi="Arial"/>
          <w:sz w:val="18"/>
          <w:szCs w:val="18"/>
          <w:color w:val="auto"/>
        </w:rPr>
        <w:t>”, “</w:t>
      </w:r>
      <w:r>
        <w:rPr>
          <w:rFonts w:ascii="Arial" w:cs="Arial" w:eastAsia="Arial" w:hAnsi="Arial"/>
          <w:sz w:val="18"/>
          <w:szCs w:val="18"/>
          <w:u w:val="single" w:color="auto"/>
          <w:color w:val="auto"/>
        </w:rPr>
        <w:t>Rule 405</w:t>
      </w:r>
      <w:r>
        <w:rPr>
          <w:rFonts w:ascii="Arial" w:cs="Arial" w:eastAsia="Arial" w:hAnsi="Arial"/>
          <w:sz w:val="18"/>
          <w:szCs w:val="18"/>
          <w:color w:val="auto"/>
        </w:rPr>
        <w:t>”, “</w:t>
      </w:r>
      <w:r>
        <w:rPr>
          <w:rFonts w:ascii="Arial" w:cs="Arial" w:eastAsia="Arial" w:hAnsi="Arial"/>
          <w:sz w:val="18"/>
          <w:szCs w:val="18"/>
          <w:u w:val="single" w:color="auto"/>
          <w:color w:val="auto"/>
        </w:rPr>
        <w:t>Rule 415</w:t>
      </w:r>
      <w:r>
        <w:rPr>
          <w:rFonts w:ascii="Arial" w:cs="Arial" w:eastAsia="Arial" w:hAnsi="Arial"/>
          <w:sz w:val="18"/>
          <w:szCs w:val="18"/>
          <w:color w:val="auto"/>
        </w:rPr>
        <w:t>”, “</w:t>
      </w:r>
      <w:r>
        <w:rPr>
          <w:rFonts w:ascii="Arial" w:cs="Arial" w:eastAsia="Arial" w:hAnsi="Arial"/>
          <w:sz w:val="18"/>
          <w:szCs w:val="18"/>
          <w:u w:val="single" w:color="auto"/>
          <w:color w:val="auto"/>
        </w:rPr>
        <w:t>Rule 424</w:t>
      </w:r>
      <w:r>
        <w:rPr>
          <w:rFonts w:ascii="Arial" w:cs="Arial" w:eastAsia="Arial" w:hAnsi="Arial"/>
          <w:sz w:val="18"/>
          <w:szCs w:val="18"/>
          <w:color w:val="auto"/>
        </w:rPr>
        <w:t>”, “</w:t>
      </w:r>
      <w:r>
        <w:rPr>
          <w:rFonts w:ascii="Arial" w:cs="Arial" w:eastAsia="Arial" w:hAnsi="Arial"/>
          <w:sz w:val="18"/>
          <w:szCs w:val="18"/>
          <w:u w:val="single" w:color="auto"/>
          <w:color w:val="auto"/>
        </w:rPr>
        <w:t>Rule 430B</w:t>
      </w:r>
      <w:r>
        <w:rPr>
          <w:rFonts w:ascii="Arial" w:cs="Arial" w:eastAsia="Arial" w:hAnsi="Arial"/>
          <w:sz w:val="18"/>
          <w:szCs w:val="18"/>
          <w:color w:val="auto"/>
        </w:rPr>
        <w:t>” and “</w:t>
      </w:r>
      <w:r>
        <w:rPr>
          <w:rFonts w:ascii="Arial" w:cs="Arial" w:eastAsia="Arial" w:hAnsi="Arial"/>
          <w:sz w:val="18"/>
          <w:szCs w:val="18"/>
          <w:u w:val="single" w:color="auto"/>
          <w:color w:val="auto"/>
        </w:rPr>
        <w:t>Rule 433</w:t>
      </w:r>
      <w:r>
        <w:rPr>
          <w:rFonts w:ascii="Arial" w:cs="Arial" w:eastAsia="Arial" w:hAnsi="Arial"/>
          <w:sz w:val="18"/>
          <w:szCs w:val="18"/>
          <w:color w:val="auto"/>
        </w:rPr>
        <w:t>” refer to such rules under the Act.</w:t>
      </w:r>
    </w:p>
    <w:p>
      <w:pPr>
        <w:spacing w:after="0" w:line="17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5" w:right="339" w:bottom="1440" w:gutter="0" w:footer="0" w:header="0"/>
        </w:sectPr>
      </w:pPr>
    </w:p>
    <w:bookmarkStart w:id="8" w:name="page9"/>
    <w:bookmarkEnd w:id="8"/>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Sales Notice</w:t>
      </w:r>
      <w:r>
        <w:rPr>
          <w:rFonts w:ascii="Arial" w:cs="Arial" w:eastAsia="Arial" w:hAnsi="Arial"/>
          <w:sz w:val="18"/>
          <w:szCs w:val="18"/>
          <w:color w:val="auto"/>
        </w:rPr>
        <w:t>” shall have the meaning ascribed to such term in Section 2(b)(i).</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3(m).</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Settlement Date</w:t>
      </w:r>
      <w:r>
        <w:rPr>
          <w:rFonts w:ascii="Arial" w:cs="Arial" w:eastAsia="Arial" w:hAnsi="Arial"/>
          <w:sz w:val="18"/>
          <w:szCs w:val="18"/>
          <w:color w:val="auto"/>
        </w:rPr>
        <w:t>” shall have the meaning ascribed to such term in Section 2(b)(vii).</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shall have the meaning ascribed to such term in Section 3(a).</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Terms Agreement</w:t>
      </w:r>
      <w:r>
        <w:rPr>
          <w:rFonts w:ascii="Arial" w:cs="Arial" w:eastAsia="Arial" w:hAnsi="Arial"/>
          <w:sz w:val="18"/>
          <w:szCs w:val="18"/>
          <w:color w:val="auto"/>
        </w:rPr>
        <w:t>” shall have the meaning ascribed to such term in Section 2(a).</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Time of Delivery</w:t>
      </w:r>
      <w:r>
        <w:rPr>
          <w:rFonts w:ascii="Arial" w:cs="Arial" w:eastAsia="Arial" w:hAnsi="Arial"/>
          <w:sz w:val="18"/>
          <w:szCs w:val="18"/>
          <w:color w:val="auto"/>
        </w:rPr>
        <w:t>” shall have the meaning ascribed to such term in Section 2(c).</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Trading Market is open for trading.</w:t>
      </w:r>
    </w:p>
    <w:p>
      <w:pPr>
        <w:spacing w:after="0" w:line="22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the Nasdaq Capital Market.</w:t>
      </w:r>
    </w:p>
    <w:p>
      <w:pPr>
        <w:spacing w:after="0" w:line="225" w:lineRule="exact"/>
        <w:rPr>
          <w:sz w:val="20"/>
          <w:szCs w:val="20"/>
          <w:color w:val="auto"/>
        </w:rPr>
      </w:pPr>
    </w:p>
    <w:p>
      <w:pPr>
        <w:jc w:val="both"/>
        <w:ind w:left="-20" w:firstLine="656"/>
        <w:spacing w:after="0" w:line="288" w:lineRule="auto"/>
        <w:tabs>
          <w:tab w:leader="none" w:pos="808"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Sale and Delivery of Shares</w:t>
      </w:r>
      <w:r>
        <w:rPr>
          <w:rFonts w:ascii="Arial" w:cs="Arial" w:eastAsia="Arial" w:hAnsi="Arial"/>
          <w:sz w:val="16"/>
          <w:szCs w:val="16"/>
          <w:color w:val="auto"/>
        </w:rPr>
        <w:t>. The Company proposes to issue and sell through or to the Manager, as sales agent and/or principal, from time to time during the term of this Agreement and on the terms set forth herein, up to the lesser of such number of shares (the “</w:t>
      </w:r>
      <w:r>
        <w:rPr>
          <w:rFonts w:ascii="Arial" w:cs="Arial" w:eastAsia="Arial" w:hAnsi="Arial"/>
          <w:sz w:val="16"/>
          <w:szCs w:val="16"/>
          <w:u w:val="single" w:color="auto"/>
          <w:color w:val="auto"/>
        </w:rPr>
        <w:t>Shares</w:t>
      </w:r>
      <w:r>
        <w:rPr>
          <w:rFonts w:ascii="Arial" w:cs="Arial" w:eastAsia="Arial" w:hAnsi="Arial"/>
          <w:sz w:val="16"/>
          <w:szCs w:val="16"/>
          <w:color w:val="auto"/>
        </w:rPr>
        <w:t>”) of the Company’s common stock, $0.01 par value per share (“</w:t>
      </w:r>
      <w:r>
        <w:rPr>
          <w:rFonts w:ascii="Arial" w:cs="Arial" w:eastAsia="Arial" w:hAnsi="Arial"/>
          <w:sz w:val="16"/>
          <w:szCs w:val="16"/>
          <w:u w:val="single" w:color="auto"/>
          <w:color w:val="auto"/>
        </w:rPr>
        <w:t>Common Stock</w:t>
      </w:r>
      <w:r>
        <w:rPr>
          <w:rFonts w:ascii="Arial" w:cs="Arial" w:eastAsia="Arial" w:hAnsi="Arial"/>
          <w:sz w:val="16"/>
          <w:szCs w:val="16"/>
          <w:color w:val="auto"/>
        </w:rPr>
        <w:t>”), that does not exceed (a) the number or dollar amount of shares of Common Stock registered on the Registration Statement, pursuant to which the offering is being made, (b) the number of authorized but unissued shares of Common Stock (less the number of shares of Common Stock issuable upon exercise, conversion or exchange of any outstanding securities of the Company or otherwise reserved from the Company’s authorized capital stock), or (c) the number or dollar amount of shares of Common Stock that would cause the Company or the offering of the Shares to not satisfy the eligibility and transaction requirements for use of Form S-3, including, if applicable, General Instruction I.B.6 of Registration Statement on Form S-3 (the lesser of (a), (b) and (c), the “</w:t>
      </w:r>
      <w:r>
        <w:rPr>
          <w:rFonts w:ascii="Arial" w:cs="Arial" w:eastAsia="Arial" w:hAnsi="Arial"/>
          <w:sz w:val="16"/>
          <w:szCs w:val="16"/>
          <w:u w:val="single" w:color="auto"/>
          <w:color w:val="auto"/>
        </w:rPr>
        <w:t>Maximum Amount</w:t>
      </w:r>
      <w:r>
        <w:rPr>
          <w:rFonts w:ascii="Arial" w:cs="Arial" w:eastAsia="Arial" w:hAnsi="Arial"/>
          <w:sz w:val="16"/>
          <w:szCs w:val="16"/>
          <w:color w:val="auto"/>
        </w:rPr>
        <w:t>”). Notwithstanding anything to the contrary contained herein, the parties hereto agree that compliance with the limitations set forth in this Section 2 on the number and aggregate sales price of Shares issued and sold under this Agreement shall be the sole responsibility of the Company and that the Manager shall have no obligation in connection with such compliance.</w:t>
      </w:r>
    </w:p>
    <w:p>
      <w:pPr>
        <w:spacing w:after="0" w:line="168" w:lineRule="exact"/>
        <w:rPr>
          <w:rFonts w:ascii="Arial" w:cs="Arial" w:eastAsia="Arial" w:hAnsi="Arial"/>
          <w:sz w:val="16"/>
          <w:szCs w:val="16"/>
          <w:color w:val="auto"/>
        </w:rPr>
      </w:pPr>
    </w:p>
    <w:p>
      <w:pPr>
        <w:jc w:val="both"/>
        <w:ind w:left="640" w:firstLine="644"/>
        <w:spacing w:after="0" w:line="296" w:lineRule="auto"/>
        <w:tabs>
          <w:tab w:leader="none" w:pos="1532" w:val="left"/>
        </w:tabs>
        <w:numPr>
          <w:ilvl w:val="1"/>
          <w:numId w:val="4"/>
        </w:numPr>
        <w:rPr>
          <w:rFonts w:ascii="Arial" w:cs="Arial" w:eastAsia="Arial" w:hAnsi="Arial"/>
          <w:sz w:val="16"/>
          <w:szCs w:val="16"/>
          <w:color w:val="auto"/>
        </w:rPr>
      </w:pPr>
      <w:r>
        <w:rPr>
          <w:rFonts w:ascii="Arial" w:cs="Arial" w:eastAsia="Arial" w:hAnsi="Arial"/>
          <w:sz w:val="16"/>
          <w:szCs w:val="16"/>
          <w:u w:val="single" w:color="auto"/>
          <w:color w:val="auto"/>
        </w:rPr>
        <w:t>Appointment of Manager as Selling Agent; Terms Agreement</w:t>
      </w:r>
      <w:r>
        <w:rPr>
          <w:rFonts w:ascii="Arial" w:cs="Arial" w:eastAsia="Arial" w:hAnsi="Arial"/>
          <w:sz w:val="16"/>
          <w:szCs w:val="16"/>
          <w:color w:val="auto"/>
        </w:rPr>
        <w:t>. For purposes of selling the Shares through the Manager, the Company hereby appoints the Manager as exclusive agent of the Company for the purpose of selling the Shares of the Company pursuant to this Agreement and the Manager agrees to use its commercially reasonable efforts to sell the Shares on the terms and subject to the conditions stated herein. The Company agrees that, whenever it determines to sell the Shares directly to the Manager as principal, it will enter into a separate agreement (each, a “</w:t>
      </w:r>
      <w:r>
        <w:rPr>
          <w:rFonts w:ascii="Arial" w:cs="Arial" w:eastAsia="Arial" w:hAnsi="Arial"/>
          <w:sz w:val="16"/>
          <w:szCs w:val="16"/>
          <w:u w:val="single" w:color="auto"/>
          <w:color w:val="auto"/>
        </w:rPr>
        <w:t>Terms Agreement</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hereto, relating to such sale in accordance with Section 2 of this Agreement.</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9" w:name="page10"/>
    <w:bookmarkEnd w:id="9"/>
    <w:p>
      <w:pPr>
        <w:jc w:val="both"/>
        <w:ind w:left="-460" w:firstLine="644"/>
        <w:spacing w:after="0" w:line="263" w:lineRule="auto"/>
        <w:tabs>
          <w:tab w:leader="none" w:pos="47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Agent Sales</w:t>
      </w:r>
      <w:r>
        <w:rPr>
          <w:rFonts w:ascii="Arial" w:cs="Arial" w:eastAsia="Arial" w:hAnsi="Arial"/>
          <w:sz w:val="18"/>
          <w:szCs w:val="18"/>
          <w:color w:val="auto"/>
        </w:rPr>
        <w:t>. Subject to the terms and conditions and in reliance upon the representations and warranties herein set forth, the Company will issue and agrees to sell Shares from time to time through the Manager, acting as sales agent, and the Manager agrees to use its commercially reasonable efforts to sell, as sales agent for the Company, on the following terms:</w:t>
      </w:r>
    </w:p>
    <w:p>
      <w:pPr>
        <w:spacing w:after="0" w:line="183" w:lineRule="exact"/>
        <w:rPr>
          <w:rFonts w:ascii="Arial" w:cs="Arial" w:eastAsia="Arial" w:hAnsi="Arial"/>
          <w:sz w:val="18"/>
          <w:szCs w:val="18"/>
          <w:color w:val="auto"/>
        </w:rPr>
      </w:pPr>
    </w:p>
    <w:p>
      <w:pPr>
        <w:ind w:left="1040" w:hanging="208"/>
        <w:spacing w:after="0"/>
        <w:tabs>
          <w:tab w:leader="none" w:pos="104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Shares are to be sold on a daily basis or otherwise as shall be agreed to by the Company and the Manager on any day that</w:t>
      </w:r>
    </w:p>
    <w:p>
      <w:pPr>
        <w:spacing w:after="0" w:line="46" w:lineRule="exact"/>
        <w:rPr>
          <w:rFonts w:ascii="Arial" w:cs="Arial" w:eastAsia="Arial" w:hAnsi="Arial"/>
          <w:sz w:val="16"/>
          <w:szCs w:val="16"/>
          <w:color w:val="auto"/>
        </w:rPr>
      </w:pPr>
    </w:p>
    <w:p>
      <w:pPr>
        <w:jc w:val="both"/>
        <w:ind w:left="180"/>
        <w:spacing w:after="0" w:line="269" w:lineRule="auto"/>
        <w:rPr>
          <w:rFonts w:ascii="Arial" w:cs="Arial" w:eastAsia="Arial" w:hAnsi="Arial"/>
          <w:sz w:val="16"/>
          <w:szCs w:val="16"/>
          <w:color w:val="auto"/>
        </w:rPr>
      </w:pPr>
      <w:r>
        <w:rPr>
          <w:rFonts w:ascii="Arial" w:cs="Arial" w:eastAsia="Arial" w:hAnsi="Arial"/>
          <w:sz w:val="17"/>
          <w:szCs w:val="17"/>
          <w:color w:val="auto"/>
        </w:rPr>
        <w:t>(A) is a Trading Day, (B) the Company has instructed the Manager by telephone (confirmed promptly by electronic mail) to make such sales (“</w:t>
      </w:r>
      <w:r>
        <w:rPr>
          <w:rFonts w:ascii="Arial" w:cs="Arial" w:eastAsia="Arial" w:hAnsi="Arial"/>
          <w:sz w:val="17"/>
          <w:szCs w:val="17"/>
          <w:u w:val="single" w:color="auto"/>
          <w:color w:val="auto"/>
        </w:rPr>
        <w:t>Sales Notice</w:t>
      </w:r>
      <w:r>
        <w:rPr>
          <w:rFonts w:ascii="Arial" w:cs="Arial" w:eastAsia="Arial" w:hAnsi="Arial"/>
          <w:sz w:val="17"/>
          <w:szCs w:val="17"/>
          <w:color w:val="auto"/>
        </w:rPr>
        <w:t>”) and (C) the Company has satisfied its obligations under Section 6 of this Agreement. The Company will designate the maximum amount of the Shares to be sold by the Manager daily (subject to the limitations set forth in Section 2(d)) and the minimum price per Share at which such Shares may be sold. Subject to the terms and conditions hereof, the Manager shall use its commercially reasonable efforts to sell on a particular day all of the Shares designated for the sale by the Company on such day. The gross sales price of the Shares sold under this Section 2(b) shall be the market price for the shares of Common Stock sold by the Manager under this Section 2(b) on the Trading Market at the time of sale of such Shares.</w:t>
      </w:r>
    </w:p>
    <w:p>
      <w:pPr>
        <w:spacing w:after="0" w:line="180" w:lineRule="exact"/>
        <w:rPr>
          <w:rFonts w:ascii="Arial" w:cs="Arial" w:eastAsia="Arial" w:hAnsi="Arial"/>
          <w:sz w:val="16"/>
          <w:szCs w:val="16"/>
          <w:color w:val="auto"/>
        </w:rPr>
      </w:pPr>
    </w:p>
    <w:p>
      <w:pPr>
        <w:jc w:val="both"/>
        <w:ind w:left="180" w:firstLine="652"/>
        <w:spacing w:after="0" w:line="255" w:lineRule="auto"/>
        <w:tabs>
          <w:tab w:leader="none" w:pos="1093"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Company acknowledges and agrees that (A) there can be no assurance that the Manager will be successful in selling the Shares, (B) the Manager will incur no liability or obligation to the Company or any other person or entity if it does not sell the Shares for any reason other than a failure by the Manager to use its commercially reasonable efforts consistent with its normal trading and sales practices and applicable law and regulations to sell such Shares as required under this Agreement, and (C) the Manager shall be under no obligation to purchase Shares on a principal basis pursuant to this Agreement, except as otherwise specifically agreed by the Manager and the Company pursuant to a Terms Agreement.</w:t>
      </w:r>
    </w:p>
    <w:p>
      <w:pPr>
        <w:spacing w:after="0" w:line="192" w:lineRule="exact"/>
        <w:rPr>
          <w:rFonts w:ascii="Arial" w:cs="Arial" w:eastAsia="Arial" w:hAnsi="Arial"/>
          <w:sz w:val="18"/>
          <w:szCs w:val="18"/>
          <w:color w:val="auto"/>
        </w:rPr>
      </w:pPr>
    </w:p>
    <w:p>
      <w:pPr>
        <w:jc w:val="both"/>
        <w:ind w:left="180" w:firstLine="652"/>
        <w:spacing w:after="0" w:line="293" w:lineRule="auto"/>
        <w:tabs>
          <w:tab w:leader="none" w:pos="1150" w:val="left"/>
        </w:tabs>
        <w:numPr>
          <w:ilvl w:val="1"/>
          <w:numId w:val="5"/>
        </w:numPr>
        <w:rPr>
          <w:rFonts w:ascii="Arial" w:cs="Arial" w:eastAsia="Arial" w:hAnsi="Arial"/>
          <w:sz w:val="16"/>
          <w:szCs w:val="16"/>
          <w:color w:val="auto"/>
        </w:rPr>
      </w:pPr>
      <w:r>
        <w:rPr>
          <w:rFonts w:ascii="Arial" w:cs="Arial" w:eastAsia="Arial" w:hAnsi="Arial"/>
          <w:sz w:val="16"/>
          <w:szCs w:val="16"/>
          <w:color w:val="auto"/>
        </w:rPr>
        <w:t>The Company shall not authorize the issuance and sale of, and the Manager shall not be obligated to use its commercially reasonable efforts to sell, any Share at a price lower than the minimum price therefor designated from time to time by the Company’s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xml:space="preserve">”), or a duly authorized committee thereof, or such duly authorized officers of the Company, and notified to the Manager in writing. The Company or the Manager may, upon notice to the other party hereto by telephone (confirmed promptly by electronic mail), suspend the offering of the Shares for any reason and at any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suspension shall not affect or impair the parties’ respective obligations with respect to the Shares sold hereunder prior to the giving of such notice.</w:t>
      </w:r>
    </w:p>
    <w:p>
      <w:pPr>
        <w:spacing w:after="0" w:line="16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0" w:name="page11"/>
    <w:bookmarkEnd w:id="10"/>
    <w:p>
      <w:pPr>
        <w:jc w:val="both"/>
        <w:ind w:left="180" w:firstLine="652"/>
        <w:spacing w:after="0" w:line="273" w:lineRule="auto"/>
        <w:tabs>
          <w:tab w:leader="none" w:pos="1135"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Manager may sell Shares by any method permitted by law deemed to be an “at the market offering” as defined in Rule 415 under the Act, including without limitation sales made directly on the Trading Market, on any other existing trading market for the Common Stock or to or through a market maker. The Manager may also sell Shares in privately negotiated transactions, provided that the Manager receives the Company’s prior written approval for any sales in privately negotiated transactions and if so provided in the “Plan of Distribution” section of the Prospectus Supplement or a supplement to the Prospectus Supplement or a new Prospectus Supplement disclosing the terms of such privately negotiated transaction.</w:t>
      </w:r>
    </w:p>
    <w:p>
      <w:pPr>
        <w:spacing w:after="0" w:line="177" w:lineRule="exact"/>
        <w:rPr>
          <w:rFonts w:ascii="Arial" w:cs="Arial" w:eastAsia="Arial" w:hAnsi="Arial"/>
          <w:sz w:val="17"/>
          <w:szCs w:val="17"/>
          <w:color w:val="auto"/>
        </w:rPr>
      </w:pPr>
    </w:p>
    <w:p>
      <w:pPr>
        <w:jc w:val="both"/>
        <w:ind w:left="180" w:firstLine="652"/>
        <w:spacing w:after="0" w:line="273" w:lineRule="auto"/>
        <w:tabs>
          <w:tab w:leader="none" w:pos="1097"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compensation to the Manager for sales of the Shares under this Section 2(b) shall be a placement fee of 3.0% of the gross sales price of the Shares sold pursuant to this Section 2(b) (“</w:t>
      </w:r>
      <w:r>
        <w:rPr>
          <w:rFonts w:ascii="Arial" w:cs="Arial" w:eastAsia="Arial" w:hAnsi="Arial"/>
          <w:sz w:val="17"/>
          <w:szCs w:val="17"/>
          <w:u w:val="single" w:color="auto"/>
          <w:color w:val="auto"/>
        </w:rPr>
        <w:t>Broker Fee</w:t>
      </w:r>
      <w:r>
        <w:rPr>
          <w:rFonts w:ascii="Arial" w:cs="Arial" w:eastAsia="Arial" w:hAnsi="Arial"/>
          <w:sz w:val="17"/>
          <w:szCs w:val="17"/>
          <w:color w:val="auto"/>
        </w:rPr>
        <w:t>”). The foregoing rate of compensation shall not apply when the Manager acts as principal, in which case the Company may sell Shares to the Manager as principal at a price agreed upon at the relevant Applicable Time pursuant to a Terms Agreement. The remaining proceeds, after deduction of the Broker Fee and deduction of any transaction fees imposed by any clearing firm, execution broker, or governmental or self-regulatory organization in respect of such sales, shall constitute the net proceeds to the Company for such Shares (the “</w:t>
      </w:r>
      <w:r>
        <w:rPr>
          <w:rFonts w:ascii="Arial" w:cs="Arial" w:eastAsia="Arial" w:hAnsi="Arial"/>
          <w:sz w:val="17"/>
          <w:szCs w:val="17"/>
          <w:u w:val="single" w:color="auto"/>
          <w:color w:val="auto"/>
        </w:rPr>
        <w:t>Net Proceeds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180" w:firstLine="652"/>
        <w:spacing w:after="0" w:line="259" w:lineRule="auto"/>
        <w:tabs>
          <w:tab w:leader="none" w:pos="113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Manager shall provide written confirmation (which shall be by electronic mail) to the Company following the close of trading on the Trading Market each day in which the Shares are sold under this Section 2(b) setting forth the number of the Shares sold on such day, the aggregate gross sales proceeds and the Net Proceeds to the Company, and the compensation payable by the Company to the Manager with respect to such sales.</w:t>
      </w:r>
    </w:p>
    <w:p>
      <w:pPr>
        <w:spacing w:after="0" w:line="1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1" w:name="page12"/>
    <w:bookmarkEnd w:id="11"/>
    <w:p>
      <w:pPr>
        <w:jc w:val="both"/>
        <w:ind w:left="180" w:firstLine="652"/>
        <w:spacing w:after="0" w:line="268" w:lineRule="auto"/>
        <w:tabs>
          <w:tab w:leader="none" w:pos="1185" w:val="left"/>
        </w:tabs>
        <w:numPr>
          <w:ilvl w:val="0"/>
          <w:numId w:val="7"/>
        </w:numPr>
        <w:rPr>
          <w:rFonts w:ascii="Arial" w:cs="Arial" w:eastAsia="Arial" w:hAnsi="Arial"/>
          <w:sz w:val="17"/>
          <w:szCs w:val="17"/>
          <w:color w:val="auto"/>
        </w:rPr>
      </w:pPr>
      <w:r>
        <w:rPr>
          <w:rFonts w:ascii="Arial" w:cs="Arial" w:eastAsia="Arial" w:hAnsi="Arial"/>
          <w:sz w:val="17"/>
          <w:szCs w:val="17"/>
          <w:color w:val="auto"/>
        </w:rPr>
        <w:t>Unless otherwise agreed between the Company and the Manager, settlement for sales of the Shares will occur at 10:00 a.m. (New York City time) on the second (2nd) Trading Day (or such earlier day as is industry practice for regular-way trading) following the date on which such sales are made (each, a “</w:t>
      </w:r>
      <w:r>
        <w:rPr>
          <w:rFonts w:ascii="Arial" w:cs="Arial" w:eastAsia="Arial" w:hAnsi="Arial"/>
          <w:sz w:val="17"/>
          <w:szCs w:val="17"/>
          <w:u w:val="single" w:color="auto"/>
          <w:color w:val="auto"/>
        </w:rPr>
        <w:t>Settlement Date</w:t>
      </w:r>
      <w:r>
        <w:rPr>
          <w:rFonts w:ascii="Arial" w:cs="Arial" w:eastAsia="Arial" w:hAnsi="Arial"/>
          <w:sz w:val="17"/>
          <w:szCs w:val="17"/>
          <w:color w:val="auto"/>
        </w:rPr>
        <w:t>”). On or before the Trading Day prior to each Settlement Date, the Company will, or will cause its transfer agent to, electronically transfer the Shares being sold by crediting the Manager’s or its designee’s account (provided that the Manager shall have given the Company written notice of such designee at least one Trading Day prior to the Settlement Date) at The Depository Trust Company (“</w:t>
      </w:r>
      <w:r>
        <w:rPr>
          <w:rFonts w:ascii="Arial" w:cs="Arial" w:eastAsia="Arial" w:hAnsi="Arial"/>
          <w:sz w:val="17"/>
          <w:szCs w:val="17"/>
          <w:u w:val="single" w:color="auto"/>
          <w:color w:val="auto"/>
        </w:rPr>
        <w:t>DTC</w:t>
      </w:r>
      <w:r>
        <w:rPr>
          <w:rFonts w:ascii="Arial" w:cs="Arial" w:eastAsia="Arial" w:hAnsi="Arial"/>
          <w:sz w:val="17"/>
          <w:szCs w:val="17"/>
          <w:color w:val="auto"/>
        </w:rPr>
        <w:t>”) through its Deposit and Withdrawal at Custodian System or by such other means of delivery as may be mutually agreed upon by the parties hereto which Shares in all cases shall be freely tradable, transferable, registered shares in good deliverable form. On each Settlement Date, the Manager will deliver the related Net Proceeds in same day funds to an account designated by the Company. The Company agrees that, if the Company, or its transfer agent (if applicable), defaults in its obligation to deliver duly authorized Shares on a Settlement Date, in addition to and in no way limiting the rights and obligations set forth in Section 7 hereto, the Company will (i) hold the Manager harmless against any loss, claim, damage, or reasonable, documented expense (including reasonable and documented legal fees and expenses), as incurred, arising out of or in connection with such default by the Company, and (ii) pay to the Manager any commission, discount or other compensation to which the Manager would otherwise have been entitled absent such default.</w:t>
      </w:r>
    </w:p>
    <w:p>
      <w:pPr>
        <w:spacing w:after="0" w:line="184" w:lineRule="exact"/>
        <w:rPr>
          <w:rFonts w:ascii="Arial" w:cs="Arial" w:eastAsia="Arial" w:hAnsi="Arial"/>
          <w:sz w:val="17"/>
          <w:szCs w:val="17"/>
          <w:color w:val="auto"/>
        </w:rPr>
      </w:pPr>
    </w:p>
    <w:p>
      <w:pPr>
        <w:jc w:val="both"/>
        <w:ind w:left="180" w:firstLine="652"/>
        <w:spacing w:after="0" w:line="291" w:lineRule="auto"/>
        <w:tabs>
          <w:tab w:leader="none" w:pos="1229" w:val="left"/>
        </w:tabs>
        <w:numPr>
          <w:ilvl w:val="0"/>
          <w:numId w:val="7"/>
        </w:numPr>
        <w:rPr>
          <w:rFonts w:ascii="Arial" w:cs="Arial" w:eastAsia="Arial" w:hAnsi="Arial"/>
          <w:sz w:val="16"/>
          <w:szCs w:val="16"/>
          <w:color w:val="auto"/>
        </w:rPr>
      </w:pPr>
      <w:r>
        <w:rPr>
          <w:rFonts w:ascii="Arial" w:cs="Arial" w:eastAsia="Arial" w:hAnsi="Arial"/>
          <w:sz w:val="16"/>
          <w:szCs w:val="16"/>
          <w:color w:val="auto"/>
        </w:rPr>
        <w:t>At each Applicable Time, Settlement Date, and Representation Date, the Company shall be deemed to have affirmed each representation and warranty contained in this Agreement as if such representation and warranty were made as of such date, modified as necessary to relate to the Registration Statement and the Prospectus as amended as of such date (except for any representation and warranty which is as of a specific date, in which case such representation and warranty shall be affirmed as of such specific date). Any obligation of the Manager to use its commercially reasonable efforts to sell the Shares on behalf of the Company shall be subject to the continuing accuracy of the representations and warranties of the Company herein, to the performance by the Company of its obligations hereunder and to the continuing satisfaction of the additional conditions specified in Section 6 of this Agreement.</w:t>
      </w:r>
    </w:p>
    <w:p>
      <w:pPr>
        <w:spacing w:after="0" w:line="166" w:lineRule="exact"/>
        <w:rPr>
          <w:rFonts w:ascii="Arial" w:cs="Arial" w:eastAsia="Arial" w:hAnsi="Arial"/>
          <w:sz w:val="16"/>
          <w:szCs w:val="16"/>
          <w:color w:val="auto"/>
        </w:rPr>
      </w:pPr>
    </w:p>
    <w:p>
      <w:pPr>
        <w:jc w:val="both"/>
        <w:ind w:left="180" w:firstLine="652"/>
        <w:spacing w:after="0" w:line="271" w:lineRule="auto"/>
        <w:tabs>
          <w:tab w:leader="none" w:pos="1157"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7"/>
          <w:szCs w:val="17"/>
          <w:u w:val="single" w:color="auto"/>
          <w:color w:val="auto"/>
        </w:rPr>
        <w:t>Distribution</w:t>
      </w:r>
      <w:r>
        <w:rPr>
          <w:rFonts w:ascii="Arial" w:cs="Arial" w:eastAsia="Arial" w:hAnsi="Arial"/>
          <w:sz w:val="17"/>
          <w:szCs w:val="17"/>
          <w:color w:val="auto"/>
        </w:rPr>
        <w:t>” and the record date for the determination of stockholders entitled to receive the Distribution, the “</w:t>
      </w:r>
      <w:r>
        <w:rPr>
          <w:rFonts w:ascii="Arial" w:cs="Arial" w:eastAsia="Arial" w:hAnsi="Arial"/>
          <w:sz w:val="17"/>
          <w:szCs w:val="17"/>
          <w:u w:val="single" w:color="auto"/>
          <w:color w:val="auto"/>
        </w:rPr>
        <w:t>Record Date</w:t>
      </w:r>
      <w:r>
        <w:rPr>
          <w:rFonts w:ascii="Arial" w:cs="Arial" w:eastAsia="Arial" w:hAnsi="Arial"/>
          <w:sz w:val="17"/>
          <w:szCs w:val="17"/>
          <w:color w:val="auto"/>
        </w:rPr>
        <w:t>”), the Company hereby covenants that, in connection with any sales of Shares pursuant to a Sales Notice on the Record Date, the Company covenants and agrees that the Company shall issue and deliver such Shares to the Manager on the Record Date and the Record Date shall be the Settlement Date and the Company shall cover any additional costs of the Manager in connection with the delivery of Shares on the Record Date.</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2" w:name="page13"/>
    <w:bookmarkEnd w:id="12"/>
    <w:p>
      <w:pPr>
        <w:jc w:val="both"/>
        <w:ind w:left="-460" w:firstLine="644"/>
        <w:spacing w:after="0" w:line="268" w:lineRule="auto"/>
        <w:tabs>
          <w:tab w:leader="none" w:pos="44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Term Sales</w:t>
      </w:r>
      <w:r>
        <w:rPr>
          <w:rFonts w:ascii="Arial" w:cs="Arial" w:eastAsia="Arial" w:hAnsi="Arial"/>
          <w:sz w:val="17"/>
          <w:szCs w:val="17"/>
          <w:color w:val="auto"/>
        </w:rPr>
        <w:t>. If the Company wishes to sell the Shares pursuant to this Agreement but other than as set forth in Section 2(b) of this Agreement (each, a “</w:t>
      </w:r>
      <w:r>
        <w:rPr>
          <w:rFonts w:ascii="Arial" w:cs="Arial" w:eastAsia="Arial" w:hAnsi="Arial"/>
          <w:sz w:val="17"/>
          <w:szCs w:val="17"/>
          <w:u w:val="single" w:color="auto"/>
          <w:color w:val="auto"/>
        </w:rPr>
        <w:t>Placement</w:t>
      </w:r>
      <w:r>
        <w:rPr>
          <w:rFonts w:ascii="Arial" w:cs="Arial" w:eastAsia="Arial" w:hAnsi="Arial"/>
          <w:sz w:val="17"/>
          <w:szCs w:val="17"/>
          <w:color w:val="auto"/>
        </w:rPr>
        <w:t>”), the Company will notify the Manager of the proposed terms of such Placement. If the Manager, acting as principal, wishes to accept such proposed terms (which it may decline to do for any reason in its sole discretion) or, following discussions with the Company wishes to accept amended terms, the Manager and the Company will enter into a Terms Agreement setting forth the terms of such Placement. The terms set forth in a Terms Agreement will not be binding on the Company or the Manager unless and until the Company and the Manager have each executed such Terms Agreement accepting all of the terms of such Terms Agreement. In the event of a conflict between the terms of this Agreement and the terms of a Terms Agreement, the terms of such Terms Agreement will control. A Terms Agreement may also specify certain provisions relating to the reoffering of such Shares by the Manager. The commitment of the Manager to purchase the Shares pursuant to any Terms Agreement shall be deemed to have been made on the basis of the representations and warranties of the Company herein contained and shall be subject to the terms and conditions herein set forth. Each Terms Agreement shall specify the number of the Shares to be purchased by the Manager pursuant thereto, the price to be paid to the Company for such Shares, any provisions relating to rights of, and default by, underwriters acting together with the Manager in the reoffering of the Shares, and the time and date (each such time and date being referred to herein as a “</w:t>
      </w:r>
      <w:r>
        <w:rPr>
          <w:rFonts w:ascii="Arial" w:cs="Arial" w:eastAsia="Arial" w:hAnsi="Arial"/>
          <w:sz w:val="17"/>
          <w:szCs w:val="17"/>
          <w:u w:val="single" w:color="auto"/>
          <w:color w:val="auto"/>
        </w:rPr>
        <w:t>Time of Delivery</w:t>
      </w:r>
      <w:r>
        <w:rPr>
          <w:rFonts w:ascii="Arial" w:cs="Arial" w:eastAsia="Arial" w:hAnsi="Arial"/>
          <w:sz w:val="17"/>
          <w:szCs w:val="17"/>
          <w:color w:val="auto"/>
        </w:rPr>
        <w:t>”) and place of delivery of and payment for such Shares. Such Terms Agreement shall also specify any requirements for opinions of counsel, accountants’ letters and officers’ certificates pursuant to Section 6 of this Agreement and any other information or documents required by the Manager.</w:t>
      </w:r>
    </w:p>
    <w:p>
      <w:pPr>
        <w:spacing w:after="0" w:line="181" w:lineRule="exact"/>
        <w:rPr>
          <w:rFonts w:ascii="Arial" w:cs="Arial" w:eastAsia="Arial" w:hAnsi="Arial"/>
          <w:sz w:val="17"/>
          <w:szCs w:val="17"/>
          <w:color w:val="auto"/>
        </w:rPr>
      </w:pPr>
    </w:p>
    <w:p>
      <w:pPr>
        <w:jc w:val="both"/>
        <w:ind w:left="-460" w:firstLine="644"/>
        <w:spacing w:after="0" w:line="271" w:lineRule="auto"/>
        <w:tabs>
          <w:tab w:leader="none" w:pos="456" w:val="left"/>
        </w:tabs>
        <w:numPr>
          <w:ilvl w:val="0"/>
          <w:numId w:val="8"/>
        </w:numPr>
        <w:rPr>
          <w:rFonts w:ascii="Arial" w:cs="Arial" w:eastAsia="Arial" w:hAnsi="Arial"/>
          <w:sz w:val="17"/>
          <w:szCs w:val="17"/>
          <w:color w:val="auto"/>
        </w:rPr>
      </w:pPr>
      <w:r>
        <w:rPr>
          <w:rFonts w:ascii="Arial" w:cs="Arial" w:eastAsia="Arial" w:hAnsi="Arial"/>
          <w:sz w:val="17"/>
          <w:szCs w:val="17"/>
          <w:u w:val="single" w:color="auto"/>
          <w:color w:val="auto"/>
        </w:rPr>
        <w:t>Maximum Number of Shares</w:t>
      </w:r>
      <w:r>
        <w:rPr>
          <w:rFonts w:ascii="Arial" w:cs="Arial" w:eastAsia="Arial" w:hAnsi="Arial"/>
          <w:sz w:val="17"/>
          <w:szCs w:val="17"/>
          <w:color w:val="auto"/>
        </w:rPr>
        <w:t>. Under no circumstances shall the Company cause or request the offer or sale of any Shares if, after giving effect to the sale of such Shares, the aggregate amount of Shares sold pursuant to this Agreement would exceed the lesser of (A) together with all sales of Shares under this Agreement, the Maximum Amount and (B) the amount authorized from time to time to be issued and sold under this Agreement by the Board, a duly authorized committee thereof or a duly authorized executive committee, and notified to the Manager in writing. Under no circumstances shall the Company cause or request the offer or sale of any Shares pursuant to this Agreement at a price lower than the minimum price authorized from time to time by the Board, a duly authorized committee thereof or a duly authorized executive officer, and notified to the Manager in writing. Further, under no circumstances shall the Company cause or permit the aggregate offering amount of Shares sold pursuant to this Agreement to exceed the Maximum Amount.</w:t>
      </w:r>
    </w:p>
    <w:p>
      <w:pPr>
        <w:spacing w:after="0" w:line="17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3" w:name="page14"/>
    <w:bookmarkEnd w:id="13"/>
    <w:p>
      <w:pPr>
        <w:jc w:val="both"/>
        <w:ind w:left="640" w:firstLine="644"/>
        <w:spacing w:after="0" w:line="263" w:lineRule="auto"/>
        <w:tabs>
          <w:tab w:leader="none" w:pos="1559"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Regulation M Notice</w:t>
      </w:r>
      <w:r>
        <w:rPr>
          <w:rFonts w:ascii="Arial" w:cs="Arial" w:eastAsia="Arial" w:hAnsi="Arial"/>
          <w:sz w:val="18"/>
          <w:szCs w:val="18"/>
          <w:color w:val="auto"/>
        </w:rPr>
        <w:t>. Unless the exceptive provisions set forth in Rule 101(c)(1) of Regulation M under the Exchange Act are satisfied with respect to the Shares, the Company shall give the Manager at least one Business Day’s prior notice of its intent to sell any Shares in order to allow the Manager time to comply with Regulation M.</w:t>
      </w:r>
    </w:p>
    <w:p>
      <w:pPr>
        <w:spacing w:after="0" w:line="183" w:lineRule="exact"/>
        <w:rPr>
          <w:rFonts w:ascii="Arial" w:cs="Arial" w:eastAsia="Arial" w:hAnsi="Arial"/>
          <w:sz w:val="18"/>
          <w:szCs w:val="18"/>
          <w:color w:val="auto"/>
        </w:rPr>
      </w:pPr>
    </w:p>
    <w:p>
      <w:pPr>
        <w:jc w:val="both"/>
        <w:ind w:left="-20" w:firstLine="656"/>
        <w:spacing w:after="0" w:line="259" w:lineRule="auto"/>
        <w:tabs>
          <w:tab w:leader="none" w:pos="82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Company represents and warrants to, and agrees with, the Manager at the Execution Time and on each such time the following representations and warranties are repeated or deemed to be made pursuant to this Agreement (except to the extent such representation and warranty specifies a different time), except to the extent set forth in the Registration Statement, the Prospectus or the Incorporated Documents.</w:t>
      </w:r>
    </w:p>
    <w:p>
      <w:pPr>
        <w:spacing w:after="0" w:line="186" w:lineRule="exact"/>
        <w:rPr>
          <w:rFonts w:ascii="Arial" w:cs="Arial" w:eastAsia="Arial" w:hAnsi="Arial"/>
          <w:sz w:val="18"/>
          <w:szCs w:val="18"/>
          <w:color w:val="auto"/>
        </w:rPr>
      </w:pPr>
    </w:p>
    <w:p>
      <w:pPr>
        <w:jc w:val="both"/>
        <w:ind w:left="640" w:firstLine="644"/>
        <w:spacing w:after="0" w:line="255" w:lineRule="auto"/>
        <w:tabs>
          <w:tab w:leader="none" w:pos="1532" w:val="left"/>
        </w:tabs>
        <w:numPr>
          <w:ilvl w:val="1"/>
          <w:numId w:val="10"/>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All of the direct and indirect material subsidiaries (individually, a “</w:t>
      </w:r>
      <w:r>
        <w:rPr>
          <w:rFonts w:ascii="Arial" w:cs="Arial" w:eastAsia="Arial" w:hAnsi="Arial"/>
          <w:sz w:val="18"/>
          <w:szCs w:val="18"/>
          <w:u w:val="single" w:color="auto"/>
          <w:color w:val="auto"/>
        </w:rPr>
        <w:t>Subsidiary</w:t>
      </w:r>
      <w:r>
        <w:rPr>
          <w:rFonts w:ascii="Arial" w:cs="Arial" w:eastAsia="Arial" w:hAnsi="Arial"/>
          <w:sz w:val="18"/>
          <w:szCs w:val="18"/>
          <w:color w:val="auto"/>
        </w:rPr>
        <w:t>”) of the Company are set forth on Exhibit 21.1 to the Company’s most recent Annual Report on Form 10-K filed with the Commission. The Company owns, directly or indirectly, all of the capital stock or other equity interests of each Subsidiary free and clear of any “</w:t>
      </w:r>
      <w:r>
        <w:rPr>
          <w:rFonts w:ascii="Arial" w:cs="Arial" w:eastAsia="Arial" w:hAnsi="Arial"/>
          <w:sz w:val="18"/>
          <w:szCs w:val="18"/>
          <w:u w:val="single" w:color="auto"/>
          <w:color w:val="auto"/>
        </w:rPr>
        <w:t>Liens</w:t>
      </w:r>
      <w:r>
        <w:rPr>
          <w:rFonts w:ascii="Arial" w:cs="Arial" w:eastAsia="Arial" w:hAnsi="Arial"/>
          <w:sz w:val="18"/>
          <w:szCs w:val="18"/>
          <w:color w:val="auto"/>
        </w:rPr>
        <w:t>” (which for purposes of this Agreement shall mean a lien, charge, security interest, encumbrance, right of first refusal, preemptive right or other restriction), and all of the issued and outstanding shares of capital stock of each Subsidiary are validly issued and are fully paid, non-assessable and free of preemptive and similar rights to subscribe for or purchase securities.</w:t>
      </w:r>
    </w:p>
    <w:p>
      <w:pPr>
        <w:spacing w:after="0" w:line="192" w:lineRule="exact"/>
        <w:rPr>
          <w:rFonts w:ascii="Arial" w:cs="Arial" w:eastAsia="Arial" w:hAnsi="Arial"/>
          <w:sz w:val="18"/>
          <w:szCs w:val="18"/>
          <w:color w:val="auto"/>
        </w:rPr>
      </w:pPr>
    </w:p>
    <w:p>
      <w:pPr>
        <w:jc w:val="both"/>
        <w:ind w:left="640" w:firstLine="644"/>
        <w:spacing w:after="0" w:line="286" w:lineRule="auto"/>
        <w:tabs>
          <w:tab w:leader="none" w:pos="1556"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(or authorized or qualified to do business, in such jurisdictions where good standing is not applicable) as a foreign corporation or other entity in each jurisdiction in which the nature of the business conducted or property owned by it makes such qualification necessary, except where the failure to be so qualified or in good standing, as the case may be, would not reasonably be expected to result in: (i) a material adverse effect on the legality, validity or enforceability of this Agreement, (ii) a material adverse effect on the results of operations, assets, business, prospects or condition (financial or otherwise) of the Company and the Subsidiaries, taken as a whole, from that set forth in the Registration Statement, the Base Prospectus, any Prospectus Supplement, the Prospectus or the Incorporated Documents, or (iii) a material adverse effect on the Company’s ability to perform in any material respect on a timely basis its obligations under this Agreement (any of (i), (ii) or (iii),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and no “</w:t>
      </w:r>
      <w:r>
        <w:rPr>
          <w:rFonts w:ascii="Arial" w:cs="Arial" w:eastAsia="Arial" w:hAnsi="Arial"/>
          <w:sz w:val="16"/>
          <w:szCs w:val="16"/>
          <w:u w:val="single" w:color="auto"/>
          <w:color w:val="auto"/>
        </w:rPr>
        <w:t>Proceeding</w:t>
      </w:r>
      <w:r>
        <w:rPr>
          <w:rFonts w:ascii="Arial" w:cs="Arial" w:eastAsia="Arial" w:hAnsi="Arial"/>
          <w:sz w:val="16"/>
          <w:szCs w:val="16"/>
          <w:color w:val="auto"/>
        </w:rPr>
        <w:t>” (which for purposes of this Agreement shall mean any action, claim, suit, investigation or proceeding (including, without limitation, a partial proceeding, such as a deposition), whether commenced or threatened in writing) has been instituted in any such jurisdiction revoking, limiting or curtailing or seeking to revoke, limit or curtail such power and authority or qualification.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14" w:name="page15"/>
    <w:bookmarkEnd w:id="14"/>
    <w:p>
      <w:pPr>
        <w:jc w:val="both"/>
        <w:ind w:left="-460" w:firstLine="644"/>
        <w:spacing w:after="0" w:line="253" w:lineRule="auto"/>
        <w:tabs>
          <w:tab w:leader="none" w:pos="432"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Authorization and Enforcement</w:t>
      </w:r>
      <w:r>
        <w:rPr>
          <w:rFonts w:ascii="Arial" w:cs="Arial" w:eastAsia="Arial" w:hAnsi="Arial"/>
          <w:sz w:val="18"/>
          <w:szCs w:val="18"/>
          <w:color w:val="auto"/>
        </w:rPr>
        <w:t>. The Company has the requisite corporate power and authority to enter into and to consummate the transactions contemplated by this Agreement and otherwise to carry out its obligations hereunder. The execution and delivery of this Agreement by the Company and the consummation by it of the transactions contemplated hereby have been duly authorized by all necessary action on the part of the Company and no further action is required by the Company, the Board or the Company’s stockholders in connection herewith other than in connection with the Required Approvals. This Agreement has been duly executed and delivered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4" w:lineRule="exact"/>
        <w:rPr>
          <w:rFonts w:ascii="Arial" w:cs="Arial" w:eastAsia="Arial" w:hAnsi="Arial"/>
          <w:sz w:val="18"/>
          <w:szCs w:val="18"/>
          <w:color w:val="auto"/>
        </w:rPr>
      </w:pPr>
    </w:p>
    <w:p>
      <w:pPr>
        <w:jc w:val="both"/>
        <w:ind w:left="-460" w:firstLine="644"/>
        <w:spacing w:after="0" w:line="269" w:lineRule="auto"/>
        <w:tabs>
          <w:tab w:leader="none" w:pos="443" w:val="left"/>
        </w:tabs>
        <w:numPr>
          <w:ilvl w:val="0"/>
          <w:numId w:val="11"/>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by the Company of this Agreement, the issuance and sale of the Shares and the consummation by it of the transactions contemplated 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reasonably be expected to result in a Material Adverse Effect.</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5" w:name="page16"/>
    <w:bookmarkEnd w:id="15"/>
    <w:p>
      <w:pPr>
        <w:jc w:val="both"/>
        <w:ind w:left="-460" w:firstLine="644"/>
        <w:spacing w:after="0" w:line="290" w:lineRule="auto"/>
        <w:tabs>
          <w:tab w:leader="none" w:pos="44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xml:space="preserve"> The Company is not required to obtain any consent, waiver, authorization or order of, give any notice to, or make any filing or registration with, any court or other federal, state, local or other governmental authority or other “Person” (defined as an individual or corporation, partnership, trust, incorporated or unincorporated association, joint venture, limited liability company, joint stock company, government (or an agency or subdivision thereof) or other entity of any kind, including the Trading Market) in connection with the execution, delivery and performance by the Company of this Agreement, other than (i) the filings required by this Agreement, (ii) the filing with the Commission of the Prospectus Supplement, (iii) the filing of application(s) to and approval by the Trading Market for the listing of the Shares for trading thereon in the time and manner required thereby, and (iv) such filings as are required to be made under applicable state securities laws and the rules and regulations of the Financial Industry Regulatory Authority, Inc. (“</w:t>
      </w:r>
      <w:r>
        <w:rPr>
          <w:rFonts w:ascii="Arial" w:cs="Arial" w:eastAsia="Arial" w:hAnsi="Arial"/>
          <w:sz w:val="16"/>
          <w:szCs w:val="16"/>
          <w:u w:val="single" w:color="auto"/>
          <w:color w:val="auto"/>
        </w:rPr>
        <w:t>FINRA</w:t>
      </w:r>
      <w:r>
        <w:rPr>
          <w:rFonts w:ascii="Arial" w:cs="Arial" w:eastAsia="Arial" w:hAnsi="Arial"/>
          <w:sz w:val="16"/>
          <w:szCs w:val="16"/>
          <w:color w:val="auto"/>
        </w:rPr>
        <w:t>”)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jc w:val="both"/>
        <w:ind w:left="-460" w:firstLine="644"/>
        <w:spacing w:after="0" w:line="290" w:lineRule="auto"/>
        <w:tabs>
          <w:tab w:leader="none" w:pos="413"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Issuance of Shares</w:t>
      </w:r>
      <w:r>
        <w:rPr>
          <w:rFonts w:ascii="Arial" w:cs="Arial" w:eastAsia="Arial" w:hAnsi="Arial"/>
          <w:sz w:val="16"/>
          <w:szCs w:val="16"/>
          <w:color w:val="auto"/>
        </w:rPr>
        <w:t>. The Shares are duly authorized and, when issued and paid for in accordance with this Agreement, will be duly and validly issued, fully paid and nonassessable, free and clear of all Liens imposed by the Company. The Company has reserved from its duly authorized capital stock the maximum number of shares of Common Stock issuable pursuant to this Agreement. The issuance by the Company of the Shares has been registered under the Act and all of the Shares are freely transferable and tradable by the purchasers thereof without restriction (other than any restrictions arising solely from an act or omission of such a purchaser). The Shares are being issued pursuant to the Registration Statement and the issuance of the Shares has been registered by the Company under the Act. The “</w:t>
      </w:r>
      <w:r>
        <w:rPr>
          <w:rFonts w:ascii="Arial" w:cs="Arial" w:eastAsia="Arial" w:hAnsi="Arial"/>
          <w:sz w:val="16"/>
          <w:szCs w:val="16"/>
          <w:u w:val="single" w:color="auto"/>
          <w:color w:val="auto"/>
        </w:rPr>
        <w:t>Plan of Distribution</w:t>
      </w:r>
      <w:r>
        <w:rPr>
          <w:rFonts w:ascii="Arial" w:cs="Arial" w:eastAsia="Arial" w:hAnsi="Arial"/>
          <w:sz w:val="16"/>
          <w:szCs w:val="16"/>
          <w:color w:val="auto"/>
        </w:rPr>
        <w:t>” section within the Registration Statement permits the issuance and sale of the Shares as contemplated by this Agreement. Upon receipt of the Shares, the purchasers of such Shares will have good and marketable title to such Shares and the Shares will be freely tradable on the Trading Market.</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6" w:name="page17"/>
    <w:bookmarkEnd w:id="16"/>
    <w:p>
      <w:pPr>
        <w:jc w:val="both"/>
        <w:ind w:left="-460" w:firstLine="644"/>
        <w:spacing w:after="0" w:line="284" w:lineRule="auto"/>
        <w:tabs>
          <w:tab w:leader="none" w:pos="443" w:val="left"/>
        </w:tabs>
        <w:numPr>
          <w:ilvl w:val="0"/>
          <w:numId w:val="13"/>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capitalization of the Company is as set forth in the SEC Reports as of the date set forth therein. The Company has not issued any capital stock since its most recently filed periodic report under the Exchange Act (or in respect of issuances following the date hereof, as set forth in its most recently filed periodic report under the Exchange Act or in a Form 8-K), other than pursuant to the exercise of employee stock options under the Company’s or Subsidiaries’ equity incentive, performance, stock option or compensatory plan, contract or arrangement (a “</w:t>
      </w:r>
      <w:r>
        <w:rPr>
          <w:rFonts w:ascii="Arial" w:cs="Arial" w:eastAsia="Arial" w:hAnsi="Arial"/>
          <w:sz w:val="16"/>
          <w:szCs w:val="16"/>
          <w:u w:val="single" w:color="auto"/>
          <w:color w:val="auto"/>
        </w:rPr>
        <w:t>Plan</w:t>
      </w:r>
      <w:r>
        <w:rPr>
          <w:rFonts w:ascii="Arial" w:cs="Arial" w:eastAsia="Arial" w:hAnsi="Arial"/>
          <w:sz w:val="16"/>
          <w:szCs w:val="16"/>
          <w:color w:val="auto"/>
        </w:rPr>
        <w:t>”), the issuance of shares of Common Stock to employees pursuant to the Company’s employee stock purchase plans and pursuant to the conversion and/or exercise of securities exercisable, exchangeable or convertible into Common Stock (“</w:t>
      </w:r>
      <w:r>
        <w:rPr>
          <w:rFonts w:ascii="Arial" w:cs="Arial" w:eastAsia="Arial" w:hAnsi="Arial"/>
          <w:sz w:val="16"/>
          <w:szCs w:val="16"/>
          <w:u w:val="single" w:color="auto"/>
          <w:color w:val="auto"/>
        </w:rPr>
        <w:t>Common Stock</w:t>
      </w:r>
      <w:r>
        <w:rPr>
          <w:rFonts w:ascii="Arial" w:cs="Arial" w:eastAsia="Arial" w:hAnsi="Arial"/>
          <w:sz w:val="16"/>
          <w:szCs w:val="16"/>
          <w:color w:val="auto"/>
        </w:rPr>
        <w:t xml:space="preserve"> </w:t>
      </w:r>
      <w:r>
        <w:rPr>
          <w:rFonts w:ascii="Arial" w:cs="Arial" w:eastAsia="Arial" w:hAnsi="Arial"/>
          <w:sz w:val="16"/>
          <w:szCs w:val="16"/>
          <w:u w:val="single" w:color="auto"/>
          <w:color w:val="auto"/>
        </w:rPr>
        <w:t>Equivalents</w:t>
      </w:r>
      <w:r>
        <w:rPr>
          <w:rFonts w:ascii="Arial" w:cs="Arial" w:eastAsia="Arial" w:hAnsi="Arial"/>
          <w:sz w:val="16"/>
          <w:szCs w:val="16"/>
          <w:color w:val="auto"/>
        </w:rPr>
        <w:t>”) outstanding as of the date of the most recently filed periodic report under the Exchange Act. No Person has any right of first refusal, preemptive right, right of participation, or any similar right to participate in the transactions contemplated by this Agreement. Except as set forth in the SEC Reports,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Except as disclosed in the SEC Reports,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176" w:lineRule="exact"/>
        <w:rPr>
          <w:rFonts w:ascii="Arial" w:cs="Arial" w:eastAsia="Arial" w:hAnsi="Arial"/>
          <w:sz w:val="16"/>
          <w:szCs w:val="16"/>
          <w:color w:val="auto"/>
        </w:rPr>
      </w:pPr>
    </w:p>
    <w:p>
      <w:pPr>
        <w:jc w:val="both"/>
        <w:ind w:left="-460" w:firstLine="644"/>
        <w:spacing w:after="0" w:line="269" w:lineRule="auto"/>
        <w:tabs>
          <w:tab w:leader="none" w:pos="44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Company meets the requirements for use of Form S-3 under the Act with respect to the offering of the Shares contemplated hereby and has prepared and filed with the Commission the Registration Statement, including a related Base Prospectus, for registration under the Act of the offering and sale of the Shares. Such Registration Statement is effective and available for the offer and sale of the Shares as of the date hereof. As filed, the Base Prospectus contains all information required by the Act and the rules thereunder, and, except to the extent the Manager shall agree in writing to a modification, shall be in all substantive respects in the form furnished to the Manager prior to the Execution Time or prior to any such time this representation is repeated or deemed to be made. The Registration Statement, at the Execution Time, each such time this representation is repeated or deemed to be made, and at all times during which a prospectus is required by the Act to be delivered (whether physically or through compliance with Rule 172, 173 or any similar rule) in connection with any offer or sale of the Shares, meets the requirements set forth in Rule 415(a)(1)(x). The initial Effective Date of the Registration Statement was not earlier than the date three years before the Execution Time. The Company meets the transaction requirements with respect to the aggregate market value of securities being sold pursuant to the offering of the Shares and during the twelve (12) months prior to the offering of the Shares, as set forth in General Instruction I.B.6 of Form S-3.</w:t>
      </w:r>
    </w:p>
    <w:p>
      <w:pPr>
        <w:spacing w:after="0" w:line="179"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7" w:name="page18"/>
    <w:bookmarkEnd w:id="17"/>
    <w:p>
      <w:pPr>
        <w:jc w:val="both"/>
        <w:ind w:left="-460" w:firstLine="644"/>
        <w:spacing w:after="0" w:line="271" w:lineRule="auto"/>
        <w:tabs>
          <w:tab w:leader="none" w:pos="416" w:val="left"/>
        </w:tabs>
        <w:numPr>
          <w:ilvl w:val="0"/>
          <w:numId w:val="14"/>
        </w:numPr>
        <w:rPr>
          <w:rFonts w:ascii="Arial" w:cs="Arial" w:eastAsia="Arial" w:hAnsi="Arial"/>
          <w:sz w:val="17"/>
          <w:szCs w:val="17"/>
          <w:color w:val="auto"/>
        </w:rPr>
      </w:pPr>
      <w:r>
        <w:rPr>
          <w:rFonts w:ascii="Arial" w:cs="Arial" w:eastAsia="Arial" w:hAnsi="Arial"/>
          <w:sz w:val="17"/>
          <w:szCs w:val="17"/>
          <w:u w:val="single" w:color="auto"/>
          <w:color w:val="auto"/>
        </w:rPr>
        <w:t>Accuracy of Incorporated Documents</w:t>
      </w:r>
      <w:r>
        <w:rPr>
          <w:rFonts w:ascii="Arial" w:cs="Arial" w:eastAsia="Arial" w:hAnsi="Arial"/>
          <w:sz w:val="17"/>
          <w:szCs w:val="17"/>
          <w:color w:val="auto"/>
        </w:rPr>
        <w:t>. The Incorporated Documents, when they were filed with the Commission, conformed in all material respects to the requirements of the Exchange Act and the rules thereunder, and none of the Incorporated Documents, when they were filed with the Commission, contained any untrue statement of a material fact or omitted to state a material fact necessary to make the statements therein, in light of the circumstances under which they were made not misleading; and any further documents so filed and incorporated by reference in the Registration Statement, the Base Prospectus, the Prospectus Supplement or the Prospectus, when such documents are filed with the Commission, will conform in all material respects to the requirements of the Exchange Act and the rules thereunder, as applicable, and will not contain any untrue statement of a material fact or omit to state a material fact necessary to make the statements therein, in light of the circumstances under which they were made, not misleading.</w:t>
      </w:r>
    </w:p>
    <w:p>
      <w:pPr>
        <w:spacing w:after="0" w:line="178" w:lineRule="exact"/>
        <w:rPr>
          <w:rFonts w:ascii="Arial" w:cs="Arial" w:eastAsia="Arial" w:hAnsi="Arial"/>
          <w:sz w:val="17"/>
          <w:szCs w:val="17"/>
          <w:color w:val="auto"/>
        </w:rPr>
      </w:pPr>
    </w:p>
    <w:p>
      <w:pPr>
        <w:jc w:val="both"/>
        <w:ind w:left="-460" w:firstLine="644"/>
        <w:spacing w:after="0" w:line="257" w:lineRule="auto"/>
        <w:tabs>
          <w:tab w:leader="none" w:pos="403"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Ineligible Issuer</w:t>
      </w:r>
      <w:r>
        <w:rPr>
          <w:rFonts w:ascii="Arial" w:cs="Arial" w:eastAsia="Arial" w:hAnsi="Arial"/>
          <w:sz w:val="18"/>
          <w:szCs w:val="18"/>
          <w:color w:val="auto"/>
        </w:rPr>
        <w:t>. (i) At the earliest time after the filing of the Registration Statement that the Company or another offering participant made a bona fide offer (within the meaning of Rule 164(h)(2)) of the Shares and (ii) as of the Execution Time and on each such time this representation is repeated or deemed to be made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87" w:lineRule="exact"/>
        <w:rPr>
          <w:rFonts w:ascii="Arial" w:cs="Arial" w:eastAsia="Arial" w:hAnsi="Arial"/>
          <w:sz w:val="18"/>
          <w:szCs w:val="18"/>
          <w:color w:val="auto"/>
        </w:rPr>
      </w:pPr>
    </w:p>
    <w:p>
      <w:pPr>
        <w:jc w:val="both"/>
        <w:ind w:left="-460" w:firstLine="644"/>
        <w:spacing w:after="0" w:line="287" w:lineRule="auto"/>
        <w:tabs>
          <w:tab w:leader="none" w:pos="443"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Free Writing Prospectus</w:t>
      </w:r>
      <w:r>
        <w:rPr>
          <w:rFonts w:ascii="Arial" w:cs="Arial" w:eastAsia="Arial" w:hAnsi="Arial"/>
          <w:sz w:val="16"/>
          <w:szCs w:val="16"/>
          <w:color w:val="auto"/>
        </w:rPr>
        <w:t>. The Company is eligible to use Issuer Free Writing Prospectuses. Each Issuer Free Writing Prospectus does not include any information the substance of which conflicts with the information contained in the Registration Statement, including any Incorporated Documents and any prospectus supplement deemed to be a part thereof that has not been superseded or modified; and each Issuer Free Writing Prospectus does not contain any untrue statement of a material fact or omit to state any material fact necessary in order to make the statements therein, in the light of the circumstances under which they were made, not misleading. The foregoing sentence does not apply to statements in or omissions from any Issuer Free Writing Prospectus based upon and in conformity with written information furnished to the Company by the Manager specifically for use therein. Any Issuer Free Writing Prospectus that the Company is required to file pursuant to Rule 433(d) has been, or will be, filed with the Commission in accordance with the requirements of the Act and the rules thereunder. Each Issuer Free Writing Prospectus that the Company has filed, or is required to file, pursuant to Rule 433(d) or that was prepared by or behalf of or used by the Company complies or will comply in all material respects with the requirements of the Act and the rules thereunder. The Company will not, without the prior consent of the Manager, prepare, use or refer to, any Issuer Free Writing Prospectuses.</w:t>
      </w:r>
    </w:p>
    <w:p>
      <w:pPr>
        <w:spacing w:after="0" w:line="17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8" w:name="page19"/>
    <w:bookmarkEnd w:id="18"/>
    <w:p>
      <w:pPr>
        <w:jc w:val="both"/>
        <w:ind w:left="-460" w:firstLine="644"/>
        <w:spacing w:after="0" w:line="275" w:lineRule="auto"/>
        <w:tabs>
          <w:tab w:leader="none" w:pos="403"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Proceedings Related to Registration Statement</w:t>
      </w:r>
      <w:r>
        <w:rPr>
          <w:rFonts w:ascii="Arial" w:cs="Arial" w:eastAsia="Arial" w:hAnsi="Arial"/>
          <w:sz w:val="17"/>
          <w:szCs w:val="17"/>
          <w:color w:val="auto"/>
        </w:rPr>
        <w:t>. The Registration Statement is not the subject of a pending proceeding or examination under Section 8(d) or 8(e) of the Act, and the Company is not the subject of a pending proceeding under Section 8A of the Act in connection with the offering of the Shares. The Company has not received any notice that the Commission has issued or intends to issue a stop-order with respect to the Registration Statement or that the Commission otherwise has suspended or withdrawn the effectiveness of the Registration Statement, either temporarily or permanently, or intends or has threatened in writing to do so.</w:t>
      </w:r>
    </w:p>
    <w:p>
      <w:pPr>
        <w:spacing w:after="0" w:line="176" w:lineRule="exact"/>
        <w:rPr>
          <w:rFonts w:ascii="Arial" w:cs="Arial" w:eastAsia="Arial" w:hAnsi="Arial"/>
          <w:sz w:val="17"/>
          <w:szCs w:val="17"/>
          <w:color w:val="auto"/>
        </w:rPr>
      </w:pPr>
    </w:p>
    <w:p>
      <w:pPr>
        <w:jc w:val="both"/>
        <w:ind w:left="-460" w:firstLine="644"/>
        <w:spacing w:after="0" w:line="285" w:lineRule="auto"/>
        <w:tabs>
          <w:tab w:leader="none" w:pos="520"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SEC Reports</w:t>
      </w:r>
      <w:r>
        <w:rPr>
          <w:rFonts w:ascii="Arial" w:cs="Arial" w:eastAsia="Arial" w:hAnsi="Arial"/>
          <w:sz w:val="16"/>
          <w:szCs w:val="16"/>
          <w:color w:val="auto"/>
        </w:rPr>
        <w:t>. The Company has filed all reports, schedules, forms, statements and other documents required to be filed by the Company under the Act and the Exchange Act, including pursuant to Section 13(a) or 15(d) thereof, for the two years preceding the date hereof, or preceding the date on which the representations and warranties of the Company are repeated or deemed to be made pursuant to this Agreement, as applicable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176" w:lineRule="exact"/>
        <w:rPr>
          <w:rFonts w:ascii="Arial" w:cs="Arial" w:eastAsia="Arial" w:hAnsi="Arial"/>
          <w:sz w:val="16"/>
          <w:szCs w:val="16"/>
          <w:color w:val="auto"/>
        </w:rPr>
      </w:pPr>
    </w:p>
    <w:p>
      <w:pPr>
        <w:ind w:left="440" w:hanging="256"/>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19" w:name="page20"/>
    <w:bookmarkEnd w:id="19"/>
    <w:p>
      <w:pPr>
        <w:jc w:val="both"/>
        <w:ind w:left="-460" w:firstLine="644"/>
        <w:spacing w:after="0" w:line="268" w:lineRule="auto"/>
        <w:tabs>
          <w:tab w:leader="none" w:pos="443"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Material Changes; Undisclosed Events, Liabilities or Developments</w:t>
      </w:r>
      <w:r>
        <w:rPr>
          <w:rFonts w:ascii="Arial" w:cs="Arial" w:eastAsia="Arial" w:hAnsi="Arial"/>
          <w:sz w:val="17"/>
          <w:szCs w:val="17"/>
          <w:color w:val="auto"/>
        </w:rPr>
        <w:t>. Since the date of the latest audited financial statements included within the SEC Reports, except as disclosed in an SEC Report filed prior to the date hereof or filed prior to the applicable Sales Notice, (i) there has been no event, occurrence or development that has had or that would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w:t>
      </w:r>
      <w:r>
        <w:rPr>
          <w:rFonts w:ascii="Arial" w:cs="Arial" w:eastAsia="Arial" w:hAnsi="Arial"/>
          <w:sz w:val="17"/>
          <w:szCs w:val="17"/>
          <w:u w:val="single" w:color="auto"/>
          <w:color w:val="auto"/>
        </w:rPr>
        <w:t>Affiliate</w:t>
      </w:r>
      <w:r>
        <w:rPr>
          <w:rFonts w:ascii="Arial" w:cs="Arial" w:eastAsia="Arial" w:hAnsi="Arial"/>
          <w:sz w:val="17"/>
          <w:szCs w:val="17"/>
          <w:color w:val="auto"/>
        </w:rPr>
        <w:t>” (defined as any Person that, directly or indirectly through one or more intermediaries, controls or is controlled by or is under common control with a Person, as such terms are used in and construed under Rule 144 under the Act), except pursuant to a Plan. Except as disclosed in the SEC Reports, the Company does not have pending before the Commission any request for confidential treatment of information. Except for the issuance of the Shares contemplated by this Agreement or as set forth in the SEC Reports,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79" w:lineRule="exact"/>
        <w:rPr>
          <w:rFonts w:ascii="Arial" w:cs="Arial" w:eastAsia="Arial" w:hAnsi="Arial"/>
          <w:sz w:val="17"/>
          <w:szCs w:val="17"/>
          <w:color w:val="auto"/>
        </w:rPr>
      </w:pPr>
    </w:p>
    <w:p>
      <w:pPr>
        <w:jc w:val="both"/>
        <w:ind w:left="-460" w:firstLine="644"/>
        <w:spacing w:after="0" w:line="269" w:lineRule="auto"/>
        <w:tabs>
          <w:tab w:leader="none" w:pos="456" w:val="left"/>
        </w:tabs>
        <w:numPr>
          <w:ilvl w:val="0"/>
          <w:numId w:val="16"/>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in the SEC Reports,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7"/>
          <w:szCs w:val="17"/>
          <w:u w:val="single" w:color="auto"/>
          <w:color w:val="auto"/>
        </w:rPr>
        <w:t>Action</w:t>
      </w:r>
      <w:r>
        <w:rPr>
          <w:rFonts w:ascii="Arial" w:cs="Arial" w:eastAsia="Arial" w:hAnsi="Arial"/>
          <w:sz w:val="17"/>
          <w:szCs w:val="17"/>
          <w:color w:val="auto"/>
        </w:rPr>
        <w:t>”), which (i) adversely affects or challenges the legality, validity or enforceability of this Agreement or the Shares or (ii) would reasonably be expected to result in a Material Adverse Effect. Except as set forth in the SEC Reports, neither the Company nor any Subsidiary, nor, to the knowledge of the Company, any current director or officer thereof, is the subject of any Action involving a claim of violation of or liability under federal or state securities laws or a claim of breach of fiduciary duty. Except as set forth in the SEC Reports,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Act.</w:t>
      </w:r>
    </w:p>
    <w:p>
      <w:pPr>
        <w:spacing w:after="0" w:line="18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0" w:name="page21"/>
    <w:bookmarkEnd w:id="20"/>
    <w:p>
      <w:pPr>
        <w:jc w:val="both"/>
        <w:ind w:left="-460" w:firstLine="644"/>
        <w:spacing w:after="0" w:line="269" w:lineRule="auto"/>
        <w:tabs>
          <w:tab w:leader="none" w:pos="443" w:val="left"/>
        </w:tabs>
        <w:numPr>
          <w:ilvl w:val="0"/>
          <w:numId w:val="17"/>
        </w:numPr>
        <w:rPr>
          <w:rFonts w:ascii="Arial" w:cs="Arial" w:eastAsia="Arial" w:hAnsi="Arial"/>
          <w:sz w:val="17"/>
          <w:szCs w:val="17"/>
          <w:color w:val="auto"/>
        </w:rPr>
      </w:pPr>
      <w:r>
        <w:rPr>
          <w:rFonts w:ascii="Arial" w:cs="Arial" w:eastAsia="Arial" w:hAnsi="Arial"/>
          <w:sz w:val="17"/>
          <w:szCs w:val="17"/>
          <w:u w:val="single" w:color="auto"/>
          <w:color w:val="auto"/>
        </w:rPr>
        <w:t>Labor Relations</w:t>
      </w:r>
      <w:r>
        <w:rPr>
          <w:rFonts w:ascii="Arial" w:cs="Arial" w:eastAsia="Arial" w:hAnsi="Arial"/>
          <w:sz w:val="17"/>
          <w:szCs w:val="17"/>
          <w:color w:val="auto"/>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to the Company’s knowledge,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spacing w:after="0" w:line="181" w:lineRule="exact"/>
        <w:rPr>
          <w:rFonts w:ascii="Arial" w:cs="Arial" w:eastAsia="Arial" w:hAnsi="Arial"/>
          <w:sz w:val="17"/>
          <w:szCs w:val="17"/>
          <w:color w:val="auto"/>
        </w:rPr>
      </w:pPr>
    </w:p>
    <w:p>
      <w:pPr>
        <w:jc w:val="both"/>
        <w:ind w:left="-460" w:firstLine="644"/>
        <w:spacing w:after="0" w:line="290" w:lineRule="auto"/>
        <w:tabs>
          <w:tab w:leader="none" w:pos="41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Compliance</w:t>
      </w:r>
      <w:r>
        <w:rPr>
          <w:rFonts w:ascii="Arial" w:cs="Arial" w:eastAsia="Arial" w:hAnsi="Arial"/>
          <w:sz w:val="16"/>
          <w:szCs w:val="16"/>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1" w:name="page22"/>
    <w:bookmarkEnd w:id="21"/>
    <w:p>
      <w:pPr>
        <w:jc w:val="both"/>
        <w:ind w:left="-460" w:firstLine="644"/>
        <w:spacing w:after="0" w:line="269" w:lineRule="auto"/>
        <w:tabs>
          <w:tab w:leader="none" w:pos="42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reasonably be expected to result in, individually or in the aggregate, a Material Adverse Effect.</w:t>
      </w:r>
    </w:p>
    <w:p>
      <w:pPr>
        <w:spacing w:after="0" w:line="185" w:lineRule="exact"/>
        <w:rPr>
          <w:rFonts w:ascii="Arial" w:cs="Arial" w:eastAsia="Arial" w:hAnsi="Arial"/>
          <w:sz w:val="17"/>
          <w:szCs w:val="17"/>
          <w:color w:val="auto"/>
        </w:rPr>
      </w:pPr>
    </w:p>
    <w:p>
      <w:pPr>
        <w:jc w:val="both"/>
        <w:ind w:left="-460" w:firstLine="644"/>
        <w:spacing w:after="0" w:line="301" w:lineRule="auto"/>
        <w:tabs>
          <w:tab w:leader="none" w:pos="40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would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written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443"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68" w:lineRule="auto"/>
        <w:tabs>
          <w:tab w:leader="none" w:pos="443"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To the Company’s knowledge,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would have a Material Adverse Effect (collectively, the “</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except as would not be reasonably expected to have a Material Adverse Effect.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would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would not, individually or in the aggregate, reasonably be expected to have a Material Adverse Effect.</w:t>
      </w:r>
    </w:p>
    <w:p>
      <w:pPr>
        <w:spacing w:after="0" w:line="18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2" w:name="page23"/>
    <w:bookmarkEnd w:id="22"/>
    <w:p>
      <w:pPr>
        <w:jc w:val="both"/>
        <w:ind w:left="-460" w:firstLine="644"/>
        <w:spacing w:after="0" w:line="259" w:lineRule="auto"/>
        <w:tabs>
          <w:tab w:leader="none" w:pos="48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the Subsidiaries are insured by insurers of recognized financial responsibility against such losses and risks and in such amounts as the Company and the Subsidiaries reasonably believe are adequate for the conduct of their businesses and as is customary for companies engaged in similar businesses in similar industries, including, but not limited to, directors and officers insurance coverage.</w:t>
      </w:r>
    </w:p>
    <w:p>
      <w:pPr>
        <w:spacing w:after="0" w:line="186" w:lineRule="exact"/>
        <w:rPr>
          <w:rFonts w:ascii="Arial" w:cs="Arial" w:eastAsia="Arial" w:hAnsi="Arial"/>
          <w:sz w:val="18"/>
          <w:szCs w:val="18"/>
          <w:color w:val="auto"/>
        </w:rPr>
      </w:pPr>
    </w:p>
    <w:p>
      <w:pPr>
        <w:jc w:val="both"/>
        <w:ind w:left="-460" w:firstLine="644"/>
        <w:spacing w:after="0" w:line="253" w:lineRule="auto"/>
        <w:tabs>
          <w:tab w:leader="none" w:pos="443"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set forth in the SEC Reports,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other compensation or consulting fees for services rendered, (ii) reimbursement for expenses incurred on behalf of the Company and (iii) other employee benefits, including stock option agreements under any Plan.</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3" w:name="page24"/>
    <w:bookmarkEnd w:id="23"/>
    <w:p>
      <w:pPr>
        <w:jc w:val="both"/>
        <w:ind w:left="-460" w:firstLine="644"/>
        <w:spacing w:after="0" w:line="285" w:lineRule="auto"/>
        <w:tabs>
          <w:tab w:leader="none" w:pos="443"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Sarbanes Oxley; Internal Accounting Controls</w:t>
      </w:r>
      <w:r>
        <w:rPr>
          <w:rFonts w:ascii="Arial" w:cs="Arial" w:eastAsia="Arial" w:hAnsi="Arial"/>
          <w:sz w:val="16"/>
          <w:szCs w:val="16"/>
          <w:color w:val="auto"/>
        </w:rPr>
        <w:t>. The Company and the Subsidiaries are in compliance in all material respects with any and all applicable requirements of the Sarbanes-Oxley Act of 2002 that are effective as of the date hereof, and any and all applicable rules and regulations promulgated by the Commission thereunder that are effective as of the date hereof. The Company and the Subsidiaries maintain a system of internal accounting controls designed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Except as disclosed in the SEC Reports,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(Form 10-K or Form 10-Q)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(Form 10-K or Form 10-Q)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71" w:lineRule="exact"/>
        <w:rPr>
          <w:rFonts w:ascii="Arial" w:cs="Arial" w:eastAsia="Arial" w:hAnsi="Arial"/>
          <w:sz w:val="16"/>
          <w:szCs w:val="16"/>
          <w:color w:val="auto"/>
        </w:rPr>
      </w:pPr>
    </w:p>
    <w:p>
      <w:pPr>
        <w:jc w:val="both"/>
        <w:ind w:left="-460" w:firstLine="644"/>
        <w:spacing w:after="0" w:line="257" w:lineRule="auto"/>
        <w:tabs>
          <w:tab w:leader="none" w:pos="432"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 Other than payments to be made to the Manager, no brokerage or finder’s fees or commissions are or will be payable by the Company or any Subsidiary to any broker, financial advisor or consultant, finder, placement agent, investment banker, bank or other Person with respect to the transactions contemplated by this Agreement. The Manager shall have no obligation with respect to any fees or with respect to any claims made by or on behalf of other Persons for fees of a type contemplated in this Section that may be due in connection with the transactions contemplated by this Agreement.</w:t>
      </w:r>
    </w:p>
    <w:p>
      <w:pPr>
        <w:spacing w:after="0" w:line="188" w:lineRule="exact"/>
        <w:rPr>
          <w:sz w:val="20"/>
          <w:szCs w:val="20"/>
          <w:color w:val="auto"/>
        </w:rPr>
      </w:pPr>
    </w:p>
    <w:p>
      <w:pPr>
        <w:ind w:left="-460" w:firstLine="644"/>
        <w:spacing w:after="0" w:line="277" w:lineRule="auto"/>
        <w:tabs>
          <w:tab w:leader="none" w:pos="553"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No Other Sales Agency Agreement</w:t>
      </w:r>
      <w:r>
        <w:rPr>
          <w:rFonts w:ascii="Arial" w:cs="Arial" w:eastAsia="Arial" w:hAnsi="Arial"/>
          <w:sz w:val="18"/>
          <w:szCs w:val="18"/>
          <w:color w:val="auto"/>
        </w:rPr>
        <w:t>. The Company has not entered into any other sales agency agreements or other similar arrangements with any agent or any other representative in respect of at the market offerings of the Shares.</w:t>
      </w:r>
    </w:p>
    <w:p>
      <w:pPr>
        <w:spacing w:after="0" w:line="170" w:lineRule="exact"/>
        <w:rPr>
          <w:rFonts w:ascii="Arial" w:cs="Arial" w:eastAsia="Arial" w:hAnsi="Arial"/>
          <w:sz w:val="18"/>
          <w:szCs w:val="18"/>
          <w:color w:val="auto"/>
        </w:rPr>
      </w:pPr>
    </w:p>
    <w:p>
      <w:pPr>
        <w:ind w:left="520" w:hanging="336"/>
        <w:spacing w:after="0"/>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4" w:name="page25"/>
    <w:bookmarkEnd w:id="24"/>
    <w:p>
      <w:pPr>
        <w:jc w:val="both"/>
        <w:ind w:left="4" w:firstLine="644"/>
        <w:spacing w:after="0" w:line="288" w:lineRule="auto"/>
        <w:tabs>
          <w:tab w:leader="none" w:pos="100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listed on the Trading Market and the issuance of the Shares as contemplated by this Agreement does not contravene the rules and regulations of the Trading Market.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68" w:lineRule="exact"/>
        <w:rPr>
          <w:rFonts w:ascii="Arial" w:cs="Arial" w:eastAsia="Arial" w:hAnsi="Arial"/>
          <w:sz w:val="16"/>
          <w:szCs w:val="16"/>
          <w:color w:val="auto"/>
        </w:rPr>
      </w:pPr>
    </w:p>
    <w:p>
      <w:pPr>
        <w:jc w:val="both"/>
        <w:ind w:left="4" w:firstLine="644"/>
        <w:spacing w:after="0" w:line="259" w:lineRule="auto"/>
        <w:tabs>
          <w:tab w:leader="none" w:pos="1024" w:val="left"/>
        </w:tabs>
        <w:numPr>
          <w:ilvl w:val="1"/>
          <w:numId w:val="22"/>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Shares.</w:t>
      </w:r>
    </w:p>
    <w:p>
      <w:pPr>
        <w:spacing w:after="0" w:line="186" w:lineRule="exact"/>
        <w:rPr>
          <w:rFonts w:ascii="Arial" w:cs="Arial" w:eastAsia="Arial" w:hAnsi="Arial"/>
          <w:sz w:val="18"/>
          <w:szCs w:val="18"/>
          <w:color w:val="auto"/>
        </w:rPr>
      </w:pPr>
    </w:p>
    <w:p>
      <w:pPr>
        <w:jc w:val="both"/>
        <w:ind w:left="4" w:firstLine="644"/>
        <w:spacing w:after="0" w:line="269" w:lineRule="auto"/>
        <w:tabs>
          <w:tab w:leader="none" w:pos="990" w:val="left"/>
        </w:tabs>
        <w:numPr>
          <w:ilvl w:val="1"/>
          <w:numId w:val="22"/>
        </w:numPr>
        <w:rPr>
          <w:rFonts w:ascii="Arial" w:cs="Arial" w:eastAsia="Arial" w:hAnsi="Arial"/>
          <w:sz w:val="17"/>
          <w:szCs w:val="17"/>
          <w:color w:val="auto"/>
        </w:rPr>
      </w:pPr>
      <w:r>
        <w:rPr>
          <w:rFonts w:ascii="Arial" w:cs="Arial" w:eastAsia="Arial" w:hAnsi="Arial"/>
          <w:sz w:val="17"/>
          <w:szCs w:val="17"/>
          <w:u w:val="single" w:color="auto"/>
          <w:color w:val="auto"/>
        </w:rPr>
        <w:t>Solvency</w:t>
      </w:r>
      <w:r>
        <w:rPr>
          <w:rFonts w:ascii="Arial" w:cs="Arial" w:eastAsia="Arial" w:hAnsi="Arial"/>
          <w:sz w:val="17"/>
          <w:szCs w:val="17"/>
          <w:color w:val="auto"/>
        </w:rPr>
        <w:t>. Except as set forth in the SEC Reports, the Company has no knowledge of any facts or circumstances which lead it to believe that it will file for reorganization or liquidation under the bankruptcy or reorganization laws of any jurisdiction within one year from the date hereof. The SEC Reports sets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7"/>
          <w:szCs w:val="17"/>
          <w:u w:val="single" w:color="auto"/>
          <w:color w:val="auto"/>
        </w:rPr>
        <w:t>Indebtedness</w:t>
      </w:r>
      <w:r>
        <w:rPr>
          <w:rFonts w:ascii="Arial" w:cs="Arial" w:eastAsia="Arial" w:hAnsi="Arial"/>
          <w:sz w:val="17"/>
          <w:szCs w:val="17"/>
          <w:color w:val="auto"/>
        </w:rPr>
        <w:t>” means (x) any liabilities for borrowed money or amounts owed by the Company or any Subsidiary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185" w:lineRule="exact"/>
        <w:rPr>
          <w:rFonts w:ascii="Arial" w:cs="Arial" w:eastAsia="Arial" w:hAnsi="Arial"/>
          <w:sz w:val="17"/>
          <w:szCs w:val="17"/>
          <w:color w:val="auto"/>
        </w:rPr>
      </w:pPr>
    </w:p>
    <w:p>
      <w:pPr>
        <w:jc w:val="both"/>
        <w:ind w:left="4" w:firstLine="644"/>
        <w:spacing w:after="0" w:line="286" w:lineRule="auto"/>
        <w:tabs>
          <w:tab w:leader="none" w:pos="933"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Tax Status</w:t>
      </w:r>
      <w:r>
        <w:rPr>
          <w:rFonts w:ascii="Arial" w:cs="Arial" w:eastAsia="Arial" w:hAnsi="Arial"/>
          <w:sz w:val="16"/>
          <w:szCs w:val="16"/>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w:t>
      </w:r>
    </w:p>
    <w:p>
      <w:pPr>
        <w:spacing w:after="0" w:line="1" w:lineRule="exact"/>
        <w:rPr>
          <w:rFonts w:ascii="Arial" w:cs="Arial" w:eastAsia="Arial" w:hAnsi="Arial"/>
          <w:sz w:val="16"/>
          <w:szCs w:val="16"/>
          <w:color w:val="auto"/>
        </w:rPr>
      </w:pPr>
    </w:p>
    <w:p>
      <w:pPr>
        <w:jc w:val="both"/>
        <w:ind w:left="4" w:hanging="4"/>
        <w:spacing w:after="0" w:line="255" w:lineRule="auto"/>
        <w:tabs>
          <w:tab w:leader="none" w:pos="327" w:val="left"/>
        </w:tabs>
        <w:numPr>
          <w:ilvl w:val="0"/>
          <w:numId w:val="23"/>
        </w:numPr>
        <w:rPr>
          <w:rFonts w:ascii="Arial" w:cs="Arial" w:eastAsia="Arial" w:hAnsi="Arial"/>
          <w:sz w:val="18"/>
          <w:szCs w:val="18"/>
          <w:color w:val="auto"/>
        </w:rPr>
      </w:pPr>
      <w:r>
        <w:rPr>
          <w:rFonts w:ascii="Arial" w:cs="Arial" w:eastAsia="Arial" w:hAnsi="Arial"/>
          <w:sz w:val="18"/>
          <w:szCs w:val="18"/>
          <w:color w:val="auto"/>
        </w:rPr>
        <w:t>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9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5" w:name="page26"/>
    <w:bookmarkEnd w:id="25"/>
    <w:p>
      <w:pPr>
        <w:jc w:val="both"/>
        <w:ind w:left="-460" w:firstLine="644"/>
        <w:spacing w:after="0" w:line="254" w:lineRule="auto"/>
        <w:tabs>
          <w:tab w:leader="none" w:pos="533"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Foreign Corrupt Practices</w:t>
      </w:r>
      <w:r>
        <w:rPr>
          <w:rFonts w:ascii="Arial" w:cs="Arial" w:eastAsia="Arial" w:hAnsi="Arial"/>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the Foreign Corrupt Practices Act of 1977, as amended.</w:t>
      </w:r>
    </w:p>
    <w:p>
      <w:pPr>
        <w:spacing w:after="0" w:line="194" w:lineRule="exact"/>
        <w:rPr>
          <w:rFonts w:ascii="Arial" w:cs="Arial" w:eastAsia="Arial" w:hAnsi="Arial"/>
          <w:sz w:val="18"/>
          <w:szCs w:val="18"/>
          <w:color w:val="auto"/>
        </w:rPr>
      </w:pPr>
    </w:p>
    <w:p>
      <w:pPr>
        <w:jc w:val="both"/>
        <w:ind w:left="-460" w:firstLine="644"/>
        <w:spacing w:after="0" w:line="286" w:lineRule="auto"/>
        <w:tabs>
          <w:tab w:leader="none" w:pos="54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2021.</w:t>
      </w:r>
    </w:p>
    <w:p>
      <w:pPr>
        <w:spacing w:after="0" w:line="165" w:lineRule="exact"/>
        <w:rPr>
          <w:rFonts w:ascii="Arial" w:cs="Arial" w:eastAsia="Arial" w:hAnsi="Arial"/>
          <w:sz w:val="17"/>
          <w:szCs w:val="17"/>
          <w:color w:val="auto"/>
        </w:rPr>
      </w:pPr>
    </w:p>
    <w:p>
      <w:pPr>
        <w:jc w:val="both"/>
        <w:ind w:left="-460" w:firstLine="644"/>
        <w:spacing w:after="0" w:line="275" w:lineRule="auto"/>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Regulation M Compliance</w:t>
      </w:r>
      <w:r>
        <w:rPr>
          <w:rFonts w:ascii="Arial" w:cs="Arial" w:eastAsia="Arial" w:hAnsi="Arial"/>
          <w:sz w:val="17"/>
          <w:szCs w:val="17"/>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 (iii) paid or agreed to pay to any Person any compensation for soliciting another to purchase any other securities of the Company, other than, in the case of clauses (ii) and (iii), compensation paid to the Manager in connection with the Shares.</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6" w:name="page27"/>
    <w:bookmarkEnd w:id="26"/>
    <w:p>
      <w:pPr>
        <w:jc w:val="both"/>
        <w:ind w:left="-460" w:firstLine="644"/>
        <w:spacing w:after="0" w:line="285" w:lineRule="auto"/>
        <w:tabs>
          <w:tab w:leader="none" w:pos="466"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FDA</w:t>
      </w:r>
      <w:r>
        <w:rPr>
          <w:rFonts w:ascii="Arial" w:cs="Arial" w:eastAsia="Arial" w:hAnsi="Arial"/>
          <w:sz w:val="16"/>
          <w:szCs w:val="16"/>
          <w:color w:val="auto"/>
        </w:rPr>
        <w:t>. As to each product that is subject to the jurisdiction of the U.S. Food and Drug Administration (“</w:t>
      </w:r>
      <w:r>
        <w:rPr>
          <w:rFonts w:ascii="Arial" w:cs="Arial" w:eastAsia="Arial" w:hAnsi="Arial"/>
          <w:sz w:val="16"/>
          <w:szCs w:val="16"/>
          <w:u w:val="single" w:color="auto"/>
          <w:color w:val="auto"/>
        </w:rPr>
        <w:t>FDA</w:t>
      </w:r>
      <w:r>
        <w:rPr>
          <w:rFonts w:ascii="Arial" w:cs="Arial" w:eastAsia="Arial" w:hAnsi="Arial"/>
          <w:sz w:val="16"/>
          <w:szCs w:val="16"/>
          <w:color w:val="auto"/>
        </w:rPr>
        <w:t>”) under the Federal Food, Drug and Cosmetic Act, as amended, and the regulations promulgated thereunder (“</w:t>
      </w:r>
      <w:r>
        <w:rPr>
          <w:rFonts w:ascii="Arial" w:cs="Arial" w:eastAsia="Arial" w:hAnsi="Arial"/>
          <w:sz w:val="16"/>
          <w:szCs w:val="16"/>
          <w:u w:val="single" w:color="auto"/>
          <w:color w:val="auto"/>
        </w:rPr>
        <w:t>FDCA</w:t>
      </w:r>
      <w:r>
        <w:rPr>
          <w:rFonts w:ascii="Arial" w:cs="Arial" w:eastAsia="Arial" w:hAnsi="Arial"/>
          <w:sz w:val="16"/>
          <w:szCs w:val="16"/>
          <w:color w:val="auto"/>
        </w:rPr>
        <w:t>”) and that is being manufactured, packaged, labeled, tested, distributed, sold, and/or marketed by the Company or any of its Subsidiaries (each such product, a “</w:t>
      </w:r>
      <w:r>
        <w:rPr>
          <w:rFonts w:ascii="Arial" w:cs="Arial" w:eastAsia="Arial" w:hAnsi="Arial"/>
          <w:sz w:val="16"/>
          <w:szCs w:val="16"/>
          <w:u w:val="single" w:color="auto"/>
          <w:color w:val="auto"/>
        </w:rPr>
        <w:t>Medical Device Product</w:t>
      </w:r>
      <w:r>
        <w:rPr>
          <w:rFonts w:ascii="Arial" w:cs="Arial" w:eastAsia="Arial" w:hAnsi="Arial"/>
          <w:sz w:val="16"/>
          <w:szCs w:val="16"/>
          <w:color w:val="auto"/>
        </w:rPr>
        <w:t>”), such Medical Device Product is being manufactured, packaged, labeled, tested, distributed, sold and/or marketed by the Company in compliance with all applicable requirements under the FDCA and comparable foreign laws, rules and regulations relating to registration, investigational use, premarket clearance, licensure, or application approval, good manufacturing practices, good laboratory practices, good clinical practices, labeling, record keeping and filing of reports, except where the failure to be in compliance would not have a Material Adverse Effect. There is no pending, completed or, to the Company’s knowledge, threatened, action (including any lawsuit, arbitration, or legal or administrative or regulatory proceeding, charge, complaint, or investigation) against the Company or any of its Subsidiaries, nor has the Company or any of its Subsidiaries received any written notice, warning letter or other written communication from the FDA or any other governmental entity that (i) contests the premarket clearance, licensure, registration, or approval of, the uses of, the distribution of, the manufacturing or packaging of, the testing of, the sale of, or the labeling and promotion of any Medical Device Product, (ii) imposes a clinical hold on any clinical investigation involving a Medical Device Product being conducted or sponsored by the Company or any of its Subsidiaries, (iii) enters or proposes to enter into a consent decree of permanent injunction with the Company or any of its Subsidiaries, or (iv) otherwise alleges any violation of the FDCA or any comparable foreign laws, rules or regulations by the Company or any of its Subsidiaries, and which, either individually or in the aggregate, would have a Material Adverse Effect. The business and operations of the Company have been and are being conducted in all material respects in accordance with all applicable laws, rules and regulations of the FDA. The Company has not been informed by the FDA that the FDA will prohibit the marketing, sale or use in the United States of any Medical Device Product being developed by the Company.</w:t>
      </w:r>
    </w:p>
    <w:p>
      <w:pPr>
        <w:spacing w:after="0" w:line="171" w:lineRule="exact"/>
        <w:rPr>
          <w:rFonts w:ascii="Arial" w:cs="Arial" w:eastAsia="Arial" w:hAnsi="Arial"/>
          <w:sz w:val="16"/>
          <w:szCs w:val="16"/>
          <w:color w:val="auto"/>
        </w:rPr>
      </w:pPr>
    </w:p>
    <w:p>
      <w:pPr>
        <w:jc w:val="both"/>
        <w:ind w:left="-460" w:firstLine="644"/>
        <w:spacing w:after="0" w:line="255" w:lineRule="auto"/>
        <w:tabs>
          <w:tab w:leader="none" w:pos="546"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Stock Option Plans</w:t>
      </w:r>
      <w:r>
        <w:rPr>
          <w:rFonts w:ascii="Arial" w:cs="Arial" w:eastAsia="Arial" w:hAnsi="Arial"/>
          <w:sz w:val="18"/>
          <w:szCs w:val="18"/>
          <w:color w:val="auto"/>
        </w:rPr>
        <w:t>. Each stock option granted by the Company under a Plan was granted (i) in accordance with the terms of the Plan and (ii) with an exercise price at least equal to the fair market value of the Common Stock on the date such stock option would be considered granted under GAAP and applicable law. No stock option granted under a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92" w:lineRule="exact"/>
        <w:rPr>
          <w:rFonts w:ascii="Arial" w:cs="Arial" w:eastAsia="Arial" w:hAnsi="Arial"/>
          <w:sz w:val="18"/>
          <w:szCs w:val="18"/>
          <w:color w:val="auto"/>
        </w:rPr>
      </w:pPr>
    </w:p>
    <w:p>
      <w:pPr>
        <w:jc w:val="both"/>
        <w:ind w:left="-460" w:firstLine="644"/>
        <w:spacing w:after="0" w:line="263" w:lineRule="auto"/>
        <w:tabs>
          <w:tab w:leader="none" w:pos="453"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60" w:firstLine="644"/>
        <w:spacing w:after="0" w:line="342" w:lineRule="auto"/>
        <w:tabs>
          <w:tab w:leader="none" w:pos="633"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the Manager’s request.</w:t>
      </w:r>
    </w:p>
    <w:p>
      <w:pPr>
        <w:spacing w:after="0" w:line="123" w:lineRule="exact"/>
        <w:rPr>
          <w:rFonts w:ascii="Arial" w:cs="Arial" w:eastAsia="Arial" w:hAnsi="Arial"/>
          <w:sz w:val="16"/>
          <w:szCs w:val="16"/>
          <w:color w:val="auto"/>
        </w:rPr>
      </w:pPr>
    </w:p>
    <w:p>
      <w:pPr>
        <w:ind w:left="520" w:hanging="336"/>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7" w:name="page28"/>
    <w:bookmarkEnd w:id="27"/>
    <w:p>
      <w:pPr>
        <w:jc w:val="both"/>
        <w:ind w:left="4" w:firstLine="644"/>
        <w:spacing w:after="0" w:line="296" w:lineRule="auto"/>
        <w:tabs>
          <w:tab w:leader="none" w:pos="997" w:val="left"/>
        </w:tabs>
        <w:numPr>
          <w:ilvl w:val="1"/>
          <w:numId w:val="26"/>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1" w:lineRule="exact"/>
        <w:rPr>
          <w:rFonts w:ascii="Arial" w:cs="Arial" w:eastAsia="Arial" w:hAnsi="Arial"/>
          <w:sz w:val="16"/>
          <w:szCs w:val="16"/>
          <w:color w:val="auto"/>
        </w:rPr>
      </w:pPr>
    </w:p>
    <w:p>
      <w:pPr>
        <w:jc w:val="both"/>
        <w:ind w:left="4" w:firstLine="644"/>
        <w:spacing w:after="0" w:line="263" w:lineRule="auto"/>
        <w:tabs>
          <w:tab w:leader="none" w:pos="997" w:val="left"/>
        </w:tabs>
        <w:numPr>
          <w:ilvl w:val="1"/>
          <w:numId w:val="26"/>
        </w:numPr>
        <w:rPr>
          <w:rFonts w:ascii="Arial" w:cs="Arial" w:eastAsia="Arial" w:hAnsi="Arial"/>
          <w:sz w:val="18"/>
          <w:szCs w:val="18"/>
          <w:color w:val="auto"/>
        </w:rPr>
      </w:pPr>
      <w:r>
        <w:rPr>
          <w:rFonts w:ascii="Arial" w:cs="Arial" w:eastAsia="Arial" w:hAnsi="Arial"/>
          <w:sz w:val="18"/>
          <w:szCs w:val="18"/>
          <w:u w:val="single" w:color="auto"/>
          <w:color w:val="auto"/>
        </w:rPr>
        <w:t>FINRA Member Shareholders</w:t>
      </w:r>
      <w:r>
        <w:rPr>
          <w:rFonts w:ascii="Arial" w:cs="Arial" w:eastAsia="Arial" w:hAnsi="Arial"/>
          <w:sz w:val="18"/>
          <w:szCs w:val="18"/>
          <w:color w:val="auto"/>
        </w:rPr>
        <w:t>. There are no affiliations with any FINRA member firm among the Company’s officers, directors or, to the knowledge of the Company, any five percent (5%) or greater stockholder of the Company, except as set forth in the Registration Statement, the Base Prospectus, any Prospectus Supplement or the Prospectus.</w:t>
      </w:r>
    </w:p>
    <w:p>
      <w:pPr>
        <w:spacing w:after="0" w:line="183" w:lineRule="exact"/>
        <w:rPr>
          <w:rFonts w:ascii="Arial" w:cs="Arial" w:eastAsia="Arial" w:hAnsi="Arial"/>
          <w:sz w:val="18"/>
          <w:szCs w:val="18"/>
          <w:color w:val="auto"/>
        </w:rPr>
      </w:pPr>
    </w:p>
    <w:p>
      <w:pPr>
        <w:ind w:left="184" w:hanging="184"/>
        <w:spacing w:after="0"/>
        <w:tabs>
          <w:tab w:leader="none" w:pos="184"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Manager that:</w:t>
      </w:r>
    </w:p>
    <w:p>
      <w:pPr>
        <w:spacing w:after="0" w:line="225" w:lineRule="exact"/>
        <w:rPr>
          <w:rFonts w:ascii="Arial" w:cs="Arial" w:eastAsia="Arial" w:hAnsi="Arial"/>
          <w:sz w:val="18"/>
          <w:szCs w:val="18"/>
          <w:color w:val="auto"/>
        </w:rPr>
      </w:pPr>
    </w:p>
    <w:p>
      <w:pPr>
        <w:jc w:val="both"/>
        <w:ind w:left="4" w:firstLine="644"/>
        <w:spacing w:after="0" w:line="266" w:lineRule="auto"/>
        <w:tabs>
          <w:tab w:leader="none" w:pos="896" w:val="left"/>
        </w:tabs>
        <w:numPr>
          <w:ilvl w:val="1"/>
          <w:numId w:val="27"/>
        </w:numPr>
        <w:rPr>
          <w:rFonts w:ascii="Arial" w:cs="Arial" w:eastAsia="Arial" w:hAnsi="Arial"/>
          <w:sz w:val="17"/>
          <w:szCs w:val="17"/>
          <w:color w:val="auto"/>
        </w:rPr>
      </w:pPr>
      <w:r>
        <w:rPr>
          <w:rFonts w:ascii="Arial" w:cs="Arial" w:eastAsia="Arial" w:hAnsi="Arial"/>
          <w:sz w:val="17"/>
          <w:szCs w:val="17"/>
          <w:u w:val="single" w:color="auto"/>
          <w:color w:val="auto"/>
        </w:rPr>
        <w:t>Right to Review Amendments and Supplements to Registration Statement and Prospectus</w:t>
      </w:r>
      <w:r>
        <w:rPr>
          <w:rFonts w:ascii="Arial" w:cs="Arial" w:eastAsia="Arial" w:hAnsi="Arial"/>
          <w:sz w:val="17"/>
          <w:szCs w:val="17"/>
          <w:color w:val="auto"/>
        </w:rPr>
        <w:t>. During any period when the delivery of a prospectus relating to the Shares is required (including in circumstances where such requirement may be satisfied pursuant to Rule 172, 173 or any similar rule) to be delivered under the Act in connection with the offering or the sale of Shares, the Company will not file any amendment to the Registration Statement or supplement (including any Prospectus Supplement) to the Base Prospectus unless the Company has furnished to the Manager a copy for its review prior to filing and will not file any such proposed amendment or supplement to which the Manager reasonably objects (provided, however, that the Company will have no obligation to provide the Manager any advance copy of such file or to provide the Manager an opportunity to object to such filing if the filing does not name the Manager and does not relate to the transaction herein provided). The Company has properly completed the Prospectus, in a form approved by the Manager, and filed such Prospectus, as amended at the Execution Time, with the Commission pursuant to the applicable paragraph of Rule 424(b) by the Execution Time and the Company will cause any supplement to the Prospectus to be properly completed, in a form approved by the Manager, and will file such supplement with the Commission pursuant to the applicable paragraph of Rule 424(b) within the time period prescribed thereby and will provide evidence reasonably satisfactory to the Manager of such timely filing. The Company will promptly advise the Manager (i) when the Prospectus, and any supplement thereto, shall have been filed (if required) with the Commission pursuant to Rule 424(b), (ii) when, during any period when the delivery of a prospectus (whether physically or through compliance with Rule 172, 173 or any similar rule) is required under the Act in connection with the offering or sale of the Shares, any amendment to the Registration Statement shall have been filed or become effective (other than any annual report of the Company filed pursuant to Section 13(a) or 15(d) of the Exchange Act), (iii) of any request by the Commission or its staff for any amendment of the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Shares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2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28" w:name="page29"/>
    <w:bookmarkEnd w:id="28"/>
    <w:p>
      <w:pPr>
        <w:jc w:val="both"/>
        <w:ind w:left="-460" w:firstLine="644"/>
        <w:spacing w:after="0" w:line="293" w:lineRule="auto"/>
        <w:tabs>
          <w:tab w:leader="none" w:pos="443"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Subsequent Events</w:t>
      </w:r>
      <w:r>
        <w:rPr>
          <w:rFonts w:ascii="Arial" w:cs="Arial" w:eastAsia="Arial" w:hAnsi="Arial"/>
          <w:sz w:val="16"/>
          <w:szCs w:val="16"/>
          <w:color w:val="auto"/>
        </w:rPr>
        <w:t>. If, at any time on or after an Applicable Time but prior to the related Settlement Date, any event occurs as a result of which the Registration Statement or Prospectus would include any untrue statement of a material fact or omit to state any material fact necessary to make the statements therein in the light of the circumstances under which they were made or the circumstances then prevailing not misleading, the Company will (i) notify promptly the Manager so that any use of the Registration Statement or Prospectus may cease until such are amended or supplemented; (ii) amend or supplement the Registration Statement or Prospectus to correct such statement or omission; and (iii) supply any amendment or supplement to the Manager in such quantities as the Manager may reasonably request.</w:t>
      </w:r>
    </w:p>
    <w:p>
      <w:pPr>
        <w:spacing w:after="0" w:line="164" w:lineRule="exact"/>
        <w:rPr>
          <w:rFonts w:ascii="Arial" w:cs="Arial" w:eastAsia="Arial" w:hAnsi="Arial"/>
          <w:sz w:val="16"/>
          <w:szCs w:val="16"/>
          <w:color w:val="auto"/>
        </w:rPr>
      </w:pPr>
    </w:p>
    <w:p>
      <w:pPr>
        <w:jc w:val="both"/>
        <w:ind w:left="-460" w:firstLine="644"/>
        <w:spacing w:after="0" w:line="269" w:lineRule="auto"/>
        <w:tabs>
          <w:tab w:leader="none" w:pos="432"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Notification of Subsequent Filings</w:t>
      </w:r>
      <w:r>
        <w:rPr>
          <w:rFonts w:ascii="Arial" w:cs="Arial" w:eastAsia="Arial" w:hAnsi="Arial"/>
          <w:sz w:val="17"/>
          <w:szCs w:val="17"/>
          <w:color w:val="auto"/>
        </w:rPr>
        <w:t>. During any period when the delivery of a prospectus relating to the Shares is required (including in circumstances where such requirement may be satisfied pursuant to Rule 172, 173 or any similar rule) to be delivered under the Act, any event occurs as a result of which the Prospectus as then supplemented would include any untrue statement of a material fact or omit to state any material fact necessary to make the statements therein in the light of the circumstances under which they were made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Company promptly will (i) notify the Manager of any such event, (ii) subject to Section 4(a), prepare and file with the Commission an amendment or supplement or new registration statement which will correct such statement or omission or effect such compliance, (iii) use its commercially reasonable efforts to have any amendment to the Registration Statement or new registration statement declared effective as soon as practicable in order to avoid any disruption in use of the Prospectus and (iv) supply any supplemented Prospectus to the Manager in such quantities as the Manager may reasonably request.</w:t>
      </w:r>
    </w:p>
    <w:p>
      <w:pPr>
        <w:spacing w:after="0" w:line="1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29" w:name="page30"/>
    <w:bookmarkEnd w:id="29"/>
    <w:p>
      <w:pPr>
        <w:jc w:val="both"/>
        <w:ind w:left="-460" w:firstLine="644"/>
        <w:spacing w:after="0" w:line="259" w:lineRule="auto"/>
        <w:tabs>
          <w:tab w:leader="none" w:pos="44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Earnings Statements</w:t>
      </w:r>
      <w:r>
        <w:rPr>
          <w:rFonts w:ascii="Arial" w:cs="Arial" w:eastAsia="Arial" w:hAnsi="Arial"/>
          <w:sz w:val="18"/>
          <w:szCs w:val="18"/>
          <w:color w:val="auto"/>
        </w:rPr>
        <w:t>. As soon as practicable, the Company will make generally available to its security holders and to the Manager an earnings statement or statements of the Company and its Subsidiaries which will satisfy the provisions of Section 11(a) of the Act and Rule 158. For the avoidance of doubt, the Company’s compliance with the reporting requirements of the Exchange Act shall be deemed to satisfy the requirements of this Section 4(d).</w:t>
      </w:r>
    </w:p>
    <w:p>
      <w:pPr>
        <w:spacing w:after="0" w:line="186" w:lineRule="exact"/>
        <w:rPr>
          <w:rFonts w:ascii="Arial" w:cs="Arial" w:eastAsia="Arial" w:hAnsi="Arial"/>
          <w:sz w:val="18"/>
          <w:szCs w:val="18"/>
          <w:color w:val="auto"/>
        </w:rPr>
      </w:pPr>
    </w:p>
    <w:p>
      <w:pPr>
        <w:jc w:val="both"/>
        <w:ind w:left="-460" w:firstLine="644"/>
        <w:spacing w:after="0" w:line="255" w:lineRule="auto"/>
        <w:tabs>
          <w:tab w:leader="none" w:pos="432"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Delivery of Registration Statement</w:t>
      </w:r>
      <w:r>
        <w:rPr>
          <w:rFonts w:ascii="Arial" w:cs="Arial" w:eastAsia="Arial" w:hAnsi="Arial"/>
          <w:sz w:val="18"/>
          <w:szCs w:val="18"/>
          <w:color w:val="auto"/>
        </w:rPr>
        <w:t>. Upon the request of the Manager, the Company will furnish to the Manager and counsel for the Manager, without charge, signed copies of the Registration Statement (including exhibits thereto) and, so long as delivery of a prospectus by the Manager or dealer may be required by the Act (including in circumstances where such requirement may be satisfied pursuant to Rule 172, 173 or any similar rule), as many copies of the Prospectus and each Issuer Free Writing Prospectus and any supplement thereto as the Manager may reasonably request. The Company will pay the expenses of printing or other production of all documents relating to, and reasonably requested in connection with, the offering of the Shares.</w:t>
      </w:r>
    </w:p>
    <w:p>
      <w:pPr>
        <w:spacing w:after="0" w:line="192" w:lineRule="exact"/>
        <w:rPr>
          <w:rFonts w:ascii="Arial" w:cs="Arial" w:eastAsia="Arial" w:hAnsi="Arial"/>
          <w:sz w:val="18"/>
          <w:szCs w:val="18"/>
          <w:color w:val="auto"/>
        </w:rPr>
      </w:pPr>
    </w:p>
    <w:p>
      <w:pPr>
        <w:jc w:val="both"/>
        <w:ind w:left="-460" w:firstLine="644"/>
        <w:spacing w:after="0" w:line="257" w:lineRule="auto"/>
        <w:tabs>
          <w:tab w:leader="none" w:pos="426"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Qualification of Shares</w:t>
      </w:r>
      <w:r>
        <w:rPr>
          <w:rFonts w:ascii="Arial" w:cs="Arial" w:eastAsia="Arial" w:hAnsi="Arial"/>
          <w:sz w:val="18"/>
          <w:szCs w:val="18"/>
          <w:color w:val="auto"/>
        </w:rPr>
        <w:t>. The Company will arrange, if necessary, for the qualification of the Shares for sale under the laws of such jurisdictions as the Manager may designate and will maintain such qualifications in effect so long as required for the distribution of the Shares; provided that in no event shall the Company be obligated to qualify to do business in any jurisdiction where it is not now so qualified or to take any action that would subject it to service of process in suits, other than those arising out of the offering or sale of the Shares, in any jurisdiction where it is not now so subject.</w:t>
      </w:r>
    </w:p>
    <w:p>
      <w:pPr>
        <w:spacing w:after="0" w:line="187" w:lineRule="exact"/>
        <w:rPr>
          <w:rFonts w:ascii="Arial" w:cs="Arial" w:eastAsia="Arial" w:hAnsi="Arial"/>
          <w:sz w:val="18"/>
          <w:szCs w:val="18"/>
          <w:color w:val="auto"/>
        </w:rPr>
      </w:pPr>
    </w:p>
    <w:p>
      <w:pPr>
        <w:jc w:val="both"/>
        <w:ind w:left="-460" w:firstLine="644"/>
        <w:spacing w:after="0" w:line="253" w:lineRule="auto"/>
        <w:tabs>
          <w:tab w:leader="none" w:pos="44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Free Writing Prospectus</w:t>
      </w:r>
      <w:r>
        <w:rPr>
          <w:rFonts w:ascii="Arial" w:cs="Arial" w:eastAsia="Arial" w:hAnsi="Arial"/>
          <w:sz w:val="18"/>
          <w:szCs w:val="18"/>
          <w:color w:val="auto"/>
        </w:rPr>
        <w:t>. The Company agrees that, unless it has or shall have obtained the prior written consent of the Manager, and the Manager agrees with the Company that, unless it has or shall have obtained, as the case may be, the prior written consent of the Company, it has not made and will not make any offer relating to the Shares that would constitute an Issuer Free Writing Prospectus or that would otherwise constitute a “free writing prospectus” (as defined in Rule 405) required to be filed by the Company with the Commission or retained by the Company under Rule 433. Any such free writing prospectus consented to by the Manager or the Company is hereinafter referred to as a “</w:t>
      </w:r>
      <w:r>
        <w:rPr>
          <w:rFonts w:ascii="Arial" w:cs="Arial" w:eastAsia="Arial" w:hAnsi="Arial"/>
          <w:sz w:val="18"/>
          <w:szCs w:val="18"/>
          <w:u w:val="single" w:color="auto"/>
          <w:color w:val="auto"/>
        </w:rPr>
        <w:t>Permitted Free Writing Prospectus</w:t>
      </w:r>
      <w:r>
        <w:rPr>
          <w:rFonts w:ascii="Arial" w:cs="Arial" w:eastAsia="Arial" w:hAnsi="Arial"/>
          <w:sz w:val="18"/>
          <w:szCs w:val="18"/>
          <w:color w:val="auto"/>
        </w:rPr>
        <w:t>.” The Company agrees that (i) it has treated and will treat, as the case may be, each Permitted Free Writing Prospectus as an Issuer Free Writing Prospectus and (ii) it has complied and will comply, as the case may be, with the requirements of Rules 164 and 433 applicable to any Permitted Free Writing Prospectus, including in respect of timely filing with the Commission, legending and record keeping.</w:t>
      </w:r>
    </w:p>
    <w:p>
      <w:pPr>
        <w:spacing w:after="0" w:line="1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0" w:name="page31"/>
    <w:bookmarkEnd w:id="30"/>
    <w:p>
      <w:pPr>
        <w:jc w:val="both"/>
        <w:ind w:left="-460" w:firstLine="644"/>
        <w:spacing w:after="0" w:line="288" w:lineRule="auto"/>
        <w:tabs>
          <w:tab w:leader="none" w:pos="44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Subsequent Equity Issuances</w:t>
      </w:r>
      <w:r>
        <w:rPr>
          <w:rFonts w:ascii="Arial" w:cs="Arial" w:eastAsia="Arial" w:hAnsi="Arial"/>
          <w:sz w:val="16"/>
          <w:szCs w:val="16"/>
          <w:color w:val="auto"/>
        </w:rPr>
        <w:t>. The Company shall not deliver any Sales Notice hereunder (and any Sales Notice previously delivered shall not apply during such three Business Days) for at least three (3) Business Days prior to any date on which the Company or any Subsidiary offers, sells, issues, contracts to sell, contracts to issue or otherwise disposes of, directly or indirectly, any other shares of Common Stock or any Common Stock Equivalents (other than the Shares), subject to Manager’s right to waive this obligation, provided that, without compliance with the foregoing obligation, (i) the Company may issue and sell Common Stock pursuant to any employee equity plan, stock ownership plan, dividend reinvestment plan or other similar plan of the Company in effect at the Execution Time and the Company may issue Common Stock issuable upon the conversion or exercise of Common Stock Equivalents outstanding at the Execution Time and (ii) the Company may issue shares of Common Stock or any Common Stock Equivalents in privately negotiated transactions to vendors, service providers, strategic partners or potential strategic partners, provided that such issuances are not made for capital raising purposes and are conducted in a manner so as not to be integrated with the offering of Shares hereby and to not constitute a distribution for purposes of Regulation M.</w:t>
      </w:r>
    </w:p>
    <w:p>
      <w:pPr>
        <w:spacing w:after="0" w:line="168" w:lineRule="exact"/>
        <w:rPr>
          <w:rFonts w:ascii="Arial" w:cs="Arial" w:eastAsia="Arial" w:hAnsi="Arial"/>
          <w:sz w:val="16"/>
          <w:szCs w:val="16"/>
          <w:color w:val="auto"/>
        </w:rPr>
      </w:pPr>
    </w:p>
    <w:p>
      <w:pPr>
        <w:jc w:val="both"/>
        <w:ind w:left="-460" w:firstLine="644"/>
        <w:spacing w:after="0" w:line="279" w:lineRule="auto"/>
        <w:tabs>
          <w:tab w:leader="none" w:pos="40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Market Manipulation</w:t>
      </w:r>
      <w:r>
        <w:rPr>
          <w:rFonts w:ascii="Arial" w:cs="Arial" w:eastAsia="Arial" w:hAnsi="Arial"/>
          <w:sz w:val="17"/>
          <w:szCs w:val="17"/>
          <w:color w:val="auto"/>
        </w:rPr>
        <w:t>. Until the termination of this Agreement, the Company will not take, directly or indirectly, any action designed to or that would constitute or that might reasonably be expected to cause or result in, under the Exchange Act or otherwise, stabilization or manipulation in violation of the Act, Exchange Act or the rules and regulations thereunder of the price of any security of the Company to facilitate the sale or resale of the Shares or otherwise violate any provision of Regulation M under the Exchange Act.</w:t>
      </w:r>
    </w:p>
    <w:p>
      <w:pPr>
        <w:spacing w:after="0" w:line="171" w:lineRule="exact"/>
        <w:rPr>
          <w:rFonts w:ascii="Arial" w:cs="Arial" w:eastAsia="Arial" w:hAnsi="Arial"/>
          <w:sz w:val="17"/>
          <w:szCs w:val="17"/>
          <w:color w:val="auto"/>
        </w:rPr>
      </w:pPr>
    </w:p>
    <w:p>
      <w:pPr>
        <w:jc w:val="both"/>
        <w:ind w:left="-460" w:firstLine="644"/>
        <w:spacing w:after="0" w:line="286" w:lineRule="auto"/>
        <w:tabs>
          <w:tab w:leader="none" w:pos="403"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Notification of Incorrect Certificate</w:t>
      </w:r>
      <w:r>
        <w:rPr>
          <w:rFonts w:ascii="Arial" w:cs="Arial" w:eastAsia="Arial" w:hAnsi="Arial"/>
          <w:sz w:val="17"/>
          <w:szCs w:val="17"/>
          <w:color w:val="auto"/>
        </w:rPr>
        <w:t>. The Company will, at any time during the term of this Agreement, as supplemented from time to time, advise the Manager immediately after it shall have received notice or obtained knowledge thereof, of any information or fact that would alter or affect any opinion, certificate, letter and other document provided to the Manager pursuant to Section 6 herein.</w:t>
      </w:r>
    </w:p>
    <w:p>
      <w:pPr>
        <w:spacing w:after="0" w:line="16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097" w:right="339" w:bottom="1440" w:gutter="0" w:footer="0" w:header="0"/>
        </w:sectPr>
      </w:pPr>
    </w:p>
    <w:bookmarkStart w:id="31" w:name="page32"/>
    <w:bookmarkEnd w:id="31"/>
    <w:p>
      <w:pPr>
        <w:jc w:val="both"/>
        <w:ind w:left="4" w:firstLine="644"/>
        <w:spacing w:after="0" w:line="284" w:lineRule="auto"/>
        <w:tabs>
          <w:tab w:leader="none" w:pos="920"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Certification of Accuracy of Disclosure</w:t>
      </w:r>
      <w:r>
        <w:rPr>
          <w:rFonts w:ascii="Arial" w:cs="Arial" w:eastAsia="Arial" w:hAnsi="Arial"/>
          <w:sz w:val="16"/>
          <w:szCs w:val="16"/>
          <w:color w:val="auto"/>
        </w:rPr>
        <w:t>. Upon commencement of the offering of the Shares under this Agreement (and upon the recommencement of the offering of the Shares under this Agreement following the termination of a suspension of sales hereunder lasting more than 30 Trading Days), and each time that (i) the Registration Statement or Prospectus shall be amended or supplemented, other than by means of Incorporated Documents, (ii) the Company files its Annual Report on Form 10-K under the Exchange Act, (iii) the Company files its quarterly reports on Form 10-Q under the Exchange Act, (iv) the Company files a Current Report on Form 8-K containing amended financial information (other than information that is furnished and not filed), if the Manager reasonably determines that the information in such Form 8-K is material, or</w:t>
      </w:r>
    </w:p>
    <w:p>
      <w:pPr>
        <w:spacing w:after="0" w:line="4" w:lineRule="exact"/>
        <w:rPr>
          <w:rFonts w:ascii="Arial" w:cs="Arial" w:eastAsia="Arial" w:hAnsi="Arial"/>
          <w:sz w:val="16"/>
          <w:szCs w:val="16"/>
          <w:color w:val="auto"/>
        </w:rPr>
      </w:pPr>
    </w:p>
    <w:p>
      <w:pPr>
        <w:jc w:val="both"/>
        <w:ind w:left="4" w:hanging="4"/>
        <w:spacing w:after="0" w:line="284" w:lineRule="auto"/>
        <w:tabs>
          <w:tab w:leader="none" w:pos="292"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Shares are delivered to the Manager as principal at the Time of Delivery pursuant to a Terms Agreement (such commencement or recommencement date and each such date referred to in (i), (ii), (iii), (iv) and (v) above, a “</w:t>
      </w:r>
      <w:r>
        <w:rPr>
          <w:rFonts w:ascii="Arial" w:cs="Arial" w:eastAsia="Arial" w:hAnsi="Arial"/>
          <w:sz w:val="16"/>
          <w:szCs w:val="16"/>
          <w:u w:val="single" w:color="auto"/>
          <w:color w:val="auto"/>
        </w:rPr>
        <w:t>Representation Date</w:t>
      </w:r>
      <w:r>
        <w:rPr>
          <w:rFonts w:ascii="Arial" w:cs="Arial" w:eastAsia="Arial" w:hAnsi="Arial"/>
          <w:sz w:val="16"/>
          <w:szCs w:val="16"/>
          <w:color w:val="auto"/>
        </w:rPr>
        <w:t>”), unless waived by the Manager, the Company shall furnish or cause to be furnished to the Manager forthwith a certificate dated and delivered on the Representation Date, in form reasonably satisfactory to the Manager to the effect that the statements contained in the certificate referred to in Section 6 of this Agreement which were last furnished to the Manager are true and correct at the Representation Date, as though made at and as of such date (except that such statements shall be deemed to relate to the Registration Statement and the Prospectus as amended and supplemented to such date) or, in lieu of such certificate, a certificate of the same tenor as the certificate referred to in said Section 6, modified as necessary to relate to the Registration Statement and the Prospectus as amended and supplemented to the date of delivery of such certificate. The requirement to provide a certificate under this Section 4(k) shall be waived for any Representation Date occurring at a time at which no Sales Notice is pending, which waiver shall continue until the earlier to occur of the date the Company delivers a Sales Notice hereunder (which for such calendar quarter shall be considered a Representation Date) and the next occurring Representation Date on which the Company files its annual report on Form 10-K. Notwithstanding the foregoing, (i) upon the delivery of the first Sales Notice hereunder and (ii) if the Company subsequently decides to sell Shares following a Representation Date when the Company relied on such waiver and did not provide the Manager with a certificate under this Section 4(k), then before the Manager sells any Shares, the Company shall provide the Manager with such a certificate, dated the date of the Sales Notice.</w:t>
      </w:r>
    </w:p>
    <w:p>
      <w:pPr>
        <w:spacing w:after="0" w:line="177" w:lineRule="exact"/>
        <w:rPr>
          <w:rFonts w:ascii="Arial" w:cs="Arial" w:eastAsia="Arial" w:hAnsi="Arial"/>
          <w:sz w:val="16"/>
          <w:szCs w:val="16"/>
          <w:color w:val="auto"/>
        </w:rPr>
      </w:pPr>
    </w:p>
    <w:p>
      <w:pPr>
        <w:jc w:val="both"/>
        <w:ind w:left="4" w:firstLine="644"/>
        <w:spacing w:after="0" w:line="287" w:lineRule="auto"/>
        <w:tabs>
          <w:tab w:leader="none" w:pos="894" w:val="left"/>
        </w:tabs>
        <w:numPr>
          <w:ilvl w:val="1"/>
          <w:numId w:val="32"/>
        </w:numPr>
        <w:rPr>
          <w:rFonts w:ascii="Arial" w:cs="Arial" w:eastAsia="Arial" w:hAnsi="Arial"/>
          <w:sz w:val="16"/>
          <w:szCs w:val="16"/>
          <w:color w:val="auto"/>
        </w:rPr>
      </w:pPr>
      <w:r>
        <w:rPr>
          <w:rFonts w:ascii="Arial" w:cs="Arial" w:eastAsia="Arial" w:hAnsi="Arial"/>
          <w:sz w:val="16"/>
          <w:szCs w:val="16"/>
          <w:u w:val="single" w:color="auto"/>
          <w:color w:val="auto"/>
        </w:rPr>
        <w:t>Bring Down Opinions; Negative Assurance</w:t>
      </w:r>
      <w:r>
        <w:rPr>
          <w:rFonts w:ascii="Arial" w:cs="Arial" w:eastAsia="Arial" w:hAnsi="Arial"/>
          <w:sz w:val="16"/>
          <w:szCs w:val="16"/>
          <w:color w:val="auto"/>
        </w:rPr>
        <w:t>. Unless waived by the Manager, the Company shall furnish or cause to be furnished forthwith to the Manager and to counsel to the Manager a written opinion of counsel to the Company (“</w:t>
      </w:r>
      <w:r>
        <w:rPr>
          <w:rFonts w:ascii="Arial" w:cs="Arial" w:eastAsia="Arial" w:hAnsi="Arial"/>
          <w:sz w:val="16"/>
          <w:szCs w:val="16"/>
          <w:u w:val="single" w:color="auto"/>
          <w:color w:val="auto"/>
        </w:rPr>
        <w:t>Company Counsel</w:t>
      </w:r>
      <w:r>
        <w:rPr>
          <w:rFonts w:ascii="Arial" w:cs="Arial" w:eastAsia="Arial" w:hAnsi="Arial"/>
          <w:sz w:val="16"/>
          <w:szCs w:val="16"/>
          <w:color w:val="auto"/>
        </w:rPr>
        <w:t xml:space="preserve">”) addressed to the Manager and dated and delivered on such date, in form and substance reasonably satisfactory to the Manager, including a negative assurance representation, at each Representation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requirement for the Company to furnish or cause to be furnished an opinion (but not with respect to a negative assurance representation) under this Section 4(l) shall be waived for any Representation Date other than a Representation Date on which a material amendment to the Registration Statement or Prospectus is made or on which the Company files its Annual Report on Form 10-K or a material amendment thereto under the Exchange Act, unless the Manager reasonably requests, upon a material adverse change in the results of operations, business or condition of the Company, such opinion required by this Section 4(l) in connection with a Representation Date, upon which request such opinion shall be deliverable hereunder. The Manager hereby agrees that Company Counsel may provide a reliance letter for a previously delivered opinion or negative assurance representation, stating that such opinion or negative assurance representation may continue to be relied on, in lieu of providing an opinion or negative assurance representation on any such date.</w:t>
      </w:r>
    </w:p>
    <w:p>
      <w:pPr>
        <w:spacing w:after="0" w:line="172"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32" w:name="page33"/>
    <w:bookmarkEnd w:id="32"/>
    <w:p>
      <w:pPr>
        <w:jc w:val="both"/>
        <w:ind w:left="-460" w:firstLine="644"/>
        <w:spacing w:after="0" w:line="270"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Auditor Bring Down “Comfort” Letter</w:t>
      </w:r>
      <w:r>
        <w:rPr>
          <w:rFonts w:ascii="Arial" w:cs="Arial" w:eastAsia="Arial" w:hAnsi="Arial"/>
          <w:sz w:val="17"/>
          <w:szCs w:val="17"/>
          <w:color w:val="auto"/>
        </w:rPr>
        <w:t>. Unless waived by the Manager, the Company shall cause the Company’s auditors (the “</w:t>
      </w:r>
      <w:r>
        <w:rPr>
          <w:rFonts w:ascii="Arial" w:cs="Arial" w:eastAsia="Arial" w:hAnsi="Arial"/>
          <w:sz w:val="17"/>
          <w:szCs w:val="17"/>
          <w:u w:val="single" w:color="auto"/>
          <w:color w:val="auto"/>
        </w:rPr>
        <w:t>Accountants</w:t>
      </w:r>
      <w:r>
        <w:rPr>
          <w:rFonts w:ascii="Arial" w:cs="Arial" w:eastAsia="Arial" w:hAnsi="Arial"/>
          <w:sz w:val="17"/>
          <w:szCs w:val="17"/>
          <w:color w:val="auto"/>
        </w:rPr>
        <w:t xml:space="preserve">”), or other independent accountants satisfactory to the Manager forthwith to furnish the Manager a “comfort” letter, dated on such date, in form satisfactory to the Manager, of the same tenor as the letter referred to in Section 6 of this Agreement but modified to relate to the Registration Statement and the Prospectus, as amended and supplemented to the date of such letter, at each Representation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requirement to furnish or cause to be furnished a “comfort” letter under this Section 4(m) shall be waived for any Representation Date other than a Representation Date on which a material amendment to the Registration Statement or Prospectus is made or on which the Company files its Annual Report on Form 10-K or a material amendment thereto under the Exchange Act, unless the Manager reasonably requests, upon a material adverse change in the results of operations, business or condition of the Company, the letter required by this Section 4(m) in connection with a Representation Date, upon which request such letter shall be deliverable hereunder.</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443"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Due Diligence Session</w:t>
      </w:r>
      <w:r>
        <w:rPr>
          <w:rFonts w:ascii="Arial" w:cs="Arial" w:eastAsia="Arial" w:hAnsi="Arial"/>
          <w:sz w:val="17"/>
          <w:szCs w:val="17"/>
          <w:color w:val="auto"/>
        </w:rPr>
        <w:t>. Upon commencement of the offering of the Shares under this Agreement (and upon the recommencement of the offering of the Shares under this Agreement following the termination of a suspension of sales hereunder lasting more than 30 Trading Days), and at each Representation Date, unless waived by the Manager, the Company will conduct a due diligence session, in form and substance, reasonably satisfactory to the Manager, which shall include representatives of management and Accountants. The Company shall cooperate timely with any reasonable due diligence request from or review conducted by the Manager or its agents from time to time in connection with the transactions contemplated by this Agreement, including, without limitation, providing information and available documents and access to appropriate corporate officers and the Company’s agents during regular business hours, and timely furnishing or causing to be furnished such certificates, letters and opinions from the Company, its officers and its agents, as the Manager may reasonably request. The Company shall reimburse the Manager for Manager’s counsel’s fees in each such Representation Date due diligence session at each Representation Date due diligence session, up to a maximum of $2,500 per Representation Date, plus any incidental expense incurred by the Manager in connection therewith; notwithstanding the foregoing, the reimbursement fees paid by the Company to the Manager pursuant to this Section 6(n) shall not exceed $11,000 in any given calendar year.</w:t>
      </w:r>
    </w:p>
    <w:p>
      <w:pPr>
        <w:spacing w:after="0" w:line="178" w:lineRule="exact"/>
        <w:rPr>
          <w:rFonts w:ascii="Arial" w:cs="Arial" w:eastAsia="Arial" w:hAnsi="Arial"/>
          <w:sz w:val="17"/>
          <w:szCs w:val="17"/>
          <w:color w:val="auto"/>
        </w:rPr>
      </w:pPr>
    </w:p>
    <w:p>
      <w:pPr>
        <w:jc w:val="both"/>
        <w:ind w:left="-460" w:firstLine="644"/>
        <w:spacing w:after="0" w:line="263" w:lineRule="auto"/>
        <w:tabs>
          <w:tab w:leader="none" w:pos="443"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Acknowledgment of Trading</w:t>
      </w:r>
      <w:r>
        <w:rPr>
          <w:rFonts w:ascii="Arial" w:cs="Arial" w:eastAsia="Arial" w:hAnsi="Arial"/>
          <w:sz w:val="18"/>
          <w:szCs w:val="18"/>
          <w:color w:val="auto"/>
        </w:rPr>
        <w:t>. The Company consents to the Manager trading in the Common Stock for the Manager’s own account and for the account of its clients at the same time as sales of the Shares occur pursuant to this Agreement or pursuant to a Terms Agreement, provided that such trading is conducted in accordance with applicable law.</w:t>
      </w:r>
    </w:p>
    <w:p>
      <w:pPr>
        <w:spacing w:after="0" w:line="1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3" w:name="page34"/>
    <w:bookmarkEnd w:id="33"/>
    <w:p>
      <w:pPr>
        <w:jc w:val="both"/>
        <w:ind w:left="-460" w:firstLine="644"/>
        <w:spacing w:after="0" w:line="301" w:lineRule="auto"/>
        <w:tabs>
          <w:tab w:leader="none" w:pos="44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Disclosure of Shares Sold</w:t>
      </w:r>
      <w:r>
        <w:rPr>
          <w:rFonts w:ascii="Arial" w:cs="Arial" w:eastAsia="Arial" w:hAnsi="Arial"/>
          <w:sz w:val="16"/>
          <w:szCs w:val="16"/>
          <w:color w:val="auto"/>
        </w:rPr>
        <w:t>. The Company will disclose in its Annual Reports on Form 10-K and Quarterly Reports on Form 10-Q, as applicable, the number of Shares sold through the Manager under this Agreement, the Net Proceeds to the Company and the compensation paid by the Company with respect to sales of Shares pursuant to this Agreement during the relevant quarter; and, if required by any subsequent change in Commission policy or request, more frequently by means of a Current Report on Form 8-K or a further Prospectus Supplement.</w:t>
      </w:r>
    </w:p>
    <w:p>
      <w:pPr>
        <w:spacing w:after="0" w:line="157" w:lineRule="exact"/>
        <w:rPr>
          <w:rFonts w:ascii="Arial" w:cs="Arial" w:eastAsia="Arial" w:hAnsi="Arial"/>
          <w:sz w:val="16"/>
          <w:szCs w:val="16"/>
          <w:color w:val="auto"/>
        </w:rPr>
      </w:pPr>
    </w:p>
    <w:p>
      <w:pPr>
        <w:jc w:val="both"/>
        <w:ind w:left="-460" w:firstLine="644"/>
        <w:spacing w:after="0" w:line="263" w:lineRule="auto"/>
        <w:tabs>
          <w:tab w:leader="none" w:pos="456"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Rescission Right</w:t>
      </w:r>
      <w:r>
        <w:rPr>
          <w:rFonts w:ascii="Arial" w:cs="Arial" w:eastAsia="Arial" w:hAnsi="Arial"/>
          <w:sz w:val="18"/>
          <w:szCs w:val="18"/>
          <w:color w:val="auto"/>
        </w:rPr>
        <w:t>. If to the knowledge of the Company, the conditions set forth in Section 6 shall not have been satisfied as of the applicable Settlement Date, the Company will offer to any person who has agreed to purchase Shares from the Company as the result of an offer to purchase solicited by the Manager the right to refuse to purchase and pay for such Shares.</w:t>
      </w:r>
    </w:p>
    <w:p>
      <w:pPr>
        <w:spacing w:after="0" w:line="183" w:lineRule="exact"/>
        <w:rPr>
          <w:rFonts w:ascii="Arial" w:cs="Arial" w:eastAsia="Arial" w:hAnsi="Arial"/>
          <w:sz w:val="18"/>
          <w:szCs w:val="18"/>
          <w:color w:val="auto"/>
        </w:rPr>
      </w:pPr>
    </w:p>
    <w:p>
      <w:pPr>
        <w:jc w:val="both"/>
        <w:ind w:left="-460" w:firstLine="644"/>
        <w:spacing w:after="0" w:line="290" w:lineRule="auto"/>
        <w:tabs>
          <w:tab w:leader="none" w:pos="413"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Bring Down of Representations and Warranties</w:t>
      </w:r>
      <w:r>
        <w:rPr>
          <w:rFonts w:ascii="Arial" w:cs="Arial" w:eastAsia="Arial" w:hAnsi="Arial"/>
          <w:sz w:val="16"/>
          <w:szCs w:val="16"/>
          <w:color w:val="auto"/>
        </w:rPr>
        <w:t>. Each acceptance by the Company of an offer to purchase the Shares hereunder, and each execution and delivery by the Company of a Terms Agreement, shall be deemed to be an affirmation to the Manager that the representations and warranties of the Company contained in or made pursuant to this Agreement are true and correct as of the date of such acceptance or of such Terms Agreement as though made at and as of such date, and an undertaking that such representations and warranties will be true and correct as of the Settlement Date for the Shares relating to such acceptance or as of the Time of Delivery relating to such sale, as the case may be, as though made at and as of such date (except in each such case (i) for any representation and warranty which is as of a specific date, in which case such representation and warranty shall be affirmed as of such specific date and (ii) that such representations and warranties shall be deemed to relate to the Registration Statement and the Prospectus as amended and supplemented relating to such Shares).</w:t>
      </w:r>
    </w:p>
    <w:p>
      <w:pPr>
        <w:spacing w:after="0" w:line="165" w:lineRule="exact"/>
        <w:rPr>
          <w:rFonts w:ascii="Arial" w:cs="Arial" w:eastAsia="Arial" w:hAnsi="Arial"/>
          <w:sz w:val="16"/>
          <w:szCs w:val="16"/>
          <w:color w:val="auto"/>
        </w:rPr>
      </w:pPr>
    </w:p>
    <w:p>
      <w:pPr>
        <w:jc w:val="both"/>
        <w:ind w:left="-460" w:firstLine="644"/>
        <w:spacing w:after="0" w:line="301" w:lineRule="auto"/>
        <w:tabs>
          <w:tab w:leader="none" w:pos="436"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Reservation of Shares</w:t>
      </w:r>
      <w:r>
        <w:rPr>
          <w:rFonts w:ascii="Arial" w:cs="Arial" w:eastAsia="Arial" w:hAnsi="Arial"/>
          <w:sz w:val="16"/>
          <w:szCs w:val="16"/>
          <w:color w:val="auto"/>
        </w:rPr>
        <w:t>. The Company shall ensure that there are at all times sufficient shares of Common Stock to provide for the issuance, free of any preemptive rights, out of its authorized but unissued shares of Common Stock or shares of Common Stock held in treasury, of the maximum aggregate number of Shares authorized for issuance by the Board pursuant to the terms of this Agreement. The Company will use its commercially reasonable efforts to cause the Shares to be listed for trading on the Trading Market and to maintain such listing.</w:t>
      </w:r>
    </w:p>
    <w:p>
      <w:pPr>
        <w:spacing w:after="0" w:line="157" w:lineRule="exact"/>
        <w:rPr>
          <w:rFonts w:ascii="Arial" w:cs="Arial" w:eastAsia="Arial" w:hAnsi="Arial"/>
          <w:sz w:val="16"/>
          <w:szCs w:val="16"/>
          <w:color w:val="auto"/>
        </w:rPr>
      </w:pPr>
    </w:p>
    <w:p>
      <w:pPr>
        <w:jc w:val="both"/>
        <w:ind w:left="-460" w:firstLine="644"/>
        <w:spacing w:after="0" w:line="259" w:lineRule="auto"/>
        <w:tabs>
          <w:tab w:leader="none" w:pos="40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Obligation Under Exchange Act</w:t>
      </w:r>
      <w:r>
        <w:rPr>
          <w:rFonts w:ascii="Arial" w:cs="Arial" w:eastAsia="Arial" w:hAnsi="Arial"/>
          <w:sz w:val="18"/>
          <w:szCs w:val="18"/>
          <w:color w:val="auto"/>
        </w:rPr>
        <w:t>. During any period when the delivery of a prospectus relating to the Shares is required (including in circumstances where such requirement may be satisfied pursuant to Rule 172, 173 or any similar rule) to be delivered under the Act, the Company will file all documents required to be filed with the Commission pursuant to the Exchange Act within the time periods required by the Exchange Act and the regulations thereunder.</w:t>
      </w:r>
    </w:p>
    <w:p>
      <w:pPr>
        <w:spacing w:after="0" w:line="18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4" w:name="page35"/>
    <w:bookmarkEnd w:id="34"/>
    <w:p>
      <w:pPr>
        <w:ind w:left="652" w:firstLine="644"/>
        <w:spacing w:after="0" w:line="277" w:lineRule="auto"/>
        <w:tabs>
          <w:tab w:leader="none" w:pos="1568" w:val="left"/>
        </w:tabs>
        <w:numPr>
          <w:ilvl w:val="2"/>
          <w:numId w:val="35"/>
        </w:numPr>
        <w:rPr>
          <w:rFonts w:ascii="Arial" w:cs="Arial" w:eastAsia="Arial" w:hAnsi="Arial"/>
          <w:sz w:val="18"/>
          <w:szCs w:val="18"/>
          <w:color w:val="auto"/>
        </w:rPr>
      </w:pPr>
      <w:r>
        <w:rPr>
          <w:rFonts w:ascii="Arial" w:cs="Arial" w:eastAsia="Arial" w:hAnsi="Arial"/>
          <w:sz w:val="18"/>
          <w:szCs w:val="18"/>
          <w:u w:val="single" w:color="auto"/>
          <w:color w:val="auto"/>
        </w:rPr>
        <w:t>DTC Facility</w:t>
      </w:r>
      <w:r>
        <w:rPr>
          <w:rFonts w:ascii="Arial" w:cs="Arial" w:eastAsia="Arial" w:hAnsi="Arial"/>
          <w:sz w:val="18"/>
          <w:szCs w:val="18"/>
          <w:color w:val="auto"/>
        </w:rPr>
        <w:t>. The Company shall cooperate with Manager and use its commercially reasonable efforts to permit the Shares to be eligible for clearance and settlement through the facilities of DTC.</w:t>
      </w:r>
    </w:p>
    <w:p>
      <w:pPr>
        <w:spacing w:after="0" w:line="170" w:lineRule="exact"/>
        <w:rPr>
          <w:rFonts w:ascii="Arial" w:cs="Arial" w:eastAsia="Arial" w:hAnsi="Arial"/>
          <w:sz w:val="18"/>
          <w:szCs w:val="18"/>
          <w:color w:val="auto"/>
        </w:rPr>
      </w:pPr>
    </w:p>
    <w:p>
      <w:pPr>
        <w:ind w:left="1552" w:hanging="256"/>
        <w:spacing w:after="0"/>
        <w:tabs>
          <w:tab w:leader="none" w:pos="1552"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Use of Proceeds</w:t>
      </w:r>
      <w:r>
        <w:rPr>
          <w:rFonts w:ascii="Arial" w:cs="Arial" w:eastAsia="Arial" w:hAnsi="Arial"/>
          <w:sz w:val="16"/>
          <w:szCs w:val="16"/>
          <w:color w:val="auto"/>
        </w:rPr>
        <w:t>. The Company will apply the Net Proceeds from the sale of the Shares in the manner set forth in the Prospectus.</w:t>
      </w:r>
    </w:p>
    <w:p>
      <w:pPr>
        <w:spacing w:after="0" w:line="248" w:lineRule="exact"/>
        <w:rPr>
          <w:rFonts w:ascii="Arial" w:cs="Arial" w:eastAsia="Arial" w:hAnsi="Arial"/>
          <w:sz w:val="16"/>
          <w:szCs w:val="16"/>
          <w:color w:val="auto"/>
        </w:rPr>
      </w:pPr>
    </w:p>
    <w:p>
      <w:pPr>
        <w:jc w:val="both"/>
        <w:ind w:left="652" w:firstLine="644"/>
        <w:spacing w:after="0" w:line="301" w:lineRule="auto"/>
        <w:tabs>
          <w:tab w:leader="none" w:pos="1595"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Filing of Prospectus Supplement</w:t>
      </w:r>
      <w:r>
        <w:rPr>
          <w:rFonts w:ascii="Arial" w:cs="Arial" w:eastAsia="Arial" w:hAnsi="Arial"/>
          <w:sz w:val="16"/>
          <w:szCs w:val="16"/>
          <w:color w:val="auto"/>
        </w:rPr>
        <w:t>. If any sales are made pursuant to this Agreement which are not made in “at the market” offerings as defined in Rule 415, including, without limitation, any Placement pursuant to a Terms Agreement, the Company shall file a Prospectus Supplement describing the terms of such transaction, the amount of Shares sold, the price thereof, the Manager’s compensation, and such other information as may be required pursuant to Rule 424 and Rule 430B, as applicable, within the time required by Rule 424.</w:t>
      </w:r>
    </w:p>
    <w:p>
      <w:pPr>
        <w:spacing w:after="0" w:line="157" w:lineRule="exact"/>
        <w:rPr>
          <w:rFonts w:ascii="Arial" w:cs="Arial" w:eastAsia="Arial" w:hAnsi="Arial"/>
          <w:sz w:val="16"/>
          <w:szCs w:val="16"/>
          <w:color w:val="auto"/>
        </w:rPr>
      </w:pPr>
    </w:p>
    <w:p>
      <w:pPr>
        <w:jc w:val="both"/>
        <w:ind w:left="652" w:firstLine="644"/>
        <w:spacing w:after="0" w:line="291" w:lineRule="auto"/>
        <w:tabs>
          <w:tab w:leader="none" w:pos="1582" w:val="left"/>
        </w:tabs>
        <w:numPr>
          <w:ilvl w:val="2"/>
          <w:numId w:val="35"/>
        </w:numPr>
        <w:rPr>
          <w:rFonts w:ascii="Arial" w:cs="Arial" w:eastAsia="Arial" w:hAnsi="Arial"/>
          <w:sz w:val="16"/>
          <w:szCs w:val="16"/>
          <w:color w:val="auto"/>
        </w:rPr>
      </w:pPr>
      <w:r>
        <w:rPr>
          <w:rFonts w:ascii="Arial" w:cs="Arial" w:eastAsia="Arial" w:hAnsi="Arial"/>
          <w:sz w:val="16"/>
          <w:szCs w:val="16"/>
          <w:u w:val="single" w:color="auto"/>
          <w:color w:val="auto"/>
        </w:rPr>
        <w:t>Additional Registration Statement</w:t>
      </w:r>
      <w:r>
        <w:rPr>
          <w:rFonts w:ascii="Arial" w:cs="Arial" w:eastAsia="Arial" w:hAnsi="Arial"/>
          <w:sz w:val="16"/>
          <w:szCs w:val="16"/>
          <w:color w:val="auto"/>
        </w:rPr>
        <w:t>. To the extent that the Registration Statement is not available for the sales of the Shares as contemplated by this Agreement, the Company shall file a new registration statement with respect to any additional shares of Common Stock necessary to complete such sales of the Shares and shall cause such registration statement to become effective as promptly as practicable. After the effectiveness of any such registration statement, all references to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included in this Agreement shall be deemed to include such new registration statement, including all documents incorporated by reference therein pursuant to Item 12 of Form S-3, and all references to “</w:t>
      </w:r>
      <w:r>
        <w:rPr>
          <w:rFonts w:ascii="Arial" w:cs="Arial" w:eastAsia="Arial" w:hAnsi="Arial"/>
          <w:sz w:val="16"/>
          <w:szCs w:val="16"/>
          <w:u w:val="single" w:color="auto"/>
          <w:color w:val="auto"/>
        </w:rPr>
        <w:t>Base Prospectus</w:t>
      </w:r>
      <w:r>
        <w:rPr>
          <w:rFonts w:ascii="Arial" w:cs="Arial" w:eastAsia="Arial" w:hAnsi="Arial"/>
          <w:sz w:val="16"/>
          <w:szCs w:val="16"/>
          <w:color w:val="auto"/>
        </w:rPr>
        <w:t>” included in this Agreement shall be deemed to include the final form of prospectus, including all documents incorporated therein by reference, included in any such registration statement at the time such registration statement became effective.</w:t>
      </w:r>
    </w:p>
    <w:p>
      <w:pPr>
        <w:spacing w:after="0" w:line="166" w:lineRule="exact"/>
        <w:rPr>
          <w:rFonts w:ascii="Arial" w:cs="Arial" w:eastAsia="Arial" w:hAnsi="Arial"/>
          <w:sz w:val="16"/>
          <w:szCs w:val="16"/>
          <w:color w:val="auto"/>
        </w:rPr>
      </w:pPr>
    </w:p>
    <w:p>
      <w:pPr>
        <w:jc w:val="both"/>
        <w:ind w:left="-8" w:firstLine="656"/>
        <w:spacing w:after="0" w:line="284" w:lineRule="auto"/>
        <w:tabs>
          <w:tab w:leader="none" w:pos="820" w:val="left"/>
        </w:tabs>
        <w:numPr>
          <w:ilvl w:val="1"/>
          <w:numId w:val="36"/>
        </w:numPr>
        <w:rPr>
          <w:rFonts w:ascii="Arial" w:cs="Arial" w:eastAsia="Arial" w:hAnsi="Arial"/>
          <w:sz w:val="16"/>
          <w:szCs w:val="16"/>
          <w:color w:val="auto"/>
        </w:rPr>
      </w:pPr>
      <w:r>
        <w:rPr>
          <w:rFonts w:ascii="Arial" w:cs="Arial" w:eastAsia="Arial" w:hAnsi="Arial"/>
          <w:sz w:val="16"/>
          <w:szCs w:val="16"/>
          <w:u w:val="single" w:color="auto"/>
          <w:color w:val="auto"/>
        </w:rPr>
        <w:t>Payment of Expenses</w:t>
      </w:r>
      <w:r>
        <w:rPr>
          <w:rFonts w:ascii="Arial" w:cs="Arial" w:eastAsia="Arial" w:hAnsi="Arial"/>
          <w:sz w:val="16"/>
          <w:szCs w:val="16"/>
          <w:color w:val="auto"/>
        </w:rPr>
        <w:t>. The Company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the Prospectus and each Issuer Free Writing Prospectus, and each amendment or supplement to any of them; (ii) the printing (or reproduction) and delivery (including postage, air freight charges and charges for counting and packaging) of such copies of the Registration Statement, the Prospectus, and each Issuer Free Writing Prospectus, and all amendments or supplements to any of them, as may, in each case, be reasonably requested for use in connection with the offering and sale of the Shares;</w:t>
      </w:r>
    </w:p>
    <w:p>
      <w:pPr>
        <w:spacing w:after="0" w:line="4" w:lineRule="exact"/>
        <w:rPr>
          <w:rFonts w:ascii="Arial" w:cs="Arial" w:eastAsia="Arial" w:hAnsi="Arial"/>
          <w:sz w:val="16"/>
          <w:szCs w:val="16"/>
          <w:color w:val="auto"/>
        </w:rPr>
      </w:pPr>
    </w:p>
    <w:p>
      <w:pPr>
        <w:jc w:val="both"/>
        <w:ind w:left="-8" w:firstLine="8"/>
        <w:spacing w:after="0" w:line="281" w:lineRule="auto"/>
        <w:tabs>
          <w:tab w:leader="none" w:pos="316"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preparation, printing, authentication, issuance and delivery of certificates for the Shares, including any stamp or transfer taxes in connection with the original issuance and sale of the Shares; (iv) the printing (or reproduction) and delivery of this Agreement, any blue sky memorandum (if reasonably requested by the Manager) and all other agreements or documents printed (or reproduced) and delivered in connection with the offering of the Shares; (v) the registration of the Shares under the Exchange Act, if applicable, and the listing of the Shares on the Trading Market; (vi) any registration or qualification of the Shares for offer and sale under the securities or blue sky laws of the several states (including filing fees and the reasonable fees and expenses of counsel for the Manager relating to such registration and qualification); (vii) the fees and expenses of the Company’s accountants and the fees and expenses of counsel (including local and special counsel) for the Company; (viii) the filing fee under FINRA Rule 5110; (ix) the reasonable fees and expenses of the Manager’s counsel, not to exceed $50,000 (excluding any fees for Representation Date due diligence sessions provided for under Section 4(n)), which amount shall be due and payable upon the date on which the aggregate gross proceeds of the sale of Shares hereunder exceeds $1,000,000; and</w:t>
      </w:r>
    </w:p>
    <w:p>
      <w:pPr>
        <w:spacing w:after="0" w:line="5" w:lineRule="exact"/>
        <w:rPr>
          <w:rFonts w:ascii="Arial" w:cs="Arial" w:eastAsia="Arial" w:hAnsi="Arial"/>
          <w:sz w:val="16"/>
          <w:szCs w:val="16"/>
          <w:color w:val="auto"/>
        </w:rPr>
      </w:pPr>
    </w:p>
    <w:p>
      <w:pPr>
        <w:ind w:left="252" w:hanging="252"/>
        <w:spacing w:after="0"/>
        <w:tabs>
          <w:tab w:leader="none" w:pos="252"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other costs and expenses incident to the performance by the Company of its obligations hereunder.</w:t>
      </w:r>
    </w:p>
    <w:p>
      <w:pPr>
        <w:spacing w:after="0" w:line="2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5" w:right="339" w:bottom="1440" w:gutter="0" w:footer="0" w:header="0"/>
        </w:sectPr>
      </w:pPr>
    </w:p>
    <w:bookmarkStart w:id="35" w:name="page36"/>
    <w:bookmarkEnd w:id="35"/>
    <w:p>
      <w:pPr>
        <w:jc w:val="both"/>
        <w:ind w:left="-20" w:firstLine="656"/>
        <w:spacing w:after="0" w:line="259" w:lineRule="auto"/>
        <w:tabs>
          <w:tab w:leader="none" w:pos="80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Manager</w:t>
      </w:r>
      <w:r>
        <w:rPr>
          <w:rFonts w:ascii="Arial" w:cs="Arial" w:eastAsia="Arial" w:hAnsi="Arial"/>
          <w:sz w:val="18"/>
          <w:szCs w:val="18"/>
          <w:color w:val="auto"/>
        </w:rPr>
        <w:t>. The obligations of the Manager under this Agreement and any Terms Agreement shall be subject to (i) the accuracy of the representations and warranties on the part of the Company contained herein as of the Execution Time, each Representation Date, and as of each Applicable Time, Settlement Date and Time of Delivery, (ii) the performance by the Company of its obligations hereunder and (iii) the following additional conditions:</w:t>
      </w:r>
    </w:p>
    <w:p>
      <w:pPr>
        <w:spacing w:after="0" w:line="186" w:lineRule="exact"/>
        <w:rPr>
          <w:rFonts w:ascii="Arial" w:cs="Arial" w:eastAsia="Arial" w:hAnsi="Arial"/>
          <w:sz w:val="18"/>
          <w:szCs w:val="18"/>
          <w:color w:val="auto"/>
        </w:rPr>
      </w:pPr>
    </w:p>
    <w:p>
      <w:pPr>
        <w:jc w:val="both"/>
        <w:ind w:left="640" w:firstLine="644"/>
        <w:spacing w:after="0" w:line="293" w:lineRule="auto"/>
        <w:tabs>
          <w:tab w:leader="none" w:pos="1532"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Filing of Prospectus Supplement</w:t>
      </w:r>
      <w:r>
        <w:rPr>
          <w:rFonts w:ascii="Arial" w:cs="Arial" w:eastAsia="Arial" w:hAnsi="Arial"/>
          <w:sz w:val="16"/>
          <w:szCs w:val="16"/>
          <w:color w:val="auto"/>
        </w:rPr>
        <w:t>. The Prospectus, and any supplement thereto, required by Rule 424 to be filed with the Commission shall have been filed in the manner and within the time period required by Rule 424(b) with respect to any sale of Shares; each Prospectus Supplement shall have been filed in the manner required by Rule 424(b) within the time period required hereunder and under the Act; any other 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164" w:lineRule="exact"/>
        <w:rPr>
          <w:rFonts w:ascii="Arial" w:cs="Arial" w:eastAsia="Arial" w:hAnsi="Arial"/>
          <w:sz w:val="16"/>
          <w:szCs w:val="16"/>
          <w:color w:val="auto"/>
        </w:rPr>
      </w:pPr>
    </w:p>
    <w:p>
      <w:pPr>
        <w:ind w:left="640" w:firstLine="644"/>
        <w:spacing w:after="0" w:line="308" w:lineRule="auto"/>
        <w:tabs>
          <w:tab w:leader="none" w:pos="1556" w:val="left"/>
        </w:tabs>
        <w:numPr>
          <w:ilvl w:val="1"/>
          <w:numId w:val="39"/>
        </w:numPr>
        <w:rPr>
          <w:rFonts w:ascii="Arial" w:cs="Arial" w:eastAsia="Arial" w:hAnsi="Arial"/>
          <w:sz w:val="17"/>
          <w:szCs w:val="17"/>
          <w:color w:val="auto"/>
        </w:rPr>
      </w:pPr>
      <w:r>
        <w:rPr>
          <w:rFonts w:ascii="Arial" w:cs="Arial" w:eastAsia="Arial" w:hAnsi="Arial"/>
          <w:sz w:val="17"/>
          <w:szCs w:val="17"/>
          <w:u w:val="single" w:color="auto"/>
          <w:color w:val="auto"/>
        </w:rPr>
        <w:t>Delivery of Opinion</w:t>
      </w:r>
      <w:r>
        <w:rPr>
          <w:rFonts w:ascii="Arial" w:cs="Arial" w:eastAsia="Arial" w:hAnsi="Arial"/>
          <w:sz w:val="17"/>
          <w:szCs w:val="17"/>
          <w:color w:val="auto"/>
        </w:rPr>
        <w:t>. The Company shall have caused the Company Counsel to furnish to the Manager its opinion and negative assurance statement, dated as of such date and addressed to the Manager in form and substance acceptable to the Manager.</w:t>
      </w:r>
    </w:p>
    <w:p>
      <w:pPr>
        <w:spacing w:after="0" w:line="146" w:lineRule="exact"/>
        <w:rPr>
          <w:rFonts w:ascii="Arial" w:cs="Arial" w:eastAsia="Arial" w:hAnsi="Arial"/>
          <w:sz w:val="17"/>
          <w:szCs w:val="17"/>
          <w:color w:val="auto"/>
        </w:rPr>
      </w:pPr>
    </w:p>
    <w:p>
      <w:pPr>
        <w:jc w:val="both"/>
        <w:ind w:left="640" w:firstLine="644"/>
        <w:spacing w:after="0" w:line="301" w:lineRule="auto"/>
        <w:tabs>
          <w:tab w:leader="none" w:pos="1546"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Delivery of Officer’s Certificate</w:t>
      </w:r>
      <w:r>
        <w:rPr>
          <w:rFonts w:ascii="Arial" w:cs="Arial" w:eastAsia="Arial" w:hAnsi="Arial"/>
          <w:sz w:val="16"/>
          <w:szCs w:val="16"/>
          <w:color w:val="auto"/>
        </w:rPr>
        <w:t>. The Company shall have furnished or caused to be furnished to the Manager a certificate of the Company signed by the Chief Executive Officer or the President and the principal financial or accounting officer of the Company, dated as of such date, to the effect that the signers of such certificate have carefully examined the Registration Statement, the Prospectus, any Prospectus Supplement and any documents incorporated by reference therein and any supplements or amendments thereto and this Agreement and that: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36" w:name="page37"/>
    <w:bookmarkEnd w:id="36"/>
    <w:p>
      <w:pPr>
        <w:jc w:val="both"/>
        <w:ind w:left="180" w:firstLine="652"/>
        <w:spacing w:after="0" w:line="263" w:lineRule="auto"/>
        <w:tabs>
          <w:tab w:leader="none" w:pos="105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such date with the same effect as if made on such date and the Company has complied with all the agreements and satisfied all the conditions on its part to be performed or satisfied at or prior to such date;</w:t>
      </w:r>
    </w:p>
    <w:p>
      <w:pPr>
        <w:spacing w:after="0" w:line="183" w:lineRule="exact"/>
        <w:rPr>
          <w:rFonts w:ascii="Arial" w:cs="Arial" w:eastAsia="Arial" w:hAnsi="Arial"/>
          <w:sz w:val="18"/>
          <w:szCs w:val="18"/>
          <w:color w:val="auto"/>
        </w:rPr>
      </w:pPr>
    </w:p>
    <w:p>
      <w:pPr>
        <w:ind w:left="180" w:firstLine="652"/>
        <w:spacing w:after="0" w:line="277" w:lineRule="auto"/>
        <w:tabs>
          <w:tab w:leader="none" w:pos="1106" w:val="left"/>
        </w:tabs>
        <w:numPr>
          <w:ilvl w:val="1"/>
          <w:numId w:val="40"/>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70" w:lineRule="exact"/>
        <w:rPr>
          <w:rFonts w:ascii="Arial" w:cs="Arial" w:eastAsia="Arial" w:hAnsi="Arial"/>
          <w:sz w:val="18"/>
          <w:szCs w:val="18"/>
          <w:color w:val="auto"/>
        </w:rPr>
      </w:pPr>
    </w:p>
    <w:p>
      <w:pPr>
        <w:jc w:val="both"/>
        <w:ind w:left="180" w:firstLine="652"/>
        <w:spacing w:after="0" w:line="279" w:lineRule="auto"/>
        <w:tabs>
          <w:tab w:leader="none" w:pos="1180" w:val="left"/>
        </w:tabs>
        <w:numPr>
          <w:ilvl w:val="1"/>
          <w:numId w:val="40"/>
        </w:numPr>
        <w:rPr>
          <w:rFonts w:ascii="Arial" w:cs="Arial" w:eastAsia="Arial" w:hAnsi="Arial"/>
          <w:sz w:val="17"/>
          <w:szCs w:val="17"/>
          <w:color w:val="auto"/>
        </w:rPr>
      </w:pPr>
      <w:r>
        <w:rPr>
          <w:rFonts w:ascii="Arial" w:cs="Arial" w:eastAsia="Arial" w:hAnsi="Arial"/>
          <w:sz w:val="17"/>
          <w:szCs w:val="17"/>
          <w:color w:val="auto"/>
        </w:rPr>
        <w:t>since the date of the most recent financial statements included in the Registration Statement, the Prospectus and the Incorporated Documents, there has been no Material Adverse Effect on the condition (financial or otherwise), earnings, business or properties of the Company and its subsidiaries, taken as a whole, whether or not arising from transactions in the ordinary course of business, except as set forth in, contemplated in or incorporated by reference in the Registration Statement and the Prospectus.</w:t>
      </w:r>
    </w:p>
    <w:p>
      <w:pPr>
        <w:spacing w:after="0" w:line="171" w:lineRule="exact"/>
        <w:rPr>
          <w:rFonts w:ascii="Arial" w:cs="Arial" w:eastAsia="Arial" w:hAnsi="Arial"/>
          <w:sz w:val="17"/>
          <w:szCs w:val="17"/>
          <w:color w:val="auto"/>
        </w:rPr>
      </w:pPr>
    </w:p>
    <w:p>
      <w:pPr>
        <w:jc w:val="both"/>
        <w:ind w:left="-460" w:firstLine="644"/>
        <w:spacing w:after="0" w:line="273" w:lineRule="auto"/>
        <w:tabs>
          <w:tab w:leader="none" w:pos="443"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t>Delivery of Accountants’ “Comfort” Letter</w:t>
      </w:r>
      <w:r>
        <w:rPr>
          <w:rFonts w:ascii="Arial" w:cs="Arial" w:eastAsia="Arial" w:hAnsi="Arial"/>
          <w:sz w:val="17"/>
          <w:szCs w:val="17"/>
          <w:color w:val="auto"/>
        </w:rPr>
        <w:t>. The Company shall have requested and caused the Accountants to have furnished to the Manager letters (which may refer to letters previously delivered to the Manager), dated as of such date, in form and substance satisfactory to the Manager, confirming that they are independent accountants within the meaning of the Act and the Exchange Act and the respective applicable rules and regulations adopted by the Commission thereunder and that they have performed a review of any unaudited interim financial information of the Company included or incorporated by reference in the Registration Statement and the Prospectus and provide customary “comfort” as to such review in form and substance satisfactory to the Manager.</w:t>
      </w:r>
    </w:p>
    <w:p>
      <w:pPr>
        <w:spacing w:after="0" w:line="177" w:lineRule="exact"/>
        <w:rPr>
          <w:rFonts w:ascii="Arial" w:cs="Arial" w:eastAsia="Arial" w:hAnsi="Arial"/>
          <w:sz w:val="17"/>
          <w:szCs w:val="17"/>
          <w:color w:val="auto"/>
        </w:rPr>
      </w:pPr>
    </w:p>
    <w:p>
      <w:pPr>
        <w:jc w:val="both"/>
        <w:ind w:left="-460" w:firstLine="644"/>
        <w:spacing w:after="0" w:line="289" w:lineRule="auto"/>
        <w:tabs>
          <w:tab w:leader="none" w:pos="459"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 Material Adverse Event</w:t>
      </w:r>
      <w:r>
        <w:rPr>
          <w:rFonts w:ascii="Arial" w:cs="Arial" w:eastAsia="Arial" w:hAnsi="Arial"/>
          <w:sz w:val="16"/>
          <w:szCs w:val="16"/>
          <w:color w:val="auto"/>
        </w:rPr>
        <w:t>. Since the respective dates as of which information is disclosed in the Registration Statement, the Prospectus and the Incorporated Documents, except as otherwise stated therein, there shall not have been (i) any material change or decrease in previously reported results specified in the letter or letters referred to in paragraph (d) of this Section 6 or (ii) any change, or any development involving a prospective change, in or affecting the condition (financial or otherwise), earnings, business or properties of the Company and its subsidiaries taken as a whole, whether or not arising from transactions in the ordinary course of business, except as set forth in or contemplated in the Registration Statement, the Prospectus and the Incorporated Documents (exclusive of any amendment or supplement thereto) the effect of which, in any case referred to in clause (i) or (ii) above, is, in the sole judgment of the Manager, so material and adverse as to make it impractical or inadvisable to proceed with the offering or delivery of the Shares as contemplated by the Registration Statement (exclusive of any amendment thereof), the Incorporated Documents and the Prospectus (exclusive of any amendment or supplement thereto).</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37" w:name="page38"/>
    <w:bookmarkEnd w:id="37"/>
    <w:p>
      <w:pPr>
        <w:jc w:val="both"/>
        <w:ind w:left="660" w:firstLine="644"/>
        <w:spacing w:after="0" w:line="279" w:lineRule="auto"/>
        <w:tabs>
          <w:tab w:leader="none" w:pos="1533"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Payment of All Fees</w:t>
      </w:r>
      <w:r>
        <w:rPr>
          <w:rFonts w:ascii="Arial" w:cs="Arial" w:eastAsia="Arial" w:hAnsi="Arial"/>
          <w:sz w:val="17"/>
          <w:szCs w:val="17"/>
          <w:color w:val="auto"/>
        </w:rPr>
        <w:t>. The Company shall have paid the required Commission filing fees relating to the Shares within the time period required by Rule 456(b)(1)(i) of the Act without regard to the proviso therein and otherwise in accordance with Rules 456(b) and 457(r) of the Act and, if applicable, shall have updated the “Calculation of Registration Fee” table in accordance with Rule 456(b)(1)(ii) either in a post-effective amendment to the Registration Statement or on the cover page of a prospectus filed pursuant to Rule 424(b).</w:t>
      </w:r>
    </w:p>
    <w:p>
      <w:pPr>
        <w:spacing w:after="0" w:line="171" w:lineRule="exact"/>
        <w:rPr>
          <w:rFonts w:ascii="Arial" w:cs="Arial" w:eastAsia="Arial" w:hAnsi="Arial"/>
          <w:sz w:val="17"/>
          <w:szCs w:val="17"/>
          <w:color w:val="auto"/>
        </w:rPr>
      </w:pPr>
    </w:p>
    <w:p>
      <w:pPr>
        <w:ind w:left="660" w:firstLine="644"/>
        <w:spacing w:after="0" w:line="277" w:lineRule="auto"/>
        <w:tabs>
          <w:tab w:leader="none" w:pos="15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 FINRA Objections</w:t>
      </w:r>
      <w:r>
        <w:rPr>
          <w:rFonts w:ascii="Arial" w:cs="Arial" w:eastAsia="Arial" w:hAnsi="Arial"/>
          <w:sz w:val="18"/>
          <w:szCs w:val="18"/>
          <w:color w:val="auto"/>
        </w:rPr>
        <w:t>. FINRA shall not have raised any objection with respect to the fairness and reasonableness of the terms and arrangements under this Agreement.</w:t>
      </w:r>
    </w:p>
    <w:p>
      <w:pPr>
        <w:spacing w:after="0" w:line="170" w:lineRule="exact"/>
        <w:rPr>
          <w:rFonts w:ascii="Arial" w:cs="Arial" w:eastAsia="Arial" w:hAnsi="Arial"/>
          <w:sz w:val="18"/>
          <w:szCs w:val="18"/>
          <w:color w:val="auto"/>
        </w:rPr>
      </w:pPr>
    </w:p>
    <w:p>
      <w:pPr>
        <w:ind w:left="660" w:firstLine="644"/>
        <w:spacing w:after="0" w:line="277" w:lineRule="auto"/>
        <w:tabs>
          <w:tab w:leader="none" w:pos="1563"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Shares Listed on Trading Market</w:t>
      </w:r>
      <w:r>
        <w:rPr>
          <w:rFonts w:ascii="Arial" w:cs="Arial" w:eastAsia="Arial" w:hAnsi="Arial"/>
          <w:sz w:val="18"/>
          <w:szCs w:val="18"/>
          <w:color w:val="auto"/>
        </w:rPr>
        <w:t>. The Shares shall have been listed and admitted and authorized for trading on the Trading Market, and satisfactory evidence of such actions shall have been provided to the Manager.</w:t>
      </w:r>
    </w:p>
    <w:p>
      <w:pPr>
        <w:spacing w:after="0" w:line="170" w:lineRule="exact"/>
        <w:rPr>
          <w:rFonts w:ascii="Arial" w:cs="Arial" w:eastAsia="Arial" w:hAnsi="Arial"/>
          <w:sz w:val="18"/>
          <w:szCs w:val="18"/>
          <w:color w:val="auto"/>
        </w:rPr>
      </w:pPr>
    </w:p>
    <w:p>
      <w:pPr>
        <w:ind w:left="660" w:firstLine="644"/>
        <w:spacing w:after="0" w:line="277" w:lineRule="auto"/>
        <w:tabs>
          <w:tab w:leader="none" w:pos="155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Other Assurances</w:t>
      </w:r>
      <w:r>
        <w:rPr>
          <w:rFonts w:ascii="Arial" w:cs="Arial" w:eastAsia="Arial" w:hAnsi="Arial"/>
          <w:sz w:val="18"/>
          <w:szCs w:val="18"/>
          <w:color w:val="auto"/>
        </w:rPr>
        <w:t>. Prior to each Settlement Date and Time of Delivery, as applicable, the Company shall have furnished to the Manager such further information, certificates and documents as the Manager may reasonably request.</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Manager and counsel for the Manager, this Agreement and all obligations of the Manager hereunder may be canceled at, or at any time prior to, any Settlement Date or Time of Delivery, as applicable, by the Manager. Notice of such cancellation shall be given to the Company in writing or by telephone or facsimile confirmed in writing.</w:t>
      </w:r>
    </w:p>
    <w:p>
      <w:pPr>
        <w:spacing w:after="0" w:line="18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documents required to be delivered by this Section 6 shall be delivered to the office of Ellenoff Grossman &amp; Schole LLP, counsel for the Manager, at 1345 Avenue of the Americas, New York, New York 10105, email: capmkts@egsllp.com on each such date as provided in this Agreement.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8" w:name="page39"/>
    <w:bookmarkEnd w:id="38"/>
    <w:p>
      <w:pPr>
        <w:ind w:left="184" w:hanging="184"/>
        <w:spacing w:after="0"/>
        <w:tabs>
          <w:tab w:leader="none" w:pos="184"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86" w:lineRule="auto"/>
        <w:tabs>
          <w:tab w:leader="none" w:pos="896"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Indemnification by Company</w:t>
      </w:r>
      <w:r>
        <w:rPr>
          <w:rFonts w:ascii="Arial" w:cs="Arial" w:eastAsia="Arial" w:hAnsi="Arial"/>
          <w:sz w:val="16"/>
          <w:szCs w:val="16"/>
          <w:color w:val="auto"/>
        </w:rPr>
        <w:t xml:space="preserve">. The Company agrees to indemnify and hold harmless the Manager, the directors, officers, employees and agents of the Manager and each person who controls the Manager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Shares as originally filed or in any amendment thereof, or in the Base Prospectus, any Prospectus Supplement, the Prospectus, any Issuer Free Writing Prospectus, or in any amendment thereof or supplement thereto, or arise out of or are based upon the omission or alleged omission to state therein a material fact required to be stated therein or necessary to make the statements therein not misleading or result from or relate to any breach of any of the representations, warranties, covenants or agreements made by the Company in this Agreement, and agrees to reimburse each such indemnified party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the Manager specifically for inclusion therein. This indemnity agreement will be in addition to any liability that the Company may otherwise have.</w:t>
      </w:r>
    </w:p>
    <w:p>
      <w:pPr>
        <w:spacing w:after="0" w:line="170" w:lineRule="exact"/>
        <w:rPr>
          <w:rFonts w:ascii="Arial" w:cs="Arial" w:eastAsia="Arial" w:hAnsi="Arial"/>
          <w:sz w:val="16"/>
          <w:szCs w:val="16"/>
          <w:color w:val="auto"/>
        </w:rPr>
      </w:pPr>
    </w:p>
    <w:p>
      <w:pPr>
        <w:jc w:val="both"/>
        <w:ind w:left="4" w:firstLine="644"/>
        <w:spacing w:after="0" w:line="293" w:lineRule="auto"/>
        <w:tabs>
          <w:tab w:leader="none" w:pos="920"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Indemnification by Manager</w:t>
      </w:r>
      <w:r>
        <w:rPr>
          <w:rFonts w:ascii="Arial" w:cs="Arial" w:eastAsia="Arial" w:hAnsi="Arial"/>
          <w:sz w:val="16"/>
          <w:szCs w:val="16"/>
          <w:color w:val="auto"/>
        </w:rPr>
        <w:t xml:space="preserve">. The Manager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the Manager, but only with reference to written information relating to the Manager furnished to the Company by the Manager specifically for inclusion in the documents referred to in the foregoing indemnity;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 be responsible for any amount in excess of the Broker Fee applicable to the Shares and paid hereunder. This indemnity agreement will be in addition to any liability which the Manager may otherwise have.</w:t>
      </w:r>
    </w:p>
    <w:p>
      <w:pPr>
        <w:spacing w:after="0" w:line="16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39" w:name="page40"/>
    <w:bookmarkEnd w:id="39"/>
    <w:p>
      <w:pPr>
        <w:jc w:val="both"/>
        <w:ind w:left="-460" w:firstLine="644"/>
        <w:spacing w:after="0" w:line="284" w:lineRule="auto"/>
        <w:tabs>
          <w:tab w:leader="none" w:pos="446"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Indemnification Procedures</w:t>
      </w:r>
      <w:r>
        <w:rPr>
          <w:rFonts w:ascii="Arial" w:cs="Arial" w:eastAsia="Arial" w:hAnsi="Arial"/>
          <w:sz w:val="16"/>
          <w:szCs w:val="16"/>
          <w:color w:val="auto"/>
        </w:rPr>
        <w:t xml:space="preserve">. Promptly after receipt by an indemnified party under this Section 7 of notice of the commencement of any action, such indemnified party will, if a claim in respect thereof is to be made against the indemnifying party under this Section 7,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retained by the indemnified party or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after discussion with counsel,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w:t>
      </w:r>
    </w:p>
    <w:p>
      <w:pPr>
        <w:spacing w:after="0" w:line="178" w:lineRule="exact"/>
        <w:rPr>
          <w:rFonts w:ascii="Arial" w:cs="Arial" w:eastAsia="Arial" w:hAnsi="Arial"/>
          <w:sz w:val="16"/>
          <w:szCs w:val="16"/>
          <w:color w:val="auto"/>
        </w:rPr>
      </w:pPr>
    </w:p>
    <w:p>
      <w:pPr>
        <w:jc w:val="both"/>
        <w:ind w:left="-460" w:firstLine="644"/>
        <w:spacing w:after="0" w:line="284" w:lineRule="auto"/>
        <w:tabs>
          <w:tab w:leader="none" w:pos="44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In the event that the indemnity provided in paragraph (a), (b) or (c) of this Section 7 is unavailable to or insufficient to hold harmless an indemnified party for any reason, the Company and the Manager agree to contribute to the aggregate losses, claims, damages and liabilities (including legal or other expenses reasonably incurred in connection with investigating or defending the same) (collectively “</w:t>
      </w:r>
      <w:r>
        <w:rPr>
          <w:rFonts w:ascii="Arial" w:cs="Arial" w:eastAsia="Arial" w:hAnsi="Arial"/>
          <w:sz w:val="16"/>
          <w:szCs w:val="16"/>
          <w:u w:val="single" w:color="auto"/>
          <w:color w:val="auto"/>
        </w:rPr>
        <w:t>Losses</w:t>
      </w:r>
      <w:r>
        <w:rPr>
          <w:rFonts w:ascii="Arial" w:cs="Arial" w:eastAsia="Arial" w:hAnsi="Arial"/>
          <w:sz w:val="16"/>
          <w:szCs w:val="16"/>
          <w:color w:val="auto"/>
        </w:rPr>
        <w:t xml:space="preserve">”) to which the Company and the Manager may be subject in such proportion as is appropriate to reflect the relative benefits received by the Company on the one hand and by the Manager on the other from the offering of the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the Manager be responsible for any amount in excess of the Broker Fee applicable to the Shares and paid hereunder. If the allocation provided by the immediately preceding sentence is unavailable for any reason, the Company and the Manager severally shall contribute in such proportion as is appropriate to reflect not only such relative benefits but also the relative fault of the Company on the one hand and of the Manager on the other in connection with the statements or omissions which resulted in such Losses as well as any other relevant equitable considerations. Benefits received by the Company shall be deemed to be equal to the total net proceeds from the offering (before deducting expenses) received by it, and benefits received by the Manager shall be deemed to be equal to the Broker Fee applicable to the Shares and paid hereunder as determined by this Agreement. Relative fault shall be determined by reference to, among other things, whether any untrue or any alleged untrue statement of a material fact or the omission or alleged omission to state a material fact relates to information provided by the Company on the one hand or the Manager on the other, the intent of the parties and their relative knowledge, access to information and opportunity to correct or prevent such untrue statement or omission. The Company and the Manager agree that it would not be just and equitable if contribution were determined by pro rata allocation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7, each person who controls the Manager within the meaning of either the Act or the Exchange Act and each director, officer, employee and agent of the Manager shall have the same rights to contribution as the Manager,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17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40" w:name="page41"/>
    <w:bookmarkEnd w:id="40"/>
    <w:p>
      <w:pPr>
        <w:ind w:left="184" w:hanging="184"/>
        <w:spacing w:after="0"/>
        <w:tabs>
          <w:tab w:leader="none" w:pos="184"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4"/>
        <w:spacing w:after="0" w:line="296" w:lineRule="auto"/>
        <w:tabs>
          <w:tab w:leader="none" w:pos="899" w:val="left"/>
        </w:tabs>
        <w:numPr>
          <w:ilvl w:val="1"/>
          <w:numId w:val="45"/>
        </w:numPr>
        <w:rPr>
          <w:rFonts w:ascii="Arial" w:cs="Arial" w:eastAsia="Arial" w:hAnsi="Arial"/>
          <w:sz w:val="16"/>
          <w:szCs w:val="16"/>
          <w:color w:val="auto"/>
        </w:rPr>
      </w:pPr>
      <w:r>
        <w:rPr>
          <w:rFonts w:ascii="Arial" w:cs="Arial" w:eastAsia="Arial" w:hAnsi="Arial"/>
          <w:sz w:val="16"/>
          <w:szCs w:val="16"/>
          <w:color w:val="auto"/>
        </w:rPr>
        <w:t>The Company shall have the right, by giving written notice as hereinafter specified, to terminate this Agreement in its sole discretion at any time upon one (1) Business Day’s prior written notice. Any such termination shall be without liability of any party to any other party except that (i) with respect to any pending sale, through the Manager for the Company, the obligations of the Company, including in respect of compensation of the Manager, shall remain in full force and effect notwithstanding the termination and (ii) the provisions of Sections 5, 7, 8, 9, 10, 12, the second sentence of 13 and 14 of this Agreement shall remain in full force and effect notwithstanding such termination.</w:t>
      </w:r>
    </w:p>
    <w:p>
      <w:pPr>
        <w:spacing w:after="0" w:line="161" w:lineRule="exact"/>
        <w:rPr>
          <w:rFonts w:ascii="Arial" w:cs="Arial" w:eastAsia="Arial" w:hAnsi="Arial"/>
          <w:sz w:val="16"/>
          <w:szCs w:val="16"/>
          <w:color w:val="auto"/>
        </w:rPr>
      </w:pPr>
    </w:p>
    <w:p>
      <w:pPr>
        <w:jc w:val="both"/>
        <w:ind w:left="4" w:firstLine="644"/>
        <w:spacing w:after="0" w:line="286" w:lineRule="auto"/>
        <w:tabs>
          <w:tab w:leader="none" w:pos="904"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The Manager shall have the right, by giving written notice as hereinafter specified, to terminate this Agreement in its sole discretion at any time. Any such termination shall be without liability of any party to any other party except that the provisions of Sections 5, 7, 8, 9, 10, 12, the second sentence of 13 and 14 of this Agreement shall remain in full force and effect notwithstanding such termination.</w:t>
      </w:r>
    </w:p>
    <w:p>
      <w:pPr>
        <w:spacing w:after="0" w:line="165" w:lineRule="exact"/>
        <w:rPr>
          <w:rFonts w:ascii="Arial" w:cs="Arial" w:eastAsia="Arial" w:hAnsi="Arial"/>
          <w:sz w:val="17"/>
          <w:szCs w:val="17"/>
          <w:color w:val="auto"/>
        </w:rPr>
      </w:pPr>
    </w:p>
    <w:p>
      <w:pPr>
        <w:jc w:val="both"/>
        <w:ind w:left="4" w:firstLine="644"/>
        <w:spacing w:after="0" w:line="263" w:lineRule="auto"/>
        <w:tabs>
          <w:tab w:leader="none" w:pos="899"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This Agreement shall remain in full force and effect until such date that this Agreement is terminated pursuant to Sections 8(a) or (b) above or otherwise by mutual agreement of the parties, provided that any such termination by mutual agreement shall in all cases be deemed to provide that Sections 5, 7, 8, 9, 10, 12, the second sentence of 13 and 14 shall remain in full force and effect.</w:t>
      </w:r>
    </w:p>
    <w:p>
      <w:pPr>
        <w:spacing w:after="0" w:line="1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41" w:name="page42"/>
    <w:bookmarkEnd w:id="41"/>
    <w:p>
      <w:pPr>
        <w:jc w:val="both"/>
        <w:ind w:left="640" w:firstLine="644"/>
        <w:spacing w:after="0" w:line="259" w:lineRule="auto"/>
        <w:tabs>
          <w:tab w:leader="none" w:pos="15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termination of this Agreement shall be effective on the date specified in such notice of termination, provided that such termination shall not be effective until the close of business on the date of receipt of such notice by the Manager or the Company, as the case may be. If such termination shall occur prior to the Settlement Date or Time of Delivery for any sale of the Shares, such sale of the Shares shall settle in accordance with the provisions of Section 2(b) of this Agreement.</w:t>
      </w:r>
    </w:p>
    <w:p>
      <w:pPr>
        <w:spacing w:after="0" w:line="186" w:lineRule="exact"/>
        <w:rPr>
          <w:rFonts w:ascii="Arial" w:cs="Arial" w:eastAsia="Arial" w:hAnsi="Arial"/>
          <w:sz w:val="18"/>
          <w:szCs w:val="18"/>
          <w:color w:val="auto"/>
        </w:rPr>
      </w:pPr>
    </w:p>
    <w:p>
      <w:pPr>
        <w:jc w:val="both"/>
        <w:ind w:left="640" w:firstLine="644"/>
        <w:spacing w:after="0" w:line="289" w:lineRule="auto"/>
        <w:tabs>
          <w:tab w:leader="none" w:pos="1533" w:val="left"/>
        </w:tabs>
        <w:numPr>
          <w:ilvl w:val="1"/>
          <w:numId w:val="46"/>
        </w:numPr>
        <w:rPr>
          <w:rFonts w:ascii="Arial" w:cs="Arial" w:eastAsia="Arial" w:hAnsi="Arial"/>
          <w:sz w:val="16"/>
          <w:szCs w:val="16"/>
          <w:color w:val="auto"/>
        </w:rPr>
      </w:pPr>
      <w:r>
        <w:rPr>
          <w:rFonts w:ascii="Arial" w:cs="Arial" w:eastAsia="Arial" w:hAnsi="Arial"/>
          <w:sz w:val="16"/>
          <w:szCs w:val="16"/>
          <w:color w:val="auto"/>
        </w:rPr>
        <w:t>In the case of any purchase of Shares by the Manager pursuant to a Terms Agreement, the obligations of the Manager pursuant to such Terms Agreement shall be subject to termination, in the absolute discretion of the Manager, by prompt oral notice given to the Company prior to the Time of Delivery relating to such Shares, if any, and confirmed promptly by electronic mail, if since the time of execution of the Terms Agreement and prior to such delivery and payment, (i) trading in the Common Stock shall have been suspended by the Commission or the Trading Market or trading in securities generally on the Trading Market shall have been suspended or limited or minimum prices shall have been established on such exchange,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the Manager, impractical or inadvisable to proceed with the offering or delivery of the Shares as contemplated by the Prospectus (exclusive of any amendment or supplement thereto).</w:t>
      </w:r>
    </w:p>
    <w:p>
      <w:pPr>
        <w:spacing w:after="0" w:line="166" w:lineRule="exact"/>
        <w:rPr>
          <w:rFonts w:ascii="Arial" w:cs="Arial" w:eastAsia="Arial" w:hAnsi="Arial"/>
          <w:sz w:val="16"/>
          <w:szCs w:val="16"/>
          <w:color w:val="auto"/>
        </w:rPr>
      </w:pPr>
    </w:p>
    <w:p>
      <w:pPr>
        <w:jc w:val="both"/>
        <w:ind w:left="-20" w:firstLine="656"/>
        <w:spacing w:after="0" w:line="259" w:lineRule="auto"/>
        <w:tabs>
          <w:tab w:leader="none" w:pos="821"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Manager set forth in or made pursuant to this Agreement will remain in full force and effect, regardless of any investigation made by the Manager or the Company or any of the officers, directors, employees, agents or controlling persons referred to in Section 7, and will survive delivery of and payment for the Shares.</w:t>
      </w:r>
    </w:p>
    <w:p>
      <w:pPr>
        <w:spacing w:after="0" w:line="186" w:lineRule="exact"/>
        <w:rPr>
          <w:rFonts w:ascii="Arial" w:cs="Arial" w:eastAsia="Arial" w:hAnsi="Arial"/>
          <w:sz w:val="18"/>
          <w:szCs w:val="18"/>
          <w:color w:val="auto"/>
        </w:rPr>
      </w:pPr>
    </w:p>
    <w:p>
      <w:pPr>
        <w:ind w:left="-20" w:firstLine="656"/>
        <w:spacing w:after="0" w:line="277" w:lineRule="auto"/>
        <w:tabs>
          <w:tab w:leader="none" w:pos="898"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will be mailed, delivered, e-mailed or facsimiled to the addresses of the Company and the Manager, respectively, set forth on the signature page hereto.</w:t>
      </w:r>
    </w:p>
    <w:p>
      <w:pPr>
        <w:spacing w:after="0" w:line="170" w:lineRule="exact"/>
        <w:rPr>
          <w:rFonts w:ascii="Arial" w:cs="Arial" w:eastAsia="Arial" w:hAnsi="Arial"/>
          <w:sz w:val="18"/>
          <w:szCs w:val="18"/>
          <w:color w:val="auto"/>
        </w:rPr>
      </w:pPr>
    </w:p>
    <w:p>
      <w:pPr>
        <w:ind w:left="-20" w:firstLine="656"/>
        <w:spacing w:after="0" w:line="342" w:lineRule="auto"/>
        <w:tabs>
          <w:tab w:leader="none" w:pos="891"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This Agreement will inure to the benefit of and be binding upon the parties hereto and their respective successors and the officers, directors, employees, agents and controlling persons referred to in Section 7, and no other person will have any right or obligation hereunder.</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665" w:right="339" w:bottom="1440" w:gutter="0" w:footer="0" w:header="0"/>
        </w:sectPr>
      </w:pPr>
    </w:p>
    <w:bookmarkStart w:id="42" w:name="page43"/>
    <w:bookmarkEnd w:id="42"/>
    <w:p>
      <w:pPr>
        <w:jc w:val="both"/>
        <w:ind w:firstLine="656"/>
        <w:spacing w:after="0" w:line="271" w:lineRule="auto"/>
        <w:tabs>
          <w:tab w:leader="none" w:pos="91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hereby acknowledges that (a) the purchase and sale of the Shares pursuant to this Agreement is an arm’s-length commercial transaction between the Company, on the one hand, and the Manager and any affiliate through which it may be acting, on the other, (b) the Manager is acting solely as sales agent and/or principal in connection with the purchase and sale of the Company’s securities and not as a fiduciary of the Company and (c) the Company’s engagement of the Manager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the Manager has advised or is currently advising the Company on related or other matters). The Company agrees that it will not claim that the Manager has rendered advisory services of any nature or respect, or owe an agency, fiduciary or similar duty to the Company, in connection with such transaction or the process leading thereto.</w:t>
      </w:r>
    </w:p>
    <w:p>
      <w:pPr>
        <w:spacing w:after="0" w:line="178" w:lineRule="exact"/>
        <w:rPr>
          <w:rFonts w:ascii="Arial" w:cs="Arial" w:eastAsia="Arial" w:hAnsi="Arial"/>
          <w:sz w:val="17"/>
          <w:szCs w:val="17"/>
          <w:color w:val="auto"/>
        </w:rPr>
      </w:pPr>
    </w:p>
    <w:p>
      <w:pPr>
        <w:jc w:val="both"/>
        <w:ind w:firstLine="656"/>
        <w:spacing w:after="0" w:line="293" w:lineRule="auto"/>
        <w:tabs>
          <w:tab w:leader="none" w:pos="918"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and any Terms Agreement supersede all prior agreements and understandings (whether written or oral) between the Company and the Manager with respect to the subject matter hereof. Notwithstanding anything herein to the contrary, this Agreement shall not supersede the letter agreement, dated December 24, 2019, by and between the Company and the Manager, which shall, to the extent it remains effective in accordance with the terms thereof, continue to survive and be enforceable by the Manager in accordance with its terms, provided that, in the event of a conflict between the terms of the letter agreement and this Agreement, the terms of this Agreement shall prevail, provided, further, that the parties hereto expressly acknowledge and agree that no sale pursuant to this Agreement shall extend the term of exclusivity of the Manager under the letter agreement.</w:t>
      </w:r>
    </w:p>
    <w:p>
      <w:pPr>
        <w:spacing w:after="0" w:line="164" w:lineRule="exact"/>
        <w:rPr>
          <w:rFonts w:ascii="Arial" w:cs="Arial" w:eastAsia="Arial" w:hAnsi="Arial"/>
          <w:sz w:val="16"/>
          <w:szCs w:val="16"/>
          <w:color w:val="auto"/>
        </w:rPr>
      </w:pPr>
    </w:p>
    <w:p>
      <w:pPr>
        <w:jc w:val="both"/>
        <w:ind w:firstLine="656"/>
        <w:spacing w:after="0" w:line="257"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Amendments; Waivers</w:t>
      </w:r>
      <w:r>
        <w:rPr>
          <w:rFonts w:ascii="Arial" w:cs="Arial" w:eastAsia="Arial" w:hAnsi="Arial"/>
          <w:sz w:val="18"/>
          <w:szCs w:val="18"/>
          <w:color w:val="auto"/>
        </w:rPr>
        <w:t>. No provision of this Agreement may be waived, modified, supplemented or amended except in a written instrument signed, in the case of an amendment, by the Company and the Manager.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87" w:lineRule="exact"/>
        <w:rPr>
          <w:rFonts w:ascii="Arial" w:cs="Arial" w:eastAsia="Arial" w:hAnsi="Arial"/>
          <w:sz w:val="18"/>
          <w:szCs w:val="18"/>
          <w:color w:val="auto"/>
        </w:rPr>
      </w:pPr>
    </w:p>
    <w:p>
      <w:pPr>
        <w:jc w:val="both"/>
        <w:ind w:firstLine="656"/>
        <w:spacing w:after="0" w:line="286" w:lineRule="auto"/>
        <w:tabs>
          <w:tab w:leader="none" w:pos="931"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This Agreement and any Terms Agreement will be governed by and construed in accordance with the laws of the State of New York applicable to contracts made and to be performed within the State of New York. Each of the Company and the Manager: (i) agrees that any legal suit, action or proceeding arising out of or relating to this Agreement shall be instituted exclusively in New York Supreme Court, County of New York, or in the United States District Court for the Southern District of New York, (ii) waives any objection which it may have or hereafter to the venue of any such suit, action or proceeding, and (iii) irrevocably consents to the jurisdiction of the New York Supreme Court, County of New York, and the United States District Court for the Southern District of New York in any such suit, action or proceeding. Each of the Company and the Manager further agrees to accept and acknowledge service of any and all process which may be served in any such suit, action or proceeding in the New York Supreme Court, County of New York, or in the United States District Court for the Southern District of New York and agrees that service of process upon the Company mailed by certified mail to the Company’s address shall be deemed in every respect effective service of process upon the Company, in any such suit, action or proceeding, and service of process upon the Manager mailed by certified mail to the Manager’s address shall be deemed in every respect effective service process upon the Manager, in any such suit, action or proceeding. If either party shall commence an action or proceeding to enforce any provision of this Agreement, then the prevailing party in such action or proceeding shall be reimbursed by the other party for its reasonable attorney’s fees and other costs and expenses incurred with the investigation, preparation and prosecution of such action or proceeding.</w:t>
      </w:r>
    </w:p>
    <w:p>
      <w:pPr>
        <w:spacing w:after="0" w:line="169" w:lineRule="exact"/>
        <w:rPr>
          <w:rFonts w:ascii="Arial" w:cs="Arial" w:eastAsia="Arial" w:hAnsi="Arial"/>
          <w:sz w:val="16"/>
          <w:szCs w:val="16"/>
          <w:color w:val="auto"/>
        </w:rPr>
      </w:pPr>
    </w:p>
    <w:p>
      <w:pPr>
        <w:jc w:val="both"/>
        <w:ind w:right="20" w:firstLine="656"/>
        <w:spacing w:after="0" w:line="266" w:lineRule="auto"/>
        <w:tabs>
          <w:tab w:leader="none" w:pos="931"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COMPANY HEREBY IRREVOCABLY WAIVES, TO THE FULLEST EXTENT PERMITTED BY APPLICABLE LAW, ANY AND ALL RIGHT TO TRIAL BY JURY IN ANY LEGAL PROCEEDING ARISING OUT OF OR RELATING TO THIS AGREEMENT, ANY TERMS AGREEMENT OR THE TRANSACTIONS CONTEMPLATED HEREBY OR THEREBY.</w:t>
      </w:r>
    </w:p>
    <w:p>
      <w:pPr>
        <w:spacing w:after="0" w:line="179" w:lineRule="exact"/>
        <w:rPr>
          <w:rFonts w:ascii="Arial" w:cs="Arial" w:eastAsia="Arial" w:hAnsi="Arial"/>
          <w:sz w:val="18"/>
          <w:szCs w:val="18"/>
          <w:b w:val="1"/>
          <w:bCs w:val="1"/>
          <w:color w:val="auto"/>
        </w:rPr>
      </w:pPr>
    </w:p>
    <w:p>
      <w:pPr>
        <w:ind w:firstLine="656"/>
        <w:spacing w:after="0" w:line="308" w:lineRule="auto"/>
        <w:tabs>
          <w:tab w:leader="none" w:pos="918"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and any Terms Agreement may be signed in one or more counterparts, each of which shall constitute an original and all of which together shall constitute one and the same agreement, which may be delivered by facsimile or in .pdf file via e-mail.</w:t>
      </w:r>
    </w:p>
    <w:p>
      <w:pPr>
        <w:spacing w:after="0" w:line="146" w:lineRule="exact"/>
        <w:rPr>
          <w:rFonts w:ascii="Arial" w:cs="Arial" w:eastAsia="Arial" w:hAnsi="Arial"/>
          <w:sz w:val="17"/>
          <w:szCs w:val="17"/>
          <w:color w:val="auto"/>
        </w:rPr>
      </w:pPr>
    </w:p>
    <w:p>
      <w:pPr>
        <w:ind w:right="20" w:firstLine="656"/>
        <w:spacing w:after="0" w:line="277" w:lineRule="auto"/>
        <w:tabs>
          <w:tab w:leader="none" w:pos="958"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in this Agreement and any Terms Agreement are for convenience only and shall not affect the construction hereof.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please sign and return to us the enclosed duplicate hereof, whereupon this letter and your acceptance shall represent a binding agreement among the Company and the Manager.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Harel Gadot</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Massachusetts 02043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Harel Gadot, President, CEO and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harel@microbotmedical.com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elaina@microbotmedical.com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Agreement is hereby confirmed and accepted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Edward D. Silvera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Edward D. Silvera</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Operating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Address for Notice</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430 Park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notices@hcwco.com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center"/>
        <w:ind w:right="640"/>
        <w:spacing w:after="0"/>
        <w:rPr>
          <w:sz w:val="20"/>
          <w:szCs w:val="20"/>
          <w:color w:val="auto"/>
        </w:rPr>
      </w:pPr>
      <w:r>
        <w:rPr>
          <w:rFonts w:ascii="Arial" w:cs="Arial" w:eastAsia="Arial" w:hAnsi="Arial"/>
          <w:sz w:val="18"/>
          <w:szCs w:val="18"/>
          <w:b w:val="1"/>
          <w:bCs w:val="1"/>
          <w:color w:val="auto"/>
        </w:rPr>
        <w:t>Form of Terms Agreement</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ANNEX I</w:t>
      </w:r>
    </w:p>
    <w:p>
      <w:pPr>
        <w:spacing w:after="0" w:line="9" w:lineRule="exact"/>
        <w:rPr>
          <w:sz w:val="20"/>
          <w:szCs w:val="20"/>
          <w:color w:val="auto"/>
        </w:rPr>
      </w:pPr>
    </w:p>
    <w:p>
      <w:pPr>
        <w:jc w:val="center"/>
        <w:ind w:right="660"/>
        <w:spacing w:after="0"/>
        <w:rPr>
          <w:sz w:val="20"/>
          <w:szCs w:val="20"/>
          <w:color w:val="auto"/>
        </w:rPr>
      </w:pPr>
      <w:r>
        <w:rPr>
          <w:rFonts w:ascii="Arial" w:cs="Arial" w:eastAsia="Arial" w:hAnsi="Arial"/>
          <w:sz w:val="18"/>
          <w:szCs w:val="18"/>
          <w:b w:val="1"/>
          <w:bCs w:val="1"/>
          <w:color w:val="auto"/>
        </w:rPr>
        <w:t>MICROBOT MEDICAL INC.</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TERMS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Microbot Medical Inc. (the “</w:t>
      </w:r>
      <w:r>
        <w:rPr>
          <w:rFonts w:ascii="Arial" w:cs="Arial" w:eastAsia="Arial" w:hAnsi="Arial"/>
          <w:sz w:val="18"/>
          <w:szCs w:val="18"/>
          <w:u w:val="single" w:color="auto"/>
          <w:color w:val="auto"/>
        </w:rPr>
        <w:t>Company</w:t>
      </w:r>
      <w:r>
        <w:rPr>
          <w:rFonts w:ascii="Arial" w:cs="Arial" w:eastAsia="Arial" w:hAnsi="Arial"/>
          <w:sz w:val="18"/>
          <w:szCs w:val="18"/>
          <w:color w:val="auto"/>
        </w:rPr>
        <w:t>”) proposes, subject to the terms and conditions stated herein and in the At The Market Offering Agreement, dated June 10, 2021 (the “</w:t>
      </w:r>
      <w:r>
        <w:rPr>
          <w:rFonts w:ascii="Arial" w:cs="Arial" w:eastAsia="Arial" w:hAnsi="Arial"/>
          <w:sz w:val="18"/>
          <w:szCs w:val="18"/>
          <w:u w:val="single" w:color="auto"/>
          <w:color w:val="auto"/>
        </w:rPr>
        <w:t>At The Market Offering Agreement</w:t>
      </w:r>
      <w:r>
        <w:rPr>
          <w:rFonts w:ascii="Arial" w:cs="Arial" w:eastAsia="Arial" w:hAnsi="Arial"/>
          <w:sz w:val="18"/>
          <w:szCs w:val="18"/>
          <w:color w:val="auto"/>
        </w:rPr>
        <w:t>”), between the Company and H.C. Wainwright &amp; Co., LLC (“</w:t>
      </w:r>
      <w:r>
        <w:rPr>
          <w:rFonts w:ascii="Arial" w:cs="Arial" w:eastAsia="Arial" w:hAnsi="Arial"/>
          <w:sz w:val="18"/>
          <w:szCs w:val="18"/>
          <w:u w:val="single" w:color="auto"/>
          <w:color w:val="auto"/>
        </w:rPr>
        <w:t>Manager</w:t>
      </w:r>
      <w:r>
        <w:rPr>
          <w:rFonts w:ascii="Arial" w:cs="Arial" w:eastAsia="Arial" w:hAnsi="Arial"/>
          <w:sz w:val="18"/>
          <w:szCs w:val="18"/>
          <w:color w:val="auto"/>
        </w:rPr>
        <w:t xml:space="preserve">”), to issue and sell to Manager the securities specified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Purchased Shares</w:t>
      </w:r>
      <w:r>
        <w:rPr>
          <w:rFonts w:ascii="Arial" w:cs="Arial" w:eastAsia="Arial" w:hAnsi="Arial"/>
          <w:sz w:val="18"/>
          <w:szCs w:val="18"/>
          <w:color w:val="auto"/>
        </w:rPr>
        <w: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Each of the provisions of the At The Market Offering Agreement not specifically related to the solicitation by the Manager, as agent of the Company, of offers to purchase 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the Time of Delivery, except that each representation and warranty in Section 3 of the At The Market Offering Agreement which makes reference to the Prospectus (as therein defined) shall be deemed to be a representation and warranty as of the date of the At The Market Offering Agreement in relation to the Prospectus, and also a representation and warranty as of the date of this Terms Agreement and the Time of Delivery in relation to the Prospectus as amended and supplemented to relate to the Purchased Shares.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 amendment to the Registration Statement (as defined in the At The Market Offering Agreement), or a supplement to the Prospectus, as the case may be, relating to the Purchased Shares, in the form heretofore delivered to the Manager is now proposed to be filed with the Securities and Exchange Commission.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Subject to the terms and conditions set forth herein and in the At The Market Offering Agreement which are incorporated herein by reference, the Company agrees to issue and sell to the Manager and the latter agrees to purchase from the Company the number of shares of the Purchased Shares at the time and place and at the purchase price set forth in the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4"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661" w:right="339" w:bottom="1440" w:gutter="0" w:footer="0" w:header="0"/>
        </w:sectPr>
      </w:pPr>
    </w:p>
    <w:bookmarkStart w:id="45" w:name="page46"/>
    <w:bookmarkEnd w:id="45"/>
    <w:p>
      <w:pPr>
        <w:jc w:val="both"/>
        <w:ind w:firstLine="648"/>
        <w:spacing w:after="0" w:line="263" w:lineRule="auto"/>
        <w:rPr>
          <w:sz w:val="20"/>
          <w:szCs w:val="20"/>
          <w:color w:val="auto"/>
        </w:rPr>
      </w:pPr>
      <w:r>
        <w:rPr>
          <w:rFonts w:ascii="Arial" w:cs="Arial" w:eastAsia="Arial" w:hAnsi="Arial"/>
          <w:sz w:val="18"/>
          <w:szCs w:val="18"/>
          <w:color w:val="auto"/>
        </w:rPr>
        <w:t>If the foregoing is in accordance with your understanding, please sign and return to us a counterpart hereof, whereupon this Terms Agreement, including those provisions of the At The Market Offering Agreement incorporated herein by reference, shall constitute a binding agreement between the Manager and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ACCEPTED as of the date first written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H.C. WAINWRIGHT &amp; CO.,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32061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6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1)"/>
      <w:numFmt w:val="lowerLetter"/>
      <w:start w:val="4"/>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2"/>
    </w:lvl>
    <w:lvl w:ilvl="1">
      <w:lvlJc w:val="left"/>
      <w:lvlText w:val="(%2)"/>
      <w:numFmt w:val="lowerLetter"/>
      <w:start w:val="1"/>
    </w:lvl>
  </w:abstractNum>
  <w:abstractNum w:abstractNumId="4">
    <w:nsid w:val="189A769B"/>
    <w:multiLevelType w:val="hybridMultilevel"/>
    <w:lvl w:ilvl="0">
      <w:lvlJc w:val="left"/>
      <w:lvlText w:val="(%1)"/>
      <w:numFmt w:val="lowerLetter"/>
      <w:start w:val="2"/>
    </w:lvl>
    <w:lvl w:ilvl="1">
      <w:lvlJc w:val="left"/>
      <w:lvlText w:val="(%2)"/>
      <w:numFmt w:val="lowerRoman"/>
      <w:start w:val="1"/>
    </w:lvl>
  </w:abstractNum>
  <w:abstractNum w:abstractNumId="5">
    <w:nsid w:val="54E49EB4"/>
    <w:multiLevelType w:val="hybridMultilevel"/>
    <w:lvl w:ilvl="0">
      <w:lvlJc w:val="left"/>
      <w:lvlText w:val="(%1)"/>
      <w:numFmt w:val="lowerRoman"/>
      <w:start w:val="4"/>
    </w:lvl>
  </w:abstractNum>
  <w:abstractNum w:abstractNumId="6">
    <w:nsid w:val="71F32454"/>
    <w:multiLevelType w:val="hybridMultilevel"/>
    <w:lvl w:ilvl="0">
      <w:lvlJc w:val="left"/>
      <w:lvlText w:val="(%1)"/>
      <w:numFmt w:val="lowerRoman"/>
      <w:start w:val="7"/>
    </w:lvl>
  </w:abstractNum>
  <w:abstractNum w:abstractNumId="7">
    <w:nsid w:val="2CA88611"/>
    <w:multiLevelType w:val="hybridMultilevel"/>
    <w:lvl w:ilvl="0">
      <w:lvlJc w:val="left"/>
      <w:lvlText w:val="(%1)"/>
      <w:numFmt w:val="lowerLetter"/>
      <w:start w:val="3"/>
    </w:lvl>
  </w:abstractNum>
  <w:abstractNum w:abstractNumId="8">
    <w:nsid w:val="836C40E"/>
    <w:multiLevelType w:val="hybridMultilevel"/>
    <w:lvl w:ilvl="0">
      <w:lvlJc w:val="left"/>
      <w:lvlText w:val="%1"/>
      <w:numFmt w:val="decimal"/>
      <w:start w:val="1"/>
    </w:lvl>
    <w:lvl w:ilvl="1">
      <w:lvlJc w:val="left"/>
      <w:lvlText w:val="(%2)"/>
      <w:numFmt w:val="lowerLetter"/>
      <w:start w:val="5"/>
    </w:lvl>
  </w:abstractNum>
  <w:abstractNum w:abstractNumId="9">
    <w:nsid w:val="2901D82"/>
    <w:multiLevelType w:val="hybridMultilevel"/>
    <w:lvl w:ilvl="0">
      <w:lvlJc w:val="left"/>
      <w:lvlText w:val="%1."/>
      <w:numFmt w:val="decimal"/>
      <w:start w:val="3"/>
    </w:lvl>
    <w:lvl w:ilvl="1">
      <w:lvlJc w:val="left"/>
      <w:lvlText w:val="(%2)"/>
      <w:numFmt w:val="lowerLetter"/>
      <w:start w:val="1"/>
    </w:lvl>
  </w:abstractNum>
  <w:abstractNum w:abstractNumId="10">
    <w:nsid w:val="3A95F874"/>
    <w:multiLevelType w:val="hybridMultilevel"/>
    <w:lvl w:ilvl="0">
      <w:lvlJc w:val="left"/>
      <w:lvlText w:val="(%1)"/>
      <w:numFmt w:val="lowerLetter"/>
      <w:start w:val="3"/>
    </w:lvl>
  </w:abstractNum>
  <w:abstractNum w:abstractNumId="11">
    <w:nsid w:val="8138641"/>
    <w:multiLevelType w:val="hybridMultilevel"/>
    <w:lvl w:ilvl="0">
      <w:lvlJc w:val="left"/>
      <w:lvlText w:val="(%1)"/>
      <w:numFmt w:val="lowerLetter"/>
      <w:start w:val="5"/>
    </w:lvl>
  </w:abstractNum>
  <w:abstractNum w:abstractNumId="12">
    <w:nsid w:val="1E7FF521"/>
    <w:multiLevelType w:val="hybridMultilevel"/>
    <w:lvl w:ilvl="0">
      <w:lvlJc w:val="left"/>
      <w:lvlText w:val="(%1)"/>
      <w:numFmt w:val="lowerLetter"/>
      <w:start w:val="7"/>
    </w:lvl>
  </w:abstractNum>
  <w:abstractNum w:abstractNumId="13">
    <w:nsid w:val="7C3DBD3D"/>
    <w:multiLevelType w:val="hybridMultilevel"/>
    <w:lvl w:ilvl="0">
      <w:lvlJc w:val="left"/>
      <w:lvlText w:val="(%1)"/>
      <w:numFmt w:val="lowerLetter"/>
      <w:start w:val="9"/>
    </w:lvl>
  </w:abstractNum>
  <w:abstractNum w:abstractNumId="14">
    <w:nsid w:val="737B8DDC"/>
    <w:multiLevelType w:val="hybridMultilevel"/>
    <w:lvl w:ilvl="0">
      <w:lvlJc w:val="left"/>
      <w:lvlText w:val="(%1)"/>
      <w:numFmt w:val="lowerLetter"/>
      <w:start w:val="12"/>
    </w:lvl>
  </w:abstractNum>
  <w:abstractNum w:abstractNumId="15">
    <w:nsid w:val="6CEAF087"/>
    <w:multiLevelType w:val="hybridMultilevel"/>
    <w:lvl w:ilvl="0">
      <w:lvlJc w:val="left"/>
      <w:lvlText w:val="(%1)"/>
      <w:numFmt w:val="lowerLetter"/>
      <w:start w:val="15"/>
    </w:lvl>
  </w:abstractNum>
  <w:abstractNum w:abstractNumId="16">
    <w:nsid w:val="22221A70"/>
    <w:multiLevelType w:val="hybridMultilevel"/>
    <w:lvl w:ilvl="0">
      <w:lvlJc w:val="left"/>
      <w:lvlText w:val="(%1)"/>
      <w:numFmt w:val="lowerLetter"/>
      <w:start w:val="17"/>
    </w:lvl>
  </w:abstractNum>
  <w:abstractNum w:abstractNumId="17">
    <w:nsid w:val="4516DDE9"/>
    <w:multiLevelType w:val="hybridMultilevel"/>
    <w:lvl w:ilvl="0">
      <w:lvlJc w:val="left"/>
      <w:lvlText w:val="(%1)"/>
      <w:numFmt w:val="lowerLetter"/>
      <w:start w:val="19"/>
    </w:lvl>
  </w:abstractNum>
  <w:abstractNum w:abstractNumId="18">
    <w:nsid w:val="3006C83E"/>
    <w:multiLevelType w:val="hybridMultilevel"/>
    <w:lvl w:ilvl="0">
      <w:lvlJc w:val="left"/>
      <w:lvlText w:val="(%1)"/>
      <w:numFmt w:val="lowerLetter"/>
      <w:start w:val="23"/>
    </w:lvl>
  </w:abstractNum>
  <w:abstractNum w:abstractNumId="19">
    <w:nsid w:val="614FD4A1"/>
    <w:multiLevelType w:val="hybridMultilevel"/>
    <w:lvl w:ilvl="0">
      <w:lvlJc w:val="left"/>
      <w:lvlText w:val="(%1)"/>
      <w:numFmt w:val="lowerLetter"/>
      <w:start w:val="25"/>
    </w:lvl>
  </w:abstractNum>
  <w:abstractNum w:abstractNumId="20">
    <w:nsid w:val="419AC241"/>
    <w:multiLevelType w:val="hybridMultilevel"/>
    <w:lvl w:ilvl="0">
      <w:lvlJc w:val="left"/>
      <w:lvlText w:val="(%1)"/>
      <w:numFmt w:val="lowerLetter"/>
      <w:start w:val="27"/>
    </w:lvl>
  </w:abstractNum>
  <w:abstractNum w:abstractNumId="21">
    <w:nsid w:val="5577F8E1"/>
    <w:multiLevelType w:val="hybridMultilevel"/>
    <w:lvl w:ilvl="0">
      <w:lvlJc w:val="left"/>
      <w:lvlText w:val="%1"/>
      <w:numFmt w:val="lowerLetter"/>
      <w:start w:val="1"/>
    </w:lvl>
    <w:lvl w:ilvl="1">
      <w:lvlJc w:val="left"/>
      <w:lvlText w:val="(%2)"/>
      <w:numFmt w:val="lowerLetter"/>
      <w:start w:val="29"/>
    </w:lvl>
  </w:abstractNum>
  <w:abstractNum w:abstractNumId="22">
    <w:nsid w:val="440BADFC"/>
    <w:multiLevelType w:val="hybridMultilevel"/>
    <w:lvl w:ilvl="0">
      <w:lvlJc w:val="left"/>
      <w:lvlText w:val="(%1)"/>
      <w:numFmt w:val="lowerLetter"/>
      <w:start w:val="61"/>
    </w:lvl>
    <w:lvl w:ilvl="1">
      <w:lvlJc w:val="left"/>
      <w:lvlText w:val="%2"/>
      <w:numFmt w:val="lowerLetter"/>
      <w:start w:val="1"/>
    </w:lvl>
  </w:abstractNum>
  <w:abstractNum w:abstractNumId="23">
    <w:nsid w:val="5072367"/>
    <w:multiLevelType w:val="hybridMultilevel"/>
    <w:lvl w:ilvl="0">
      <w:lvlJc w:val="left"/>
      <w:lvlText w:val="(%1)"/>
      <w:numFmt w:val="lowerLetter"/>
      <w:start w:val="33"/>
    </w:lvl>
  </w:abstractNum>
  <w:abstractNum w:abstractNumId="24">
    <w:nsid w:val="3804823E"/>
    <w:multiLevelType w:val="hybridMultilevel"/>
    <w:lvl w:ilvl="0">
      <w:lvlJc w:val="left"/>
      <w:lvlText w:val="(%1)"/>
      <w:numFmt w:val="lowerLetter"/>
      <w:start w:val="36"/>
    </w:lvl>
  </w:abstractNum>
  <w:abstractNum w:abstractNumId="25">
    <w:nsid w:val="77465F01"/>
    <w:multiLevelType w:val="hybridMultilevel"/>
    <w:lvl w:ilvl="0">
      <w:lvlJc w:val="left"/>
      <w:lvlText w:val="%1"/>
      <w:numFmt w:val="decimal"/>
      <w:start w:val="1"/>
    </w:lvl>
    <w:lvl w:ilvl="1">
      <w:lvlJc w:val="left"/>
      <w:lvlText w:val="(%2)"/>
      <w:numFmt w:val="lowerLetter"/>
      <w:start w:val="41"/>
    </w:lvl>
  </w:abstractNum>
  <w:abstractNum w:abstractNumId="26">
    <w:nsid w:val="7724C67E"/>
    <w:multiLevelType w:val="hybridMultilevel"/>
    <w:lvl w:ilvl="0">
      <w:lvlJc w:val="left"/>
      <w:lvlText w:val="%1."/>
      <w:numFmt w:val="decimal"/>
      <w:start w:val="4"/>
    </w:lvl>
    <w:lvl w:ilvl="1">
      <w:lvlJc w:val="left"/>
      <w:lvlText w:val="(%2)"/>
      <w:numFmt w:val="lowerLetter"/>
      <w:start w:val="1"/>
    </w:lvl>
  </w:abstractNum>
  <w:abstractNum w:abstractNumId="27">
    <w:nsid w:val="5C482A97"/>
    <w:multiLevelType w:val="hybridMultilevel"/>
    <w:lvl w:ilvl="0">
      <w:lvlJc w:val="left"/>
      <w:lvlText w:val="(%1)"/>
      <w:numFmt w:val="lowerLetter"/>
      <w:start w:val="2"/>
    </w:lvl>
  </w:abstractNum>
  <w:abstractNum w:abstractNumId="28">
    <w:nsid w:val="2463B9EA"/>
    <w:multiLevelType w:val="hybridMultilevel"/>
    <w:lvl w:ilvl="0">
      <w:lvlJc w:val="left"/>
      <w:lvlText w:val="(%1)"/>
      <w:numFmt w:val="lowerLetter"/>
      <w:start w:val="4"/>
    </w:lvl>
  </w:abstractNum>
  <w:abstractNum w:abstractNumId="29">
    <w:nsid w:val="5E884ADC"/>
    <w:multiLevelType w:val="hybridMultilevel"/>
    <w:lvl w:ilvl="0">
      <w:lvlJc w:val="left"/>
      <w:lvlText w:val="(%1)"/>
      <w:numFmt w:val="lowerLetter"/>
      <w:start w:val="8"/>
    </w:lvl>
  </w:abstractNum>
  <w:abstractNum w:abstractNumId="30">
    <w:nsid w:val="51EAD36B"/>
    <w:multiLevelType w:val="hybridMultilevel"/>
    <w:lvl w:ilvl="0">
      <w:lvlJc w:val="left"/>
      <w:lvlText w:val="%1"/>
      <w:numFmt w:val="lowerLetter"/>
      <w:start w:val="1"/>
    </w:lvl>
    <w:lvl w:ilvl="1">
      <w:lvlJc w:val="left"/>
      <w:lvlText w:val="(%2)"/>
      <w:numFmt w:val="lowerLetter"/>
      <w:start w:val="11"/>
    </w:lvl>
  </w:abstractNum>
  <w:abstractNum w:abstractNumId="31">
    <w:nsid w:val="2D517796"/>
    <w:multiLevelType w:val="hybridMultilevel"/>
    <w:lvl w:ilvl="0">
      <w:lvlJc w:val="left"/>
      <w:lvlText w:val="(%1)"/>
      <w:numFmt w:val="lowerLetter"/>
      <w:start w:val="22"/>
    </w:lvl>
    <w:lvl w:ilvl="1">
      <w:lvlJc w:val="left"/>
      <w:lvlText w:val="(%2)"/>
      <w:numFmt w:val="lowerLetter"/>
      <w:start w:val="12"/>
    </w:lvl>
  </w:abstractNum>
  <w:abstractNum w:abstractNumId="32">
    <w:nsid w:val="580BD78F"/>
    <w:multiLevelType w:val="hybridMultilevel"/>
    <w:lvl w:ilvl="0">
      <w:lvlJc w:val="left"/>
      <w:lvlText w:val="(%1)"/>
      <w:numFmt w:val="lowerLetter"/>
      <w:start w:val="13"/>
    </w:lvl>
  </w:abstractNum>
  <w:abstractNum w:abstractNumId="33">
    <w:nsid w:val="153EA438"/>
    <w:multiLevelType w:val="hybridMultilevel"/>
    <w:lvl w:ilvl="0">
      <w:lvlJc w:val="left"/>
      <w:lvlText w:val="(%1)"/>
      <w:numFmt w:val="lowerLetter"/>
      <w:start w:val="16"/>
    </w:lvl>
  </w:abstractNum>
  <w:abstractNum w:abstractNumId="34">
    <w:nsid w:val="3855585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1"/>
    </w:lvl>
  </w:abstractNum>
  <w:abstractNum w:abstractNumId="35">
    <w:nsid w:val="70A64E2A"/>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abstractNum>
  <w:abstractNum w:abstractNumId="36">
    <w:nsid w:val="6A2342E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7">
    <w:nsid w:val="2A487CB0"/>
    <w:multiLevelType w:val="hybridMultilevel"/>
    <w:lvl w:ilvl="0">
      <w:lvlJc w:val="left"/>
      <w:lvlText w:val="(%1)"/>
      <w:numFmt w:val="lowerLetter"/>
      <w:start w:val="24"/>
    </w:lvl>
    <w:lvl w:ilvl="1">
      <w:lvlJc w:val="left"/>
      <w:lvlText w:val="%2"/>
      <w:numFmt w:val="decimal"/>
      <w:start w:val="1"/>
    </w:lvl>
    <w:lvl w:ilvl="2">
      <w:lvlJc w:val="left"/>
      <w:lvlText w:val="%3"/>
      <w:numFmt w:val="lowerLetter"/>
      <w:start w:val="1"/>
    </w:lvl>
  </w:abstractNum>
  <w:abstractNum w:abstractNumId="38">
    <w:nsid w:val="1D4ED43B"/>
    <w:multiLevelType w:val="hybridMultilevel"/>
    <w:lvl w:ilvl="0">
      <w:lvlJc w:val="left"/>
      <w:lvlText w:val="%1."/>
      <w:numFmt w:val="decimal"/>
      <w:start w:val="6"/>
    </w:lvl>
    <w:lvl w:ilvl="1">
      <w:lvlJc w:val="left"/>
      <w:lvlText w:val="(%2)"/>
      <w:numFmt w:val="lowerLetter"/>
      <w:start w:val="1"/>
    </w:lvl>
  </w:abstractNum>
  <w:abstractNum w:abstractNumId="39">
    <w:nsid w:val="725A06FB"/>
    <w:multiLevelType w:val="hybridMultilevel"/>
    <w:lvl w:ilvl="0">
      <w:lvlJc w:val="left"/>
      <w:lvlText w:val="%1"/>
      <w:numFmt w:val="lowerLetter"/>
      <w:start w:val="1"/>
    </w:lvl>
    <w:lvl w:ilvl="1">
      <w:lvlJc w:val="left"/>
      <w:lvlText w:val="(%2)"/>
      <w:numFmt w:val="lowerRoman"/>
      <w:start w:val="1"/>
    </w:lvl>
  </w:abstractNum>
  <w:abstractNum w:abstractNumId="40">
    <w:nsid w:val="2CD89A32"/>
    <w:multiLevelType w:val="hybridMultilevel"/>
    <w:lvl w:ilvl="0">
      <w:lvlJc w:val="left"/>
      <w:lvlText w:val="(%1)"/>
      <w:numFmt w:val="lowerLetter"/>
      <w:start w:val="4"/>
    </w:lvl>
    <w:lvl w:ilvl="1">
      <w:lvlJc w:val="left"/>
      <w:lvlText w:val="%2"/>
      <w:numFmt w:val="lowerRoman"/>
      <w:start w:val="1"/>
    </w:lvl>
  </w:abstractNum>
  <w:abstractNum w:abstractNumId="41">
    <w:nsid w:val="57E4CCAF"/>
    <w:multiLevelType w:val="hybridMultilevel"/>
    <w:lvl w:ilvl="0">
      <w:lvlJc w:val="left"/>
      <w:lvlText w:val="(%1)"/>
      <w:numFmt w:val="lowerLetter"/>
      <w:start w:val="6"/>
    </w:lvl>
  </w:abstractNum>
  <w:abstractNum w:abstractNumId="42">
    <w:nsid w:val="7A6D8D3C"/>
    <w:multiLevelType w:val="hybridMultilevel"/>
    <w:lvl w:ilvl="0">
      <w:lvlJc w:val="left"/>
      <w:lvlText w:val="%1."/>
      <w:numFmt w:val="decimal"/>
      <w:start w:val="7"/>
    </w:lvl>
    <w:lvl w:ilvl="1">
      <w:lvlJc w:val="left"/>
      <w:lvlText w:val="(%2)"/>
      <w:numFmt w:val="lowerLetter"/>
      <w:start w:val="1"/>
    </w:lvl>
  </w:abstractNum>
  <w:abstractNum w:abstractNumId="43">
    <w:nsid w:val="4B588F54"/>
    <w:multiLevelType w:val="hybridMultilevel"/>
    <w:lvl w:ilvl="0">
      <w:lvlJc w:val="left"/>
      <w:lvlText w:val="(%1)"/>
      <w:numFmt w:val="lowerLetter"/>
      <w:start w:val="3"/>
    </w:lvl>
  </w:abstractNum>
  <w:abstractNum w:abstractNumId="44">
    <w:nsid w:val="542289EC"/>
    <w:multiLevelType w:val="hybridMultilevel"/>
    <w:lvl w:ilvl="0">
      <w:lvlJc w:val="left"/>
      <w:lvlText w:val="%1."/>
      <w:numFmt w:val="decimal"/>
      <w:start w:val="8"/>
    </w:lvl>
    <w:lvl w:ilvl="1">
      <w:lvlJc w:val="left"/>
      <w:lvlText w:val="(%2)"/>
      <w:numFmt w:val="lowerLetter"/>
      <w:start w:val="1"/>
    </w:lvl>
  </w:abstractNum>
  <w:abstractNum w:abstractNumId="45">
    <w:nsid w:val="6DE91B18"/>
    <w:multiLevelType w:val="hybridMultilevel"/>
    <w:lvl w:ilvl="0">
      <w:lvlJc w:val="left"/>
      <w:lvlText w:val="%1"/>
      <w:numFmt w:val="decimal"/>
      <w:start w:val="1"/>
    </w:lvl>
    <w:lvl w:ilvl="1">
      <w:lvlJc w:val="left"/>
      <w:lvlText w:val="(%2)"/>
      <w:numFmt w:val="lowerLetter"/>
      <w:start w:val="4"/>
    </w:lvl>
  </w:abstractNum>
  <w:abstractNum w:abstractNumId="46">
    <w:nsid w:val="38437FDB"/>
    <w:multiLevelType w:val="hybridMultilevel"/>
    <w:lvl w:ilvl="0">
      <w:lvlJc w:val="left"/>
      <w:lvlText w:val="%1."/>
      <w:numFmt w:val="decimal"/>
      <w:start w:val="9"/>
    </w:lvl>
    <w:lvl w:ilvl="1">
      <w:lvlJc w:val="left"/>
      <w:lvlText w:val="%2"/>
      <w:numFmt w:val="lowerLetter"/>
      <w:start w:val="1"/>
    </w:lvl>
  </w:abstractNum>
  <w:abstractNum w:abstractNumId="47">
    <w:nsid w:val="7644A45C"/>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2021-06-10T16:19:19Z</dcterms:created>
  <dcterms:modified xsi:type="dcterms:W3CDTF">2021-06-10T16:19:19Z</dcterms:modified>
</cp:coreProperties>
</file>