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18, 2024, Microbot Medical Inc. (the “Company”) issued a press release announcing that following the recent positive results of its pivotal GLP Pre-Clinical Study, and to support its anticipated IDE submission to commence its first in human clinical trial, the Company added a US-based Clinical Research Associate (“CRA”). The CRA will join the already established clinical team in the USA, led by Dr. Juan Diaz-Cartelle, the Company’s Chief Medical Officer.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18, 2024</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Expands US Clinical Infrastructure in Support of the Upcoming IDE Submission to Commence its First in Human Clinical Study</w:t>
      </w:r>
    </w:p>
    <w:p>
      <w:pPr>
        <w:spacing w:after="0" w:line="157" w:lineRule="exact"/>
        <w:rPr>
          <w:sz w:val="20"/>
          <w:szCs w:val="20"/>
          <w:color w:val="auto"/>
        </w:rPr>
      </w:pPr>
    </w:p>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Following the recent positive results of its pivotal GLP pre-clinical study, the Company added a CRA to facilitate the company’s first in human clinical study</w:t>
      </w:r>
    </w:p>
    <w:p>
      <w:pPr>
        <w:spacing w:after="0" w:line="1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BRAINTREE, Mass., January 18, 2023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announced that following the recent positive results of its pivotal GLP Pre-Clinical Study, and to support its anticipated IDE submission to commence its first in human clinical trial, the Company added a US- based Clinical Research Associate (CRA). The CRA will join the already established clinical team in the USA, led by Dr. Juan Diaz-Cartelle, the Company’s Chief Medical Officer.</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successful completion of our pivotal GLP pre-clinical trial, and as we are in the final stage of submitting our IDE, having an in house CRA is a key piece for establishing the right infrastructure for clinical trial execution” said Dr. Diaz-Cartelle, Chief Medical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LIBERTY Endovascular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Endovascular Robotic Surgical System’s remote operation has the potential to be the first system to democratize endovascular interventional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2024-01-18T06:22:52Z</dcterms:created>
  <dcterms:modified xsi:type="dcterms:W3CDTF">2024-01-18T06:22:52Z</dcterms:modified>
</cp:coreProperties>
</file>