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15,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5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000-19871</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5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(Commission</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5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File Number)</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2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5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72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2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5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Registrant’s telephone number, including area code: (781)875-3605</w:t>
            </w:r>
          </w:p>
        </w:tc>
        <w:tc>
          <w:tcPr>
            <w:tcW w:w="172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15, 2019, Microbot Medical Inc. (the “Company”) entered into a Securities Purchase Agreement (the “Purchase Agreement”) with certain accredited institutional investors (the “Purchasers”) providing for the issuance and sale by the Company to the Purchasers of an aggregate of 590,000 shares (the “Shares”) of the Company’s common stock, par value $0.01 per share (the “Common Stock”), at a purchase price per share of $10.00 (the “Offering”). The gross proceeds to the Company will be $5.9 million. The closing of the Offering took place on January 17, 2019.</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net proceeds of the Offering to the Company are approximately $5.18 million, after deducting placement agent fees and other estimated offering expenses. The Company intends to use the net proceeds from this Offering for the continuous development of its SCS device for the treatment of hydrocephalus and NPH; to expand and develop additional applications deriving from its existing IP portfolio, including the potential addition of complementary assets to the CardioSert portfolio either through internal development, in-license or acquisition; and for working capital and other general corporate purposes.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12, 2018, the Company entered into an engagement letter, as amended (the “Engagement Letter”), with H.C. Wainwright &amp; Co., LLC (“Wainwright”), pursuant to which Wainwright agreed to serve as the exclusive placement agent for the issuance and sale of the securities pursuant to the Purchase Agreement. As compensation for its placement agent services in connection with this Offering, the Company paid Wainwright an aggregate cash fee equal to 7.0% of the gross proceeds received by the Company from the sale of the Shares, plus (a) a management fee equal to 1.0% of the gross proceeds; (b) a non-accountable expense allowance of $20,000 for this Offering, (c) $50,000 for fees and expenses of legal counsel for this Offering and (d) certain other reimbursement amounts payable. The Company has also issued to Wainwright or its designees warrants to purchase up to 5.0% of the aggregate number of Shares sold under the Purchase Agreement (collectively, the “Wainwright Warrant”), or up to 29,500 shares of Common Stock underlying the Wainwright Warrant issued in connection with this Offering. The Wainwright Warrant has a term of 3.5 years, is not exercisable for a period of six month following the issuance, and has an exercise price of $12.50 per share (equal to 125% of the Offering price per share). The Engagement Letter also includes indemnification obligations of the Company and other provisions customary for transactions of this nature.</w:t>
      </w:r>
    </w:p>
    <w:p>
      <w:pPr>
        <w:spacing w:after="0" w:line="17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Shares (but not the Wainwright Warrant, or the shares of Common Stock issuable upon the exercise of the Wainwright Warrant) were offered and sold by the Company through a shelf registration statement on Form S-3 (File No.: 333-217076), which was initially filed with the Securities and Exchange Commission (the “SEC”) on March 31, 2017 and declared effective by the SEC on April 14, 2017 and a prospectus supplement relating to the Offering filed with the SEC on January 17, 2019.</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Wainwright Warrant and the shares of Common Stock issuable upon exercise of the Wainwright Warrant are being offered and sold without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pursuant to the exemption provided in Section 4(a)(2) under the Securities Act and Regulation D promulgated thereunder and similar exemptions under applicable state laws in reliance on the following facts: no general solicitation was used in the offer or sale of such securities; the recipients of the securities had adequate access to information about us, through pre-existing relationships or otherwise; and such securities were issued as restricted securities with restricted legends referring to the Securities Act. No such securities may be offered or sold in the United States in the absence of an effective registration statement or exemption from applicable registration requirements.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descriptions of the Wainwright Warrant, the Purchase Agreement and the Engagement Letter do not purport to be complete and are qualified in their entirety by reference to the copy of each of the Form of Wainwright Warrant, Form of Purchase Agreement and the Engagement Letter, which are attached hereto as Exhibits 4.1, 10.2, and 10.1, respectively, and which are incorporated herein by reference.</w:t>
      </w:r>
    </w:p>
    <w:p>
      <w:pPr>
        <w:spacing w:after="0" w:line="18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representations, warranties and covenants contained in the Purchase Agreement were made solely for the benefit of the parties to the Purchase Agreement and may be subject to limitations agreed upon by the contracting parties. Accordingly, the Purchase Agreement is incorporated herein by reference only to provide investors with information regarding the terms of the Purchase Agreement and not to provide investors with any other factual information regarding the Company or its business, and should be read in conjunction with the disclosures in the Company’s periodic reports and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3.02 Unregistered Sale of Equity Securities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under Item 1.01 of this Current Report on Form 8-K regarding the Wainwright Warrant and the shares of Common Stock issuable upon exercise of the Wainwright Warrant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15, 2019, the Company issued a press release announcing the Offering, a copy of which is attached hereto as Exhibit 99.1 and is incorporated by reference into this Item 8.01 of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2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320" w:type="dxa"/>
            <w:vAlign w:val="bottom"/>
            <w:tcBorders>
              <w:top w:val="single" w:sz="8" w:color="auto"/>
            </w:tcBorders>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Form of Wainwright Warrant.</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Opinion of Mintz, Levin, Cohn, Ferris, Glovsky and Popeo, P.C.</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3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14">
              <w:r>
                <w:rPr>
                  <w:rFonts w:ascii="Arial" w:cs="Arial" w:eastAsia="Arial" w:hAnsi="Arial"/>
                  <w:sz w:val="18"/>
                  <w:szCs w:val="18"/>
                  <w:color w:val="0000EE"/>
                  <w:w w:val="93"/>
                </w:rPr>
                <w:t>Engagement Letter, dated as of October 12, 2018, by and between Microbot Medical Inc. and H.C. Wainwright &amp; Co., LLC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rPr>
            </w:pPr>
            <w:hyperlink r:id="rId14">
              <w:r>
                <w:rPr>
                  <w:rFonts w:ascii="Arial" w:cs="Arial" w:eastAsia="Arial" w:hAnsi="Arial"/>
                  <w:sz w:val="18"/>
                  <w:szCs w:val="18"/>
                  <w:color w:val="0000EE"/>
                </w:rPr>
                <w:t>reference to the Registrant’s Current Report on Form 8-K filed on January 15,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103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Form of Securities Purchase Agreement, dated as of January 15, 2019, by and among Microbot Medical Inc., and the Purchaser named therein.</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Consent of Mintz, Levin, Cohn, Ferris, Glovsky and Popeo, P.C. (included in Exhibit 5.1).</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6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Press Release dated January 15, 2019.</w:t>
              </w:r>
            </w:hyperlink>
          </w:p>
        </w:tc>
        <w:tc>
          <w:tcPr>
            <w:tcW w:w="3820" w:type="dxa"/>
            <w:vAlign w:val="bottom"/>
            <w:gridSpan w:val="2"/>
          </w:tcPr>
          <w:p>
            <w:pPr>
              <w:spacing w:after="0"/>
              <w:rPr>
                <w:sz w:val="17"/>
                <w:szCs w:val="17"/>
                <w:color w:val="auto"/>
              </w:rPr>
            </w:pPr>
          </w:p>
        </w:tc>
      </w:tr>
      <w:tr>
        <w:trPr>
          <w:trHeight w:val="46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580" w:type="dxa"/>
            <w:vAlign w:val="bottom"/>
            <w:gridSpan w:val="5"/>
          </w:tcPr>
          <w:p>
            <w:pPr>
              <w:ind w:left="980"/>
              <w:spacing w:after="0"/>
              <w:rPr>
                <w:sz w:val="20"/>
                <w:szCs w:val="20"/>
                <w:color w:val="auto"/>
              </w:rPr>
            </w:pPr>
            <w:r>
              <w:rPr>
                <w:rFonts w:ascii="Arial" w:cs="Arial" w:eastAsia="Arial" w:hAnsi="Arial"/>
                <w:sz w:val="18"/>
                <w:szCs w:val="18"/>
                <w:b w:val="1"/>
                <w:bCs w:val="1"/>
                <w:color w:val="auto"/>
              </w:rPr>
              <w:t>INDEX TO EXHIBITS</w:t>
            </w:r>
          </w:p>
        </w:tc>
      </w:tr>
      <w:tr>
        <w:trPr>
          <w:trHeight w:val="439"/>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32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320" w:type="dxa"/>
            <w:vAlign w:val="bottom"/>
            <w:tcBorders>
              <w:top w:val="single" w:sz="8" w:color="auto"/>
            </w:tcBorders>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Form of Wainwright Warrant.</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Opinion of Mintz, Levin, Cohn, Ferris, Glovsky and Popeo, P.C.</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3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14">
              <w:r>
                <w:rPr>
                  <w:rFonts w:ascii="Arial" w:cs="Arial" w:eastAsia="Arial" w:hAnsi="Arial"/>
                  <w:sz w:val="18"/>
                  <w:szCs w:val="18"/>
                  <w:color w:val="0000EE"/>
                  <w:w w:val="93"/>
                </w:rPr>
                <w:t>Engagement Letter, dated as of October 12, 2018, by and between Microbot Medical Inc. and H.C. Wainwright &amp; Co., LLC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rPr>
            </w:pPr>
            <w:hyperlink r:id="rId14">
              <w:r>
                <w:rPr>
                  <w:rFonts w:ascii="Arial" w:cs="Arial" w:eastAsia="Arial" w:hAnsi="Arial"/>
                  <w:sz w:val="18"/>
                  <w:szCs w:val="18"/>
                  <w:color w:val="0000EE"/>
                </w:rPr>
                <w:t>reference to the Registrant’s Current Report on Form 8-K filed on January 15,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103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Form of Securities Purchase Agreement, dated as of January 15, 2019, by and among Microbot Medical Inc., and the Purchaser named therein.</w:t>
              </w:r>
            </w:hyperlink>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Consent of Mintz, Levin, Cohn, Ferris, Glovsky and Popeo, P.C. (included in Exhibit 5.1).</w:t>
              </w:r>
            </w:hyperlink>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6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Press Release dated January 15, 2019.</w:t>
              </w:r>
            </w:hyperlink>
          </w:p>
        </w:tc>
        <w:tc>
          <w:tcPr>
            <w:tcW w:w="3820" w:type="dxa"/>
            <w:vAlign w:val="bottom"/>
            <w:gridSpan w:val="2"/>
          </w:tcPr>
          <w:p>
            <w:pPr>
              <w:spacing w:after="0"/>
              <w:rPr>
                <w:sz w:val="17"/>
                <w:szCs w:val="17"/>
                <w:color w:val="auto"/>
              </w:rPr>
            </w:pPr>
          </w:p>
        </w:tc>
      </w:tr>
      <w:tr>
        <w:trPr>
          <w:trHeight w:val="460"/>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ind w:left="1058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Issue Date: ______, 2019</w:t>
      </w:r>
    </w:p>
    <w:p>
      <w:pPr>
        <w:spacing w:after="0" w:line="200" w:lineRule="exact"/>
        <w:rPr>
          <w:sz w:val="20"/>
          <w:szCs w:val="20"/>
          <w:color w:val="auto"/>
        </w:rPr>
      </w:pPr>
    </w:p>
    <w:p>
      <w:pPr>
        <w:sectPr>
          <w:pgSz w:w="11900" w:h="16838" w:orient="portrait"/>
          <w:cols w:equalWidth="0" w:num="2">
            <w:col w:w="7280" w:space="720"/>
            <w:col w:w="3420"/>
          </w:cols>
          <w:pgMar w:left="240" w:top="337" w:right="239" w:bottom="1440" w:gutter="0" w:footer="0" w:header="0"/>
          <w:type w:val="continuous"/>
        </w:sectPr>
      </w:pPr>
    </w:p>
    <w:p>
      <w:pPr>
        <w:spacing w:after="0" w:line="48"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Initial Exercise Date: _______, 2019</w:t>
      </w:r>
    </w:p>
    <w:p>
      <w:pPr>
        <w:sectPr>
          <w:pgSz w:w="11900" w:h="16838" w:orient="portrait"/>
          <w:cols w:equalWidth="0" w:num="1">
            <w:col w:w="11420"/>
          </w:cols>
          <w:pgMar w:left="240" w:top="337" w:right="239" w:bottom="1440" w:gutter="0" w:footer="0" w:header="0"/>
          <w:type w:val="continuous"/>
        </w:sect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PLACEMENT  AGENT  COMMON  STOCK  PURCHASE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certifies  that,  for  value  received,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time on or after the six-month anniversary of the date hereof (the “</w:t>
      </w:r>
      <w:r>
        <w:rPr>
          <w:rFonts w:ascii="Arial" w:cs="Arial" w:eastAsia="Arial" w:hAnsi="Arial"/>
          <w:sz w:val="17"/>
          <w:szCs w:val="17"/>
          <w:u w:val="single" w:color="auto"/>
          <w:color w:val="auto"/>
        </w:rPr>
        <w:t>Initial Exercise Date</w:t>
      </w:r>
      <w:r>
        <w:rPr>
          <w:rFonts w:ascii="Arial" w:cs="Arial" w:eastAsia="Arial" w:hAnsi="Arial"/>
          <w:sz w:val="17"/>
          <w:szCs w:val="17"/>
          <w:color w:val="auto"/>
        </w:rPr>
        <w:t>”) and until on or prior to 5:00 p.m. (New York City time) on</w:t>
      </w:r>
    </w:p>
    <w:p>
      <w:pPr>
        <w:spacing w:after="0" w:line="207" w:lineRule="auto"/>
        <w:rPr>
          <w:sz w:val="20"/>
          <w:szCs w:val="20"/>
          <w:color w:val="auto"/>
        </w:rPr>
      </w:pPr>
      <w:r>
        <w:rPr>
          <w:rFonts w:ascii="Arial" w:cs="Arial" w:eastAsia="Arial" w:hAnsi="Arial"/>
          <w:sz w:val="17"/>
          <w:szCs w:val="17"/>
          <w:color w:val="auto"/>
        </w:rPr>
        <w:t>______________</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but not thereafter, to subscribe for and purchase from Microbot Medical Inc., a Delaware corporation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(as subject to adjustment hereunder, the “</w:t>
      </w:r>
      <w:r>
        <w:rPr>
          <w:rFonts w:ascii="Arial" w:cs="Arial" w:eastAsia="Arial" w:hAnsi="Arial"/>
          <w:sz w:val="16"/>
          <w:szCs w:val="16"/>
          <w:u w:val="single" w:color="auto"/>
          <w:color w:val="auto"/>
        </w:rPr>
        <w:t>Warrant Shares</w:t>
      </w:r>
      <w:r>
        <w:rPr>
          <w:rFonts w:ascii="Arial" w:cs="Arial" w:eastAsia="Arial" w:hAnsi="Arial"/>
          <w:sz w:val="16"/>
          <w:szCs w:val="16"/>
          <w:color w:val="auto"/>
        </w:rPr>
        <w:t>”) of Common Stock. The purchase price of one share of Common</w:t>
      </w:r>
    </w:p>
    <w:p>
      <w:pPr>
        <w:spacing w:after="0" w:line="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Stock under this Warrant shall be equal to the Exercise Price, as defined in Section 2(b). This Warrant is being issued pursuant to that certain engagement letter, dated as of October 12, 2018, by and between the Company and H.C. Wainwright &amp; Co., LLC.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Warrant, the following terms have the meanings indicated in this Section 1:</w:t>
      </w:r>
    </w:p>
    <w:p>
      <w:pPr>
        <w:spacing w:after="0" w:line="248"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The date that is the three (3) year anniversary of the Initial Exercise Date, provided that, if such date is not a Trading Day, insert the immediately following Trading Day.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 w:name="page8"/>
    <w:bookmarkEnd w:id="7"/>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 Price</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means that certain Securities Purchase Agreement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dated January 14, 2019, among the Company and the purchasers signatory thereto.</w:t>
      </w:r>
    </w:p>
    <w:p>
      <w:pPr>
        <w:spacing w:after="0" w:line="170"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8" w:name="page9"/>
    <w:bookmarkEnd w:id="8"/>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Common Stock is traded on a Trading Market.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5" w:lineRule="auto"/>
        <w:tabs>
          <w:tab w:leader="none" w:pos="833"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via e-mail attachment) of the Notice of Exercise in the form annexed hereto (the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Arial" w:cs="Arial" w:eastAsia="Arial" w:hAnsi="Arial"/>
          <w:sz w:val="16"/>
          <w:szCs w:val="16"/>
          <w:b w:val="1"/>
          <w:bCs w:val="1"/>
          <w:color w:val="auto"/>
        </w:rPr>
        <w:t>The Holder and any assignee, by acceptance of this Warrant, acknowledge and agree that, by reason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7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9" w:name="page10"/>
    <w:bookmarkEnd w:id="9"/>
    <w:p>
      <w:pPr>
        <w:jc w:val="both"/>
        <w:ind w:firstLine="648"/>
        <w:spacing w:after="0" w:line="264" w:lineRule="auto"/>
        <w:rPr>
          <w:sz w:val="20"/>
          <w:szCs w:val="20"/>
          <w:color w:val="auto"/>
        </w:rPr>
      </w:pPr>
      <w:r>
        <w:rPr>
          <w:rFonts w:ascii="Arial" w:cs="Arial" w:eastAsia="Arial" w:hAnsi="Arial"/>
          <w:sz w:val="18"/>
          <w:szCs w:val="18"/>
          <w:color w:val="auto"/>
        </w:rPr>
        <w:t>Without limiting the rights of a Holder to receive Warrant Shares on a “cashless exercise” and without limiting the liquidated damages provision in Section 2(d)(i) and the buy-in provision in Section 2(d)(iv), in no event will the Company be required to net cash settle a Warrant exercise.</w:t>
      </w:r>
    </w:p>
    <w:p>
      <w:pPr>
        <w:spacing w:after="0" w:line="177" w:lineRule="exact"/>
        <w:rPr>
          <w:sz w:val="20"/>
          <w:szCs w:val="20"/>
          <w:color w:val="auto"/>
        </w:rPr>
      </w:pPr>
    </w:p>
    <w:p>
      <w:pPr>
        <w:ind w:firstLine="645"/>
        <w:spacing w:after="0" w:line="282" w:lineRule="auto"/>
        <w:tabs>
          <w:tab w:leader="none" w:pos="84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Common Stock under this Warrant shall be $</w:t>
      </w:r>
      <w:r>
        <w:rPr>
          <w:rFonts w:ascii="Arial" w:cs="Arial" w:eastAsia="Arial" w:hAnsi="Arial"/>
          <w:sz w:val="18"/>
          <w:szCs w:val="18"/>
          <w:b w:val="1"/>
          <w:bCs w:val="1"/>
          <w:color w:val="auto"/>
        </w:rPr>
        <w:t>12.50</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645"/>
        <w:spacing w:after="0" w:line="259"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any time after the six-month anniversary of the Closing Date,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7" w:lineRule="exact"/>
        <w:rPr>
          <w:sz w:val="20"/>
          <w:szCs w:val="20"/>
          <w:color w:val="auto"/>
        </w:rPr>
      </w:pPr>
    </w:p>
    <w:p>
      <w:pPr>
        <w:ind w:left="1160" w:hanging="515"/>
        <w:spacing w:after="0" w:line="269" w:lineRule="auto"/>
        <w:tabs>
          <w:tab w:leader="none" w:pos="942" w:val="left"/>
        </w:tabs>
        <w:numPr>
          <w:ilvl w:val="0"/>
          <w:numId w:val="4"/>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0" w:name="page11"/>
    <w:bookmarkEnd w:id="10"/>
    <w:p>
      <w:pPr>
        <w:ind w:left="680"/>
        <w:spacing w:after="0"/>
        <w:rPr>
          <w:sz w:val="20"/>
          <w:szCs w:val="20"/>
          <w:color w:val="auto"/>
        </w:rPr>
      </w:pPr>
      <w:r>
        <w:rPr>
          <w:rFonts w:ascii="Arial" w:cs="Arial" w:eastAsia="Arial" w:hAnsi="Arial"/>
          <w:sz w:val="18"/>
          <w:szCs w:val="18"/>
          <w:color w:val="auto"/>
        </w:rPr>
        <w:t>(B) = the Exercise Price of this Warrant, as adjusted hereunder; and</w:t>
      </w:r>
    </w:p>
    <w:p>
      <w:pPr>
        <w:spacing w:after="0" w:line="225" w:lineRule="exact"/>
        <w:rPr>
          <w:sz w:val="20"/>
          <w:szCs w:val="20"/>
          <w:color w:val="auto"/>
        </w:rPr>
      </w:pPr>
    </w:p>
    <w:p>
      <w:pPr>
        <w:ind w:left="1160" w:hanging="488"/>
        <w:spacing w:after="0" w:line="277" w:lineRule="auto"/>
        <w:tabs>
          <w:tab w:leader="none" w:pos="969"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Warrant Shares are issued in such a cashless exercise, the parties acknowledge and agree that in accordance with Section 3(a)(9) of the Securities Act, the Warrant Shares shall take on the characteristics of the Warrants being exercised, and the holding period of the Warrant Shares being issued may be tacked on to the holding period of this Warrant. The Company agrees not to take any position contrary to this Section 2(c).</w:t>
      </w:r>
    </w:p>
    <w:p>
      <w:pPr>
        <w:spacing w:after="0" w:line="147" w:lineRule="exact"/>
        <w:rPr>
          <w:sz w:val="20"/>
          <w:szCs w:val="20"/>
          <w:color w:val="auto"/>
        </w:rPr>
      </w:pPr>
    </w:p>
    <w:p>
      <w:pPr>
        <w:ind w:left="840" w:hanging="195"/>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382"/>
        <w:spacing w:after="0" w:line="284" w:lineRule="auto"/>
        <w:tabs>
          <w:tab w:leader="none" w:pos="1856"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two (2) Trading Days and (ii) the number of days comprising the Standard Settlement Period, in each case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the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18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1" w:name="page12"/>
    <w:bookmarkEnd w:id="11"/>
    <w:p>
      <w:pPr>
        <w:jc w:val="both"/>
        <w:ind w:left="760" w:firstLine="382"/>
        <w:spacing w:after="0" w:line="259" w:lineRule="auto"/>
        <w:tabs>
          <w:tab w:leader="none" w:pos="1352"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6" w:lineRule="exact"/>
        <w:rPr>
          <w:rFonts w:ascii="Arial" w:cs="Arial" w:eastAsia="Arial" w:hAnsi="Arial"/>
          <w:sz w:val="18"/>
          <w:szCs w:val="18"/>
          <w:color w:val="auto"/>
        </w:rPr>
      </w:pPr>
    </w:p>
    <w:p>
      <w:pPr>
        <w:ind w:left="760" w:firstLine="382"/>
        <w:spacing w:after="0" w:line="308" w:lineRule="auto"/>
        <w:tabs>
          <w:tab w:leader="none" w:pos="1389"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Rescission Rights</w:t>
      </w:r>
      <w:r>
        <w:rPr>
          <w:rFonts w:ascii="Arial" w:cs="Arial" w:eastAsia="Arial" w:hAnsi="Arial"/>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46" w:lineRule="exact"/>
        <w:rPr>
          <w:rFonts w:ascii="Arial" w:cs="Arial" w:eastAsia="Arial" w:hAnsi="Arial"/>
          <w:sz w:val="17"/>
          <w:szCs w:val="17"/>
          <w:color w:val="auto"/>
        </w:rPr>
      </w:pPr>
    </w:p>
    <w:p>
      <w:pPr>
        <w:jc w:val="both"/>
        <w:ind w:left="760" w:firstLine="382"/>
        <w:spacing w:after="0" w:line="283" w:lineRule="auto"/>
        <w:tabs>
          <w:tab w:leader="none" w:pos="1381"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but did not receive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but failed to deliver, to the Holder in connection with the exercise at issue times</w:t>
      </w:r>
    </w:p>
    <w:p>
      <w:pPr>
        <w:spacing w:after="0" w:line="6" w:lineRule="exact"/>
        <w:rPr>
          <w:rFonts w:ascii="Arial" w:cs="Arial" w:eastAsia="Arial" w:hAnsi="Arial"/>
          <w:sz w:val="16"/>
          <w:szCs w:val="16"/>
          <w:color w:val="auto"/>
        </w:rPr>
      </w:pPr>
    </w:p>
    <w:p>
      <w:pPr>
        <w:jc w:val="both"/>
        <w:ind w:left="760" w:hanging="7"/>
        <w:spacing w:after="0" w:line="286" w:lineRule="auto"/>
        <w:tabs>
          <w:tab w:leader="none" w:pos="101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6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2" w:name="page13"/>
    <w:bookmarkEnd w:id="12"/>
    <w:p>
      <w:pPr>
        <w:jc w:val="both"/>
        <w:ind w:left="760" w:firstLine="389"/>
        <w:spacing w:after="0" w:line="259" w:lineRule="auto"/>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7" w:lineRule="exact"/>
        <w:rPr>
          <w:sz w:val="20"/>
          <w:szCs w:val="20"/>
          <w:color w:val="auto"/>
        </w:rPr>
      </w:pPr>
    </w:p>
    <w:p>
      <w:pPr>
        <w:jc w:val="both"/>
        <w:ind w:left="760" w:firstLine="382"/>
        <w:spacing w:after="0" w:line="270" w:lineRule="auto"/>
        <w:tabs>
          <w:tab w:leader="none" w:pos="139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1" w:lineRule="exact"/>
        <w:rPr>
          <w:rFonts w:ascii="Arial" w:cs="Arial" w:eastAsia="Arial" w:hAnsi="Arial"/>
          <w:sz w:val="17"/>
          <w:szCs w:val="17"/>
          <w:color w:val="auto"/>
        </w:rPr>
      </w:pPr>
    </w:p>
    <w:p>
      <w:pPr>
        <w:ind w:left="760" w:right="20" w:firstLine="382"/>
        <w:spacing w:after="0" w:line="277" w:lineRule="auto"/>
        <w:tabs>
          <w:tab w:leader="none" w:pos="1429"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3" w:name="page14"/>
    <w:bookmarkEnd w:id="13"/>
    <w:p>
      <w:pPr>
        <w:jc w:val="both"/>
        <w:ind w:firstLine="645"/>
        <w:spacing w:after="0" w:line="282" w:lineRule="auto"/>
        <w:tabs>
          <w:tab w:leader="none" w:pos="84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(including any determination as to group status pursuant to the next sentence).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w:t>
      </w: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not be effective until the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8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87" w:lineRule="auto"/>
        <w:tabs>
          <w:tab w:leader="none" w:pos="83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2" w:lineRule="exact"/>
        <w:rPr>
          <w:rFonts w:ascii="Arial" w:cs="Arial" w:eastAsia="Arial" w:hAnsi="Arial"/>
          <w:sz w:val="16"/>
          <w:szCs w:val="16"/>
          <w:color w:val="auto"/>
        </w:rPr>
      </w:pPr>
    </w:p>
    <w:p>
      <w:pPr>
        <w:jc w:val="both"/>
        <w:ind w:firstLine="645"/>
        <w:spacing w:after="0" w:line="287" w:lineRule="auto"/>
        <w:tabs>
          <w:tab w:leader="none" w:pos="84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2" w:lineRule="exact"/>
        <w:rPr>
          <w:rFonts w:ascii="Arial" w:cs="Arial" w:eastAsia="Arial" w:hAnsi="Arial"/>
          <w:sz w:val="16"/>
          <w:szCs w:val="16"/>
          <w:color w:val="auto"/>
        </w:rPr>
      </w:pPr>
    </w:p>
    <w:p>
      <w:pPr>
        <w:jc w:val="both"/>
        <w:ind w:firstLine="645"/>
        <w:spacing w:after="0" w:line="268" w:lineRule="auto"/>
        <w:tabs>
          <w:tab w:leader="none" w:pos="83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5" w:name="page16"/>
    <w:bookmarkEnd w:id="15"/>
    <w:p>
      <w:pPr>
        <w:jc w:val="both"/>
        <w:ind w:left="-540" w:firstLine="645"/>
        <w:spacing w:after="0" w:line="282" w:lineRule="auto"/>
        <w:tabs>
          <w:tab w:leader="none" w:pos="30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voting power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Fundamental Transaction is not within the Company’s control, including not approved by the Company’s Board of Directors, Holder shall only be entitled to receive from the Company or any Successor Entity, as of the date of consummation of such Fundamental Transaction, the same type or form of consideration (and in the same proportion), at the Black Scholes Value (as defined below)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 and Scholes Option Pricing Model obtained from the “OV” function on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The payment of the Black Scholes Value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0" w:lineRule="exact"/>
        <w:rPr>
          <w:sz w:val="20"/>
          <w:szCs w:val="20"/>
          <w:color w:val="auto"/>
        </w:rPr>
      </w:pPr>
    </w:p>
    <w:p>
      <w:pPr>
        <w:spacing w:after="0" w:line="22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6" w:name="page17"/>
    <w:bookmarkEnd w:id="16"/>
    <w:p>
      <w:pPr>
        <w:jc w:val="both"/>
        <w:ind w:left="-540" w:firstLine="645"/>
        <w:spacing w:after="0" w:line="264" w:lineRule="auto"/>
        <w:tabs>
          <w:tab w:leader="none" w:pos="293"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81" w:lineRule="exact"/>
        <w:rPr>
          <w:rFonts w:ascii="Arial" w:cs="Arial" w:eastAsia="Arial" w:hAnsi="Arial"/>
          <w:sz w:val="18"/>
          <w:szCs w:val="18"/>
          <w:color w:val="auto"/>
        </w:rPr>
      </w:pPr>
    </w:p>
    <w:p>
      <w:pPr>
        <w:ind w:left="260" w:hanging="155"/>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60" w:firstLine="382"/>
        <w:spacing w:after="0" w:line="259" w:lineRule="auto"/>
        <w:tabs>
          <w:tab w:leader="none" w:pos="1302"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pursuant to Section 5(h)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760" w:firstLine="382"/>
        <w:spacing w:after="0" w:line="267" w:lineRule="auto"/>
        <w:tabs>
          <w:tab w:leader="none" w:pos="1352"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Notice to Allow Exercise by Holder</w:t>
      </w:r>
      <w:r>
        <w:rPr>
          <w:rFonts w:ascii="Arial" w:cs="Arial" w:eastAsia="Arial" w:hAnsi="Arial"/>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pursuant to Section 5(h) to the Holder at its last facsimile number, email address or other contact information as shall appear upon the Warrant Register of the Company,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shall remain entitled to exercise this Warrant during the period commencing on the date of such notice to the effective date of the event triggering such notice except as may otherwise be expressly set forth herein.</w:t>
      </w:r>
    </w:p>
    <w:p>
      <w:pPr>
        <w:spacing w:after="0" w:line="1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302" w:lineRule="auto"/>
        <w:tabs>
          <w:tab w:leader="none" w:pos="1506"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Pursuant to FINRA Rule 5110(g)(1),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w:t>
      </w:r>
    </w:p>
    <w:p>
      <w:pPr>
        <w:spacing w:after="0" w:line="154" w:lineRule="exact"/>
        <w:rPr>
          <w:rFonts w:ascii="Arial" w:cs="Arial" w:eastAsia="Arial" w:hAnsi="Arial"/>
          <w:sz w:val="16"/>
          <w:szCs w:val="16"/>
          <w:color w:val="auto"/>
        </w:rPr>
      </w:pPr>
    </w:p>
    <w:p>
      <w:pPr>
        <w:ind w:left="1120" w:hanging="140"/>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operation of law or by reason of reorganization of the Company;</w:t>
      </w:r>
    </w:p>
    <w:p>
      <w:pPr>
        <w:spacing w:after="0" w:line="225" w:lineRule="exact"/>
        <w:rPr>
          <w:rFonts w:ascii="Arial" w:cs="Arial" w:eastAsia="Arial" w:hAnsi="Arial"/>
          <w:sz w:val="18"/>
          <w:szCs w:val="18"/>
          <w:color w:val="auto"/>
        </w:rPr>
      </w:pPr>
    </w:p>
    <w:p>
      <w:pPr>
        <w:ind w:left="720" w:firstLine="260"/>
        <w:spacing w:after="0" w:line="277" w:lineRule="auto"/>
        <w:tabs>
          <w:tab w:leader="none" w:pos="11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FINRA member firm participating in the offering and the officers or partners thereof, if all securities so transferred remain subject to the lock-up restriction in this Section 4(a) for the remainder of the time period;</w:t>
      </w:r>
    </w:p>
    <w:p>
      <w:pPr>
        <w:spacing w:after="0" w:line="170" w:lineRule="exact"/>
        <w:rPr>
          <w:rFonts w:ascii="Arial" w:cs="Arial" w:eastAsia="Arial" w:hAnsi="Arial"/>
          <w:sz w:val="18"/>
          <w:szCs w:val="18"/>
          <w:color w:val="auto"/>
        </w:rPr>
      </w:pPr>
    </w:p>
    <w:p>
      <w:pPr>
        <w:ind w:left="720" w:firstLine="260"/>
        <w:spacing w:after="0" w:line="277" w:lineRule="auto"/>
        <w:tabs>
          <w:tab w:leader="none" w:pos="12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aggregate amount of securities of the Company held by the underwriter or related persons do not exceed 1% of the securities being offered;</w:t>
      </w:r>
    </w:p>
    <w:p>
      <w:pPr>
        <w:spacing w:after="0" w:line="170" w:lineRule="exact"/>
        <w:rPr>
          <w:rFonts w:ascii="Arial" w:cs="Arial" w:eastAsia="Arial" w:hAnsi="Arial"/>
          <w:sz w:val="18"/>
          <w:szCs w:val="18"/>
          <w:color w:val="auto"/>
        </w:rPr>
      </w:pPr>
    </w:p>
    <w:p>
      <w:pPr>
        <w:ind w:left="720" w:firstLine="260"/>
        <w:spacing w:after="0" w:line="342" w:lineRule="auto"/>
        <w:tabs>
          <w:tab w:leader="none" w:pos="12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that is beneficially owned on a pro-rata basis by all equity owners of an investment fund, provided that no participating member manages or otherwise directs investments by the fund, and participating members in the aggregate do not own more than 10% of the equity in the fund; or</w:t>
      </w:r>
    </w:p>
    <w:p>
      <w:pPr>
        <w:spacing w:after="0" w:line="123" w:lineRule="exact"/>
        <w:rPr>
          <w:rFonts w:ascii="Arial" w:cs="Arial" w:eastAsia="Arial" w:hAnsi="Arial"/>
          <w:sz w:val="16"/>
          <w:szCs w:val="16"/>
          <w:color w:val="auto"/>
        </w:rPr>
      </w:pPr>
    </w:p>
    <w:p>
      <w:pPr>
        <w:ind w:left="720" w:right="20" w:firstLine="260"/>
        <w:spacing w:after="0" w:line="277" w:lineRule="auto"/>
        <w:tabs>
          <w:tab w:leader="none" w:pos="11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or conversion of any security, if all securities received remain subject to the lock-up restriction in this Section 4(a) for the remainder of the time period.</w:t>
      </w:r>
    </w:p>
    <w:p>
      <w:pPr>
        <w:spacing w:after="0" w:line="17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Subject to the foregoing restriction, and compliance with any applicable securities laws and the conditions set forth in Section 4(d)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3" w:lineRule="exact"/>
        <w:rPr>
          <w:sz w:val="20"/>
          <w:szCs w:val="20"/>
          <w:color w:val="auto"/>
        </w:rPr>
      </w:pPr>
    </w:p>
    <w:p>
      <w:pPr>
        <w:jc w:val="both"/>
        <w:ind w:left="660" w:firstLine="645"/>
        <w:spacing w:after="0" w:line="255" w:lineRule="auto"/>
        <w:tabs>
          <w:tab w:leader="none" w:pos="151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of this Warrant and shall be identical with this Warrant except as to the number of Warrant Shares issuable pursuant thereto.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jc w:val="both"/>
        <w:ind w:firstLine="645"/>
        <w:spacing w:after="0" w:line="259"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rFonts w:ascii="Arial" w:cs="Arial" w:eastAsia="Arial" w:hAnsi="Arial"/>
          <w:sz w:val="18"/>
          <w:szCs w:val="18"/>
          <w:color w:val="auto"/>
        </w:rPr>
      </w:pPr>
    </w:p>
    <w:p>
      <w:pPr>
        <w:jc w:val="both"/>
        <w:ind w:firstLine="645"/>
        <w:spacing w:after="0" w:line="259"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w:t>
      </w:r>
    </w:p>
    <w:p>
      <w:pPr>
        <w:spacing w:after="0" w:line="186" w:lineRule="exact"/>
        <w:rPr>
          <w:rFonts w:ascii="Arial" w:cs="Arial" w:eastAsia="Arial" w:hAnsi="Arial"/>
          <w:sz w:val="18"/>
          <w:szCs w:val="18"/>
          <w:color w:val="auto"/>
        </w:rPr>
      </w:pPr>
    </w:p>
    <w:p>
      <w:pPr>
        <w:jc w:val="both"/>
        <w:ind w:firstLine="645"/>
        <w:spacing w:after="0" w:line="255" w:lineRule="auto"/>
        <w:tabs>
          <w:tab w:leader="none" w:pos="83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Representation by the Holder</w:t>
      </w:r>
      <w:r>
        <w:rPr>
          <w:rFonts w:ascii="Arial" w:cs="Arial" w:eastAsia="Arial" w:hAnsi="Arial"/>
          <w:sz w:val="18"/>
          <w:szCs w:val="18"/>
          <w:color w:val="auto"/>
        </w:rPr>
        <w:t>. The Holder, by the acceptance hereof, represents and warrants that (i)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and (ii) it is not purchasing the Securities as a result of any advertisement, article, notice, electronic mail, website or other communication regarding this Warrant or the underlying securities published in any newspaper, magazine, internet platform or similar media or broadcast over television or radio or presented at any seminar or, to the knowledge of the Holder, any other general solicitation or general advertisement.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79" w:lineRule="auto"/>
        <w:tabs>
          <w:tab w:leader="none" w:pos="83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 Rights as Stockholder Until Exercise; No Settlement in Cash</w:t>
      </w:r>
      <w:r>
        <w:rPr>
          <w:rFonts w:ascii="Arial" w:cs="Arial" w:eastAsia="Arial" w:hAnsi="Arial"/>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the rights of a Holder to receive Warrant Shares on a “cashless exercise,” and to receive the cash payments contemplated pursuant to Sections 2(d)(i) and 2(d)(iv), in no event will the Company be required to net cash settle a Warrant exercise.</w:t>
      </w:r>
    </w:p>
    <w:p>
      <w:pPr>
        <w:spacing w:after="0" w:line="171" w:lineRule="exact"/>
        <w:rPr>
          <w:rFonts w:ascii="Arial" w:cs="Arial" w:eastAsia="Arial" w:hAnsi="Arial"/>
          <w:sz w:val="17"/>
          <w:szCs w:val="17"/>
          <w:color w:val="auto"/>
        </w:rPr>
      </w:pPr>
    </w:p>
    <w:p>
      <w:pPr>
        <w:jc w:val="both"/>
        <w:ind w:firstLine="645"/>
        <w:spacing w:after="0" w:line="276" w:lineRule="auto"/>
        <w:tabs>
          <w:tab w:leader="none" w:pos="857"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2" w:lineRule="exact"/>
        <w:rPr>
          <w:rFonts w:ascii="Arial" w:cs="Arial" w:eastAsia="Arial" w:hAnsi="Arial"/>
          <w:sz w:val="17"/>
          <w:szCs w:val="17"/>
          <w:color w:val="auto"/>
        </w:rPr>
      </w:pPr>
    </w:p>
    <w:p>
      <w:pPr>
        <w:ind w:right="20" w:firstLine="645"/>
        <w:spacing w:after="0" w:line="342" w:lineRule="auto"/>
        <w:tabs>
          <w:tab w:leader="none" w:pos="84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19" w:name="page20"/>
    <w:bookmarkEnd w:id="19"/>
    <w:p>
      <w:pPr>
        <w:ind w:left="300" w:hanging="195"/>
        <w:spacing w:after="0"/>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00" w:firstLine="648"/>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9" w:lineRule="exact"/>
        <w:rPr>
          <w:sz w:val="20"/>
          <w:szCs w:val="20"/>
          <w:color w:val="auto"/>
        </w:rPr>
      </w:pPr>
    </w:p>
    <w:p>
      <w:pPr>
        <w:jc w:val="both"/>
        <w:ind w:left="100" w:firstLine="648"/>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8" w:lineRule="exact"/>
        <w:rPr>
          <w:sz w:val="20"/>
          <w:szCs w:val="20"/>
          <w:color w:val="auto"/>
        </w:rPr>
      </w:pPr>
    </w:p>
    <w:p>
      <w:pPr>
        <w:jc w:val="both"/>
        <w:ind w:left="100" w:firstLine="648"/>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20" w:name="page21"/>
    <w:bookmarkEnd w:id="20"/>
    <w:p>
      <w:pPr>
        <w:jc w:val="both"/>
        <w:ind w:left="-540" w:firstLine="645"/>
        <w:spacing w:after="0" w:line="268" w:lineRule="auto"/>
        <w:tabs>
          <w:tab w:leader="none" w:pos="29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All questions concerning the construction, validity, enforcement and interpretation of this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Arial" w:cs="Arial" w:eastAsia="Arial" w:hAnsi="Arial"/>
          <w:sz w:val="17"/>
          <w:szCs w:val="17"/>
          <w:u w:val="single" w:color="auto"/>
          <w:color w:val="auto"/>
        </w:rPr>
        <w:t>New York Courts</w:t>
      </w:r>
      <w:r>
        <w:rPr>
          <w:rFonts w:ascii="Arial" w:cs="Arial" w:eastAsia="Arial" w:hAnsi="Arial"/>
          <w:sz w:val="17"/>
          <w:szCs w:val="17"/>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w:t>
      </w:r>
    </w:p>
    <w:p>
      <w:pPr>
        <w:spacing w:after="0" w:line="187" w:lineRule="exact"/>
        <w:rPr>
          <w:rFonts w:ascii="Arial" w:cs="Arial" w:eastAsia="Arial" w:hAnsi="Arial"/>
          <w:sz w:val="17"/>
          <w:szCs w:val="17"/>
          <w:color w:val="auto"/>
        </w:rPr>
      </w:pPr>
    </w:p>
    <w:p>
      <w:pPr>
        <w:ind w:left="-540" w:firstLine="645"/>
        <w:spacing w:after="0" w:line="277" w:lineRule="auto"/>
        <w:tabs>
          <w:tab w:leader="none" w:pos="28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0" w:lineRule="exact"/>
        <w:rPr>
          <w:rFonts w:ascii="Arial" w:cs="Arial" w:eastAsia="Arial" w:hAnsi="Arial"/>
          <w:sz w:val="18"/>
          <w:szCs w:val="18"/>
          <w:color w:val="auto"/>
        </w:rPr>
      </w:pPr>
    </w:p>
    <w:p>
      <w:pPr>
        <w:jc w:val="both"/>
        <w:ind w:left="-540" w:firstLine="645"/>
        <w:spacing w:after="0" w:line="255" w:lineRule="auto"/>
        <w:tabs>
          <w:tab w:leader="none" w:pos="30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93" w:lineRule="exact"/>
        <w:rPr>
          <w:rFonts w:ascii="Arial" w:cs="Arial" w:eastAsia="Arial" w:hAnsi="Arial"/>
          <w:sz w:val="18"/>
          <w:szCs w:val="18"/>
          <w:color w:val="auto"/>
        </w:rPr>
      </w:pPr>
    </w:p>
    <w:p>
      <w:pPr>
        <w:jc w:val="both"/>
        <w:ind w:left="-540" w:firstLine="645"/>
        <w:spacing w:after="0" w:line="268" w:lineRule="auto"/>
        <w:tabs>
          <w:tab w:leader="none" w:pos="34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the address set forth above Attention: Chief Executive Officer, facsimile number 781-556-5347, email address info@microbotmedical.com,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time of transmission, if such notice or communication is delivered via facsimile or email at the facsimile number or email address set forth in this Section prior to 5:30 p.m. (New York City time) on any date, (ii) the next Trading Day after the time of transmission, if such notice or communication is delivered via facsimile or email at the facsimile number or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21" w:name="page22"/>
    <w:bookmarkEnd w:id="21"/>
    <w:p>
      <w:pPr>
        <w:jc w:val="both"/>
        <w:ind w:firstLine="645"/>
        <w:spacing w:after="0" w:line="312" w:lineRule="auto"/>
        <w:tabs>
          <w:tab w:leader="none" w:pos="803"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46" w:lineRule="exact"/>
        <w:rPr>
          <w:rFonts w:ascii="Arial" w:cs="Arial" w:eastAsia="Arial" w:hAnsi="Arial"/>
          <w:sz w:val="16"/>
          <w:szCs w:val="16"/>
          <w:color w:val="auto"/>
        </w:rPr>
      </w:pPr>
    </w:p>
    <w:p>
      <w:pPr>
        <w:jc w:val="both"/>
        <w:ind w:firstLine="645"/>
        <w:spacing w:after="0" w:line="259" w:lineRule="auto"/>
        <w:tabs>
          <w:tab w:leader="none" w:pos="80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45"/>
        <w:spacing w:after="0" w:line="259"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800" w:hanging="155"/>
        <w:spacing w:after="0"/>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w:t>
      </w:r>
    </w:p>
    <w:p>
      <w:pPr>
        <w:spacing w:after="0" w:line="210" w:lineRule="exact"/>
        <w:rPr>
          <w:rFonts w:ascii="Arial" w:cs="Arial" w:eastAsia="Arial" w:hAnsi="Arial"/>
          <w:sz w:val="16"/>
          <w:szCs w:val="16"/>
          <w:color w:val="auto"/>
        </w:rPr>
      </w:pPr>
    </w:p>
    <w:p>
      <w:pPr>
        <w:jc w:val="both"/>
        <w:ind w:firstLine="645"/>
        <w:spacing w:after="0" w:line="312" w:lineRule="auto"/>
        <w:tabs>
          <w:tab w:leader="none" w:pos="907"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6" w:lineRule="exact"/>
        <w:rPr>
          <w:rFonts w:ascii="Arial" w:cs="Arial" w:eastAsia="Arial" w:hAnsi="Arial"/>
          <w:sz w:val="16"/>
          <w:szCs w:val="16"/>
          <w:color w:val="auto"/>
        </w:rPr>
      </w:pPr>
    </w:p>
    <w:p>
      <w:pPr>
        <w:jc w:val="both"/>
        <w:ind w:firstLine="645"/>
        <w:spacing w:after="0" w:line="286" w:lineRule="auto"/>
        <w:tabs>
          <w:tab w:leader="none" w:pos="843"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used in this Warrant are for the convenience of reference only and shall not, for any purpose, be deemed a part of this Warrant. A signed copy of this Warrant delivered by facsimile, e-mail or other means of electronic transmission (to which a .pdf copy is attached) shall be deemed to have the same legal effect as delivery of an original signed copy of this Agreement.</w:t>
      </w:r>
    </w:p>
    <w:p>
      <w:pPr>
        <w:spacing w:after="0" w:line="16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indicated.</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MICROBOT MEDICAL INC.</w:t>
      </w:r>
    </w:p>
    <w:p>
      <w:pPr>
        <w:spacing w:after="0" w:line="225" w:lineRule="exact"/>
        <w:rPr>
          <w:sz w:val="20"/>
          <w:szCs w:val="20"/>
          <w:color w:val="auto"/>
        </w:rPr>
      </w:pPr>
    </w:p>
    <w:p>
      <w:pPr>
        <w:ind w:firstLine="1305"/>
        <w:spacing w:after="0" w:line="308" w:lineRule="auto"/>
        <w:tabs>
          <w:tab w:leader="none" w:pos="156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760"/>
        <w:spacing w:after="0" w:line="264" w:lineRule="auto"/>
        <w:rPr>
          <w:sz w:val="20"/>
          <w:szCs w:val="20"/>
          <w:color w:val="auto"/>
        </w:rPr>
      </w:pPr>
      <w:r>
        <w:rPr>
          <w:rFonts w:ascii="Arial" w:cs="Arial" w:eastAsia="Arial" w:hAnsi="Arial"/>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left="1560" w:hanging="255"/>
        <w:spacing w:after="0"/>
        <w:tabs>
          <w:tab w:leader="none" w:pos="1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560" w:hanging="255"/>
        <w:spacing w:after="0"/>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Accredited Investor. The undersigned is an “accredited investor” as defined in Regulation D promulgated under the Securities Act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1933,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4" w:name="page25"/>
    <w:bookmarkEnd w:id="24"/>
    <w:p>
      <w:pPr>
        <w:ind w:left="1048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7220" w:type="dxa"/>
            <w:vAlign w:val="bottom"/>
          </w:tcPr>
          <w:p>
            <w:pPr>
              <w:ind w:left="660"/>
              <w:spacing w:after="0"/>
              <w:rPr>
                <w:sz w:val="20"/>
                <w:szCs w:val="20"/>
                <w:color w:val="auto"/>
              </w:rPr>
            </w:pPr>
            <w:r>
              <w:rPr>
                <w:rFonts w:ascii="Arial" w:cs="Arial" w:eastAsia="Arial" w:hAnsi="Arial"/>
                <w:sz w:val="18"/>
                <w:szCs w:val="18"/>
                <w:color w:val="auto"/>
              </w:rPr>
              <w:t>ASSIGNMENT FORM</w:t>
            </w:r>
          </w:p>
        </w:tc>
      </w:tr>
      <w:tr>
        <w:trPr>
          <w:trHeight w:val="432"/>
        </w:trPr>
        <w:tc>
          <w:tcPr>
            <w:tcW w:w="11420" w:type="dxa"/>
            <w:vAlign w:val="bottom"/>
            <w:gridSpan w:val="2"/>
          </w:tcPr>
          <w:p>
            <w:pPr>
              <w:ind w:left="200"/>
              <w:spacing w:after="0"/>
              <w:rPr>
                <w:sz w:val="20"/>
                <w:szCs w:val="20"/>
                <w:color w:val="auto"/>
              </w:rPr>
            </w:pPr>
            <w:r>
              <w:rPr>
                <w:rFonts w:ascii="Arial" w:cs="Arial" w:eastAsia="Arial" w:hAnsi="Arial"/>
                <w:sz w:val="18"/>
                <w:szCs w:val="18"/>
                <w:i w:val="1"/>
                <w:iCs w:val="1"/>
                <w:color w:val="auto"/>
              </w:rPr>
              <w:t>(To assign the foregoing Warrant, execute this form and supply required information. Do not use this form to purchase shares.)</w:t>
            </w:r>
          </w:p>
        </w:tc>
      </w:tr>
      <w:tr>
        <w:trPr>
          <w:trHeight w:val="432"/>
        </w:trPr>
        <w:tc>
          <w:tcPr>
            <w:tcW w:w="11420" w:type="dxa"/>
            <w:vAlign w:val="bottom"/>
            <w:gridSpan w:val="2"/>
          </w:tcPr>
          <w:p>
            <w:pPr>
              <w:ind w:left="200"/>
              <w:spacing w:after="0"/>
              <w:rPr>
                <w:sz w:val="20"/>
                <w:szCs w:val="20"/>
                <w:color w:val="auto"/>
              </w:rPr>
            </w:pPr>
            <w:r>
              <w:rPr>
                <w:rFonts w:ascii="Arial" w:cs="Arial" w:eastAsia="Arial" w:hAnsi="Arial"/>
                <w:sz w:val="18"/>
                <w:szCs w:val="18"/>
                <w:color w:val="auto"/>
              </w:rPr>
              <w:t>FOR VALUE RECEIVED, the foregoing Warrant and all rights evidenced thereby are hereby assigned to</w:t>
            </w:r>
          </w:p>
        </w:tc>
      </w:tr>
      <w:tr>
        <w:trPr>
          <w:trHeight w:val="418"/>
        </w:trPr>
        <w:tc>
          <w:tcPr>
            <w:tcW w:w="4200" w:type="dxa"/>
            <w:vAlign w:val="bottom"/>
          </w:tcPr>
          <w:p>
            <w:pPr>
              <w:spacing w:after="0"/>
              <w:rPr>
                <w:sz w:val="20"/>
                <w:szCs w:val="20"/>
                <w:color w:val="auto"/>
              </w:rPr>
            </w:pPr>
            <w:r>
              <w:rPr>
                <w:rFonts w:ascii="Arial" w:cs="Arial" w:eastAsia="Arial" w:hAnsi="Arial"/>
                <w:sz w:val="18"/>
                <w:szCs w:val="18"/>
                <w:color w:val="auto"/>
              </w:rPr>
              <w:t>Name:</w:t>
            </w:r>
          </w:p>
        </w:tc>
        <w:tc>
          <w:tcPr>
            <w:tcW w:w="7220" w:type="dxa"/>
            <w:vAlign w:val="bottom"/>
          </w:tcPr>
          <w:p>
            <w:pPr>
              <w:ind w:left="1520"/>
              <w:spacing w:after="0"/>
              <w:rPr>
                <w:sz w:val="20"/>
                <w:szCs w:val="20"/>
                <w:color w:val="auto"/>
              </w:rPr>
            </w:pPr>
            <w:r>
              <w:rPr>
                <w:rFonts w:ascii="Arial" w:cs="Arial" w:eastAsia="Arial" w:hAnsi="Arial"/>
                <w:sz w:val="18"/>
                <w:szCs w:val="18"/>
                <w:color w:val="auto"/>
              </w:rPr>
              <w:t>____________________________________________</w:t>
            </w:r>
          </w:p>
        </w:tc>
      </w:tr>
      <w:tr>
        <w:trPr>
          <w:trHeight w:val="230"/>
        </w:trPr>
        <w:tc>
          <w:tcPr>
            <w:tcW w:w="4200" w:type="dxa"/>
            <w:vAlign w:val="bottom"/>
          </w:tcPr>
          <w:p>
            <w:pPr>
              <w:spacing w:after="0"/>
              <w:rPr>
                <w:sz w:val="20"/>
                <w:szCs w:val="20"/>
                <w:color w:val="auto"/>
              </w:rPr>
            </w:pPr>
          </w:p>
        </w:tc>
        <w:tc>
          <w:tcPr>
            <w:tcW w:w="7220" w:type="dxa"/>
            <w:vAlign w:val="bottom"/>
          </w:tcPr>
          <w:p>
            <w:pPr>
              <w:ind w:left="1520"/>
              <w:spacing w:after="0"/>
              <w:rPr>
                <w:sz w:val="20"/>
                <w:szCs w:val="20"/>
                <w:color w:val="auto"/>
              </w:rPr>
            </w:pPr>
            <w:r>
              <w:rPr>
                <w:rFonts w:ascii="Arial" w:cs="Arial" w:eastAsia="Arial" w:hAnsi="Arial"/>
                <w:sz w:val="18"/>
                <w:szCs w:val="18"/>
                <w:color w:val="auto"/>
              </w:rPr>
              <w:t>(Please Print)</w:t>
            </w:r>
          </w:p>
        </w:tc>
      </w:tr>
      <w:tr>
        <w:trPr>
          <w:trHeight w:val="418"/>
        </w:trPr>
        <w:tc>
          <w:tcPr>
            <w:tcW w:w="4200" w:type="dxa"/>
            <w:vAlign w:val="bottom"/>
          </w:tcPr>
          <w:p>
            <w:pPr>
              <w:spacing w:after="0"/>
              <w:rPr>
                <w:sz w:val="20"/>
                <w:szCs w:val="20"/>
                <w:color w:val="auto"/>
              </w:rPr>
            </w:pPr>
            <w:r>
              <w:rPr>
                <w:rFonts w:ascii="Arial" w:cs="Arial" w:eastAsia="Arial" w:hAnsi="Arial"/>
                <w:sz w:val="18"/>
                <w:szCs w:val="18"/>
                <w:color w:val="auto"/>
              </w:rPr>
              <w:t>Address:</w:t>
            </w:r>
          </w:p>
        </w:tc>
        <w:tc>
          <w:tcPr>
            <w:tcW w:w="7220" w:type="dxa"/>
            <w:vAlign w:val="bottom"/>
          </w:tcPr>
          <w:p>
            <w:pPr>
              <w:ind w:left="1520"/>
              <w:spacing w:after="0"/>
              <w:rPr>
                <w:sz w:val="20"/>
                <w:szCs w:val="20"/>
                <w:color w:val="auto"/>
              </w:rPr>
            </w:pPr>
            <w:r>
              <w:rPr>
                <w:rFonts w:ascii="Arial" w:cs="Arial" w:eastAsia="Arial" w:hAnsi="Arial"/>
                <w:sz w:val="18"/>
                <w:szCs w:val="18"/>
                <w:color w:val="auto"/>
              </w:rPr>
              <w:t>____________________________________________</w:t>
            </w:r>
          </w:p>
        </w:tc>
      </w:tr>
      <w:tr>
        <w:trPr>
          <w:trHeight w:val="230"/>
        </w:trPr>
        <w:tc>
          <w:tcPr>
            <w:tcW w:w="4200" w:type="dxa"/>
            <w:vAlign w:val="bottom"/>
          </w:tcPr>
          <w:p>
            <w:pPr>
              <w:spacing w:after="0"/>
              <w:rPr>
                <w:sz w:val="20"/>
                <w:szCs w:val="20"/>
                <w:color w:val="auto"/>
              </w:rPr>
            </w:pPr>
          </w:p>
        </w:tc>
        <w:tc>
          <w:tcPr>
            <w:tcW w:w="7220" w:type="dxa"/>
            <w:vAlign w:val="bottom"/>
          </w:tcPr>
          <w:p>
            <w:pPr>
              <w:ind w:left="1520"/>
              <w:spacing w:after="0"/>
              <w:rPr>
                <w:sz w:val="20"/>
                <w:szCs w:val="20"/>
                <w:color w:val="auto"/>
              </w:rPr>
            </w:pPr>
            <w:r>
              <w:rPr>
                <w:rFonts w:ascii="Arial" w:cs="Arial" w:eastAsia="Arial" w:hAnsi="Arial"/>
                <w:sz w:val="18"/>
                <w:szCs w:val="18"/>
                <w:color w:val="auto"/>
              </w:rPr>
              <w:t>(Please Print)</w:t>
            </w: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Phone Number:</w:t>
            </w:r>
          </w:p>
        </w:tc>
        <w:tc>
          <w:tcPr>
            <w:tcW w:w="7220" w:type="dxa"/>
            <w:vAlign w:val="bottom"/>
          </w:tcPr>
          <w:p>
            <w:pPr>
              <w:ind w:left="1520"/>
              <w:spacing w:after="0"/>
              <w:rPr>
                <w:sz w:val="20"/>
                <w:szCs w:val="20"/>
                <w:color w:val="auto"/>
              </w:rPr>
            </w:pPr>
            <w:r>
              <w:rPr>
                <w:rFonts w:ascii="Arial" w:cs="Arial" w:eastAsia="Arial" w:hAnsi="Arial"/>
                <w:sz w:val="18"/>
                <w:szCs w:val="18"/>
                <w:color w:val="auto"/>
              </w:rPr>
              <w:t>____________________________________________</w:t>
            </w: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Email Address:</w:t>
            </w:r>
          </w:p>
        </w:tc>
        <w:tc>
          <w:tcPr>
            <w:tcW w:w="7220" w:type="dxa"/>
            <w:vAlign w:val="bottom"/>
          </w:tcPr>
          <w:p>
            <w:pPr>
              <w:ind w:left="1520"/>
              <w:spacing w:after="0"/>
              <w:rPr>
                <w:sz w:val="20"/>
                <w:szCs w:val="20"/>
                <w:color w:val="auto"/>
              </w:rPr>
            </w:pPr>
            <w:r>
              <w:rPr>
                <w:rFonts w:ascii="Arial" w:cs="Arial" w:eastAsia="Arial" w:hAnsi="Arial"/>
                <w:sz w:val="18"/>
                <w:szCs w:val="18"/>
                <w:color w:val="auto"/>
              </w:rPr>
              <w:t>____________________________________________</w:t>
            </w: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Dated: _______________ __, ______</w:t>
            </w:r>
          </w:p>
        </w:tc>
        <w:tc>
          <w:tcPr>
            <w:tcW w:w="7220" w:type="dxa"/>
            <w:vAlign w:val="bottom"/>
          </w:tcPr>
          <w:p>
            <w:pPr>
              <w:spacing w:after="0"/>
              <w:rPr>
                <w:sz w:val="24"/>
                <w:szCs w:val="24"/>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Holder’s Signature: _______________________</w:t>
            </w:r>
          </w:p>
        </w:tc>
        <w:tc>
          <w:tcPr>
            <w:tcW w:w="7220" w:type="dxa"/>
            <w:vAlign w:val="bottom"/>
          </w:tcPr>
          <w:p>
            <w:pPr>
              <w:spacing w:after="0"/>
              <w:rPr>
                <w:sz w:val="24"/>
                <w:szCs w:val="24"/>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Holder’s Address: _______________________</w:t>
            </w:r>
          </w:p>
        </w:tc>
        <w:tc>
          <w:tcPr>
            <w:tcW w:w="7220" w:type="dxa"/>
            <w:vAlign w:val="bottom"/>
          </w:tcPr>
          <w:p>
            <w:pPr>
              <w:spacing w:after="0"/>
              <w:rPr>
                <w:sz w:val="24"/>
                <w:szCs w:val="24"/>
                <w:color w:val="auto"/>
              </w:rPr>
            </w:pPr>
          </w:p>
        </w:tc>
      </w:tr>
      <w:tr>
        <w:trPr>
          <w:trHeight w:val="439"/>
        </w:trPr>
        <w:tc>
          <w:tcPr>
            <w:tcW w:w="420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5" w:name="page26"/>
    <w:bookmarkEnd w:id="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-121920</wp:posOffset>
            </wp:positionV>
            <wp:extent cx="685800" cy="805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85800" cy="80581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617-542-6000</w:t>
      </w:r>
    </w:p>
    <w:p>
      <w:pPr>
        <w:spacing w:after="0" w:line="9" w:lineRule="exact"/>
        <w:rPr>
          <w:sz w:val="20"/>
          <w:szCs w:val="20"/>
          <w:color w:val="auto"/>
        </w:rPr>
      </w:pPr>
    </w:p>
    <w:p>
      <w:pPr>
        <w:ind w:left="10120"/>
        <w:spacing w:after="0"/>
        <w:rPr>
          <w:sz w:val="20"/>
          <w:szCs w:val="20"/>
          <w:color w:val="auto"/>
        </w:rPr>
      </w:pPr>
      <w:r>
        <w:rPr>
          <w:rFonts w:ascii="Arial" w:cs="Arial" w:eastAsia="Arial" w:hAnsi="Arial"/>
          <w:sz w:val="16"/>
          <w:szCs w:val="16"/>
          <w:color w:val="auto"/>
        </w:rPr>
        <w:t>617-542-2241 fax</w:t>
      </w:r>
    </w:p>
    <w:p>
      <w:pPr>
        <w:spacing w:after="0" w:line="32"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www.mintz.com</w:t>
      </w:r>
    </w:p>
    <w:p>
      <w:pPr>
        <w:spacing w:after="0" w:line="200" w:lineRule="exact"/>
        <w:rPr>
          <w:sz w:val="20"/>
          <w:szCs w:val="20"/>
          <w:color w:val="auto"/>
        </w:rPr>
      </w:pPr>
    </w:p>
    <w:p>
      <w:pPr>
        <w:spacing w:after="0" w:line="223" w:lineRule="exact"/>
        <w:rPr>
          <w:sz w:val="20"/>
          <w:szCs w:val="20"/>
          <w:color w:val="auto"/>
        </w:rPr>
      </w:pPr>
    </w:p>
    <w:p>
      <w:pPr>
        <w:ind w:left="10180"/>
        <w:spacing w:after="0"/>
        <w:rPr>
          <w:sz w:val="20"/>
          <w:szCs w:val="20"/>
          <w:color w:val="auto"/>
        </w:rPr>
      </w:pPr>
      <w:r>
        <w:rPr>
          <w:rFonts w:ascii="Arial" w:cs="Arial" w:eastAsia="Arial" w:hAnsi="Arial"/>
          <w:sz w:val="16"/>
          <w:szCs w:val="16"/>
          <w:color w:val="auto"/>
        </w:rPr>
        <w:t>January 16,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 02043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We have acted as legal counsel to Microbot Medical Inc., a Delaware corporation (the “Company”), in connection with the preparation and filing with the Securities and Exchange Commission (the “Commission”) of a Prospectus Supplement, dated January 15, 2019 (the “Prospectus Supplement”), to a Registration Statement (File No.: 333-217076) on Form S-3 (the “Registration Statement”), filed by the Company with the Commission under the Securities Act of 1933, as amended (the “Securities Act”). The Prospectus Supplement relates to the issuance and sale of shares (the “Shares”) of the Company’s common stock, $0.01 par value per share (the “Common Stock”) pursuant to a Securities Purchase Agreement, dated January 15, 2019, between the Company and the purchasers named therein (the “Purchase Agreement”).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Purchase Agreement.</w:t>
      </w:r>
    </w:p>
    <w:p>
      <w:pPr>
        <w:spacing w:after="0" w:line="166"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(i) the Registration Statement, including the Prospectus Supplement, (ii) the Purchase Agreement, (iii) the Restated Certificate of Incorporation of the Company, as amended, as currently in effect, (iv) the Amended and Restated Bylaws of the Company, as currently in effect, and (v) certain resolutions adopted by the Board of Directors of the Company and committees thereof with respect to the Purchase Agreement and the issuance of the Shares.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 set forth herein.</w:t>
      </w:r>
    </w:p>
    <w:p>
      <w:pPr>
        <w:spacing w:after="0" w:line="18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 We have relied, without independent verification, on certificates of public officials and, as to matters of fact material to the opinions set forth below, on certificates of officers of the Company.</w:t>
      </w:r>
    </w:p>
    <w:p>
      <w:pPr>
        <w:spacing w:after="0" w:line="18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opinion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181"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885825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114300</wp:posOffset>
            </wp:positionV>
            <wp:extent cx="5574030" cy="497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574030" cy="49720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25"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Based upon, subject to and limited by the foregoing, as of the date hereof, we are of the opinion that the Shares, when issued and sold in accordance with the Purchase Agreement and in the manner contemplated by the Registration Statement and the Prospectus Supplement, will be validly issued, fully paid and non-assessable.</w:t>
      </w:r>
    </w:p>
    <w:p>
      <w:pPr>
        <w:spacing w:after="0" w:line="181" w:lineRule="exact"/>
        <w:rPr>
          <w:sz w:val="20"/>
          <w:szCs w:val="20"/>
          <w:color w:val="auto"/>
        </w:rPr>
      </w:pPr>
    </w:p>
    <w:p>
      <w:pPr>
        <w:jc w:val="both"/>
        <w:ind w:firstLine="441"/>
        <w:spacing w:after="0" w:line="302" w:lineRule="auto"/>
        <w:rPr>
          <w:sz w:val="20"/>
          <w:szCs w:val="20"/>
          <w:color w:val="auto"/>
        </w:rPr>
      </w:pPr>
      <w:r>
        <w:rPr>
          <w:rFonts w:ascii="Arial" w:cs="Arial" w:eastAsia="Arial" w:hAnsi="Arial"/>
          <w:sz w:val="16"/>
          <w:szCs w:val="16"/>
          <w:color w:val="auto"/>
        </w:rPr>
        <w:t>We understand that you wish to file this opinion with the Commission as an exhibit to a Current Report on Form 8-K and the Registration Statement in accordance with the requirements of Item 601(b)(5) of Regulation S-K promulgated under the Securities Act and to reference the firm’s name under the caption “Legal Matters” in the Prospectus Supplement,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January 15, 2019, between Microbot Medical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subject to the terms and conditions set forth in this Agreement and pursuant to an effective registration statement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Company desires to issue and sell to each Purchaser, and each Purchaser, severally and not jointly, desires to purchase from the Company, securities of the Company as more fully described in this Agreement.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“Acquiring Person”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(2nd) Trading Day following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Counsel</w:t>
      </w:r>
      <w:r>
        <w:rPr>
          <w:rFonts w:ascii="Arial" w:cs="Arial" w:eastAsia="Arial" w:hAnsi="Arial"/>
          <w:sz w:val="16"/>
          <w:szCs w:val="16"/>
          <w:color w:val="auto"/>
        </w:rPr>
        <w:t>” means Mintz, Levin, Cohn, Ferris, Glovsky and Popeo, P.C., with offices located at One Financial Center, Boston, MA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02111.</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any day that is not a Trading Day or after 9:00 a.m. (New York City time) and before midnight (New York City time) on any Trading Day, no later than 9:01 a.m. (New York City time) on the Trading Day immediately following the date hereof, unless otherwise instructed to an earlier time by the Placement Agent (ii) if this Agreement is signed between midnight (New York City time) and 9:00 a.m. (New York City time) on any Trading Day, no later than 9:01 a.m. (New York City time) on the date hereof, unless otherwise instructed to an earlier time by the Placement Agent.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FDCA</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1" w:name="page32"/>
    <w:bookmarkEnd w:id="31"/>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material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$10.00,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Pharmaceutical Product</w:t>
      </w:r>
      <w:r>
        <w:rPr>
          <w:rFonts w:ascii="Arial" w:cs="Arial" w:eastAsia="Arial" w:hAnsi="Arial"/>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base prospectus filed for the Registration Statement.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333-217076 which registers the sale of the Shares to the Purchasers.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2" w:name="page33"/>
    <w:bookmarkEnd w:id="32"/>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Computershare Trust Company, with offices located at Meidinger Tower, 462 South 4th Street, Louisville, KY 40202, and any successor transfer agent of the Company.</w:t>
      </w:r>
    </w:p>
    <w:p>
      <w:pPr>
        <w:spacing w:after="0" w:line="170"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the Company agrees to sell, and the Purchasers, severally and not jointly, agree to purchase, up to an aggregate of approximately $5.9 million of Shares as determined pursuant to Section 2.2(a). Each Purchaser’s Subscription Amount as set forth on the signature page hereto executed by such Purchaser shall be made available for “Delivery Versus Payment” settlement with the Company or its designees.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the Placement Agent or such other location as the parties shall mutually agree. Unless otherwise directed by the Placement Agent, settlement of the Shares shall occur via “Delivery Versus Payment” (“</w:t>
      </w:r>
      <w:r>
        <w:rPr>
          <w:rFonts w:ascii="Arial" w:cs="Arial" w:eastAsia="Arial" w:hAnsi="Arial"/>
          <w:sz w:val="16"/>
          <w:szCs w:val="16"/>
          <w:u w:val="single" w:color="auto"/>
          <w:color w:val="auto"/>
        </w:rPr>
        <w:t>DVP</w:t>
      </w:r>
      <w:r>
        <w:rPr>
          <w:rFonts w:ascii="Arial" w:cs="Arial" w:eastAsia="Arial" w:hAnsi="Arial"/>
          <w:sz w:val="16"/>
          <w:szCs w:val="16"/>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Deliveries</w:t>
      </w:r>
      <w:r>
        <w:rPr>
          <w:rFonts w:ascii="Arial" w:cs="Arial" w:eastAsia="Arial" w:hAnsi="Arial"/>
          <w:sz w:val="18"/>
          <w:szCs w:val="18"/>
          <w:color w:val="auto"/>
        </w:rPr>
        <w:t>.</w:t>
      </w:r>
    </w:p>
    <w:p>
      <w:pPr>
        <w:spacing w:after="0" w:line="225" w:lineRule="exact"/>
        <w:rPr>
          <w:sz w:val="20"/>
          <w:szCs w:val="20"/>
          <w:color w:val="auto"/>
        </w:rPr>
      </w:pPr>
    </w:p>
    <w:p>
      <w:pPr>
        <w:ind w:left="1540" w:hanging="235"/>
        <w:spacing w:after="0"/>
        <w:tabs>
          <w:tab w:leader="none" w:pos="1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2220" w:hanging="267"/>
        <w:spacing w:after="0"/>
        <w:tabs>
          <w:tab w:leader="none" w:pos="22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legal opinion of Company Counsel, in a form reasonably acceptable to the Placement Agent and Purchasers;</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Company’s wire instructions, on Company letterhead and executed by the Chief Executive Officer or Chief Financial</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Officer;</w:t>
      </w:r>
    </w:p>
    <w:p>
      <w:pPr>
        <w:spacing w:after="0" w:line="210" w:lineRule="exact"/>
        <w:rPr>
          <w:rFonts w:ascii="Arial" w:cs="Arial" w:eastAsia="Arial" w:hAnsi="Arial"/>
          <w:sz w:val="17"/>
          <w:szCs w:val="17"/>
          <w:color w:val="auto"/>
        </w:rPr>
      </w:pPr>
    </w:p>
    <w:p>
      <w:pPr>
        <w:jc w:val="both"/>
        <w:ind w:left="1300" w:firstLine="653"/>
        <w:spacing w:after="0" w:line="312" w:lineRule="auto"/>
        <w:tabs>
          <w:tab w:leader="none" w:pos="2258" w:val="left"/>
        </w:tabs>
        <w:numPr>
          <w:ilvl w:val="1"/>
          <w:numId w:val="25"/>
        </w:numPr>
        <w:rPr>
          <w:rFonts w:ascii="Arial" w:cs="Arial" w:eastAsia="Arial" w:hAnsi="Arial"/>
          <w:sz w:val="16"/>
          <w:szCs w:val="16"/>
          <w:color w:val="auto"/>
        </w:rPr>
      </w:pPr>
      <w:r>
        <w:rPr>
          <w:rFonts w:ascii="Arial" w:cs="Arial" w:eastAsia="Arial" w:hAnsi="Arial"/>
          <w:sz w:val="16"/>
          <w:szCs w:val="16"/>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Shares equal to such Purchaser’s Subscription Amount divided by the Per Share Purchase Price, registered in the name of such Purchaser; and</w:t>
      </w:r>
    </w:p>
    <w:p>
      <w:pPr>
        <w:spacing w:after="0" w:line="146" w:lineRule="exact"/>
        <w:rPr>
          <w:rFonts w:ascii="Arial" w:cs="Arial" w:eastAsia="Arial" w:hAnsi="Arial"/>
          <w:sz w:val="16"/>
          <w:szCs w:val="16"/>
          <w:color w:val="auto"/>
        </w:rPr>
      </w:pPr>
    </w:p>
    <w:p>
      <w:pPr>
        <w:ind w:left="2200" w:hanging="247"/>
        <w:spacing w:after="0"/>
        <w:tabs>
          <w:tab w:leader="none" w:pos="22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 Act).</w:t>
      </w:r>
    </w:p>
    <w:p>
      <w:pPr>
        <w:spacing w:after="0" w:line="248" w:lineRule="exact"/>
        <w:rPr>
          <w:rFonts w:ascii="Arial" w:cs="Arial" w:eastAsia="Arial" w:hAnsi="Arial"/>
          <w:sz w:val="16"/>
          <w:szCs w:val="16"/>
          <w:color w:val="auto"/>
        </w:rPr>
      </w:pPr>
    </w:p>
    <w:p>
      <w:pPr>
        <w:ind w:left="1560" w:hanging="255"/>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1300" w:firstLine="653"/>
        <w:spacing w:after="0" w:line="277" w:lineRule="auto"/>
        <w:tabs>
          <w:tab w:leader="none" w:pos="22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Closing Conditions</w:t>
      </w:r>
      <w:r>
        <w:rPr>
          <w:rFonts w:ascii="Arial" w:cs="Arial" w:eastAsia="Arial" w:hAnsi="Arial"/>
          <w:sz w:val="18"/>
          <w:szCs w:val="18"/>
          <w:color w:val="auto"/>
        </w:rPr>
        <w:t>.</w:t>
      </w:r>
    </w:p>
    <w:p>
      <w:pPr>
        <w:spacing w:after="0" w:line="225" w:lineRule="exact"/>
        <w:rPr>
          <w:sz w:val="20"/>
          <w:szCs w:val="20"/>
          <w:color w:val="auto"/>
        </w:rPr>
      </w:pPr>
    </w:p>
    <w:p>
      <w:pPr>
        <w:ind w:left="880" w:hanging="235"/>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obligations of the Company hereunder in connection with the Closing are subject to the following conditions being met:</w:t>
      </w:r>
    </w:p>
    <w:p>
      <w:pPr>
        <w:spacing w:after="0" w:line="225" w:lineRule="exact"/>
        <w:rPr>
          <w:rFonts w:ascii="Arial" w:cs="Arial" w:eastAsia="Arial" w:hAnsi="Arial"/>
          <w:sz w:val="18"/>
          <w:szCs w:val="18"/>
          <w:color w:val="auto"/>
        </w:rPr>
      </w:pPr>
    </w:p>
    <w:p>
      <w:pPr>
        <w:jc w:val="both"/>
        <w:ind w:left="640" w:firstLine="653"/>
        <w:spacing w:after="0" w:line="264" w:lineRule="auto"/>
        <w:tabs>
          <w:tab w:leader="none" w:pos="152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81" w:lineRule="exact"/>
        <w:rPr>
          <w:rFonts w:ascii="Arial" w:cs="Arial" w:eastAsia="Arial" w:hAnsi="Arial"/>
          <w:sz w:val="18"/>
          <w:szCs w:val="18"/>
          <w:color w:val="auto"/>
        </w:rPr>
      </w:pPr>
    </w:p>
    <w:p>
      <w:pPr>
        <w:ind w:left="640" w:firstLine="653"/>
        <w:spacing w:after="0" w:line="277" w:lineRule="auto"/>
        <w:tabs>
          <w:tab w:leader="none" w:pos="1556"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required to be performed at or prior to the Closing Date shall have been performed; and</w:t>
      </w:r>
    </w:p>
    <w:p>
      <w:pPr>
        <w:spacing w:after="0" w:line="170" w:lineRule="exact"/>
        <w:rPr>
          <w:rFonts w:ascii="Arial" w:cs="Arial" w:eastAsia="Arial" w:hAnsi="Arial"/>
          <w:sz w:val="18"/>
          <w:szCs w:val="18"/>
          <w:color w:val="auto"/>
        </w:rPr>
      </w:pPr>
    </w:p>
    <w:p>
      <w:pPr>
        <w:ind w:left="1600" w:hanging="307"/>
        <w:spacing w:after="0"/>
        <w:tabs>
          <w:tab w:leader="none" w:pos="1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900" w:hanging="25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 being met:</w:t>
      </w:r>
    </w:p>
    <w:p>
      <w:pPr>
        <w:spacing w:after="0" w:line="248" w:lineRule="exact"/>
        <w:rPr>
          <w:rFonts w:ascii="Arial" w:cs="Arial" w:eastAsia="Arial" w:hAnsi="Arial"/>
          <w:sz w:val="16"/>
          <w:szCs w:val="16"/>
          <w:color w:val="auto"/>
        </w:rPr>
      </w:pPr>
    </w:p>
    <w:p>
      <w:pPr>
        <w:jc w:val="both"/>
        <w:ind w:left="640" w:firstLine="653"/>
        <w:spacing w:after="0" w:line="264" w:lineRule="auto"/>
        <w:tabs>
          <w:tab w:leader="none" w:pos="152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81" w:lineRule="exact"/>
        <w:rPr>
          <w:rFonts w:ascii="Arial" w:cs="Arial" w:eastAsia="Arial" w:hAnsi="Arial"/>
          <w:sz w:val="18"/>
          <w:szCs w:val="18"/>
          <w:color w:val="auto"/>
        </w:rPr>
      </w:pPr>
    </w:p>
    <w:p>
      <w:pPr>
        <w:ind w:left="640" w:firstLine="653"/>
        <w:spacing w:after="0" w:line="277" w:lineRule="auto"/>
        <w:tabs>
          <w:tab w:leader="none" w:pos="1561"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required to be performed at or prior to the Closing Date shall have been performed;</w:t>
      </w:r>
    </w:p>
    <w:p>
      <w:pPr>
        <w:spacing w:after="0" w:line="170" w:lineRule="exact"/>
        <w:rPr>
          <w:rFonts w:ascii="Arial" w:cs="Arial" w:eastAsia="Arial" w:hAnsi="Arial"/>
          <w:sz w:val="18"/>
          <w:szCs w:val="18"/>
          <w:color w:val="auto"/>
        </w:rPr>
      </w:pPr>
    </w:p>
    <w:p>
      <w:pPr>
        <w:ind w:left="1600" w:hanging="307"/>
        <w:spacing w:after="0"/>
        <w:tabs>
          <w:tab w:leader="none" w:pos="1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1600" w:hanging="307"/>
        <w:spacing w:after="0"/>
        <w:tabs>
          <w:tab w:leader="none" w:pos="16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25" w:lineRule="exact"/>
        <w:rPr>
          <w:rFonts w:ascii="Arial" w:cs="Arial" w:eastAsia="Arial" w:hAnsi="Arial"/>
          <w:sz w:val="18"/>
          <w:szCs w:val="18"/>
          <w:color w:val="auto"/>
        </w:rPr>
      </w:pPr>
    </w:p>
    <w:p>
      <w:pPr>
        <w:jc w:val="both"/>
        <w:ind w:left="640" w:firstLine="653"/>
        <w:spacing w:after="0" w:line="291" w:lineRule="auto"/>
        <w:tabs>
          <w:tab w:leader="none" w:pos="1553" w:val="left"/>
        </w:tabs>
        <w:numPr>
          <w:ilvl w:val="1"/>
          <w:numId w:val="26"/>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9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Except as set forth in the SEC Reports or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66" w:lineRule="exact"/>
        <w:rPr>
          <w:sz w:val="20"/>
          <w:szCs w:val="20"/>
          <w:color w:val="auto"/>
        </w:rPr>
      </w:pPr>
    </w:p>
    <w:p>
      <w:pPr>
        <w:jc w:val="both"/>
        <w:ind w:left="660" w:firstLine="645"/>
        <w:spacing w:after="0" w:line="257" w:lineRule="auto"/>
        <w:tabs>
          <w:tab w:leader="none" w:pos="155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8" w:lineRule="exact"/>
        <w:rPr>
          <w:rFonts w:ascii="Arial" w:cs="Arial" w:eastAsia="Arial" w:hAnsi="Arial"/>
          <w:sz w:val="18"/>
          <w:szCs w:val="18"/>
          <w:color w:val="auto"/>
        </w:rPr>
      </w:pPr>
    </w:p>
    <w:p>
      <w:pPr>
        <w:jc w:val="both"/>
        <w:ind w:left="660" w:firstLine="645"/>
        <w:spacing w:after="0" w:line="269" w:lineRule="auto"/>
        <w:tabs>
          <w:tab w:leader="none" w:pos="1563"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7"/>
          <w:szCs w:val="17"/>
          <w:u w:val="single" w:color="auto"/>
          <w:color w:val="auto"/>
        </w:rPr>
        <w:t>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Adverse Effect</w:t>
      </w:r>
      <w:r>
        <w:rPr>
          <w:rFonts w:ascii="Arial" w:cs="Arial" w:eastAsia="Arial" w:hAnsi="Arial"/>
          <w:sz w:val="17"/>
          <w:szCs w:val="17"/>
          <w:color w:val="auto"/>
        </w:rPr>
        <w:t>”) and no Proceeding has been instituted in any such jurisdiction revoking, limiting or curtailing or seeking to revoke, limit or curtail such power and authority or qualification.</w:t>
      </w:r>
    </w:p>
    <w:p>
      <w:pPr>
        <w:spacing w:after="0" w:line="179" w:lineRule="exact"/>
        <w:rPr>
          <w:rFonts w:ascii="Arial" w:cs="Arial" w:eastAsia="Arial" w:hAnsi="Arial"/>
          <w:sz w:val="17"/>
          <w:szCs w:val="17"/>
          <w:color w:val="auto"/>
        </w:rPr>
      </w:pPr>
    </w:p>
    <w:p>
      <w:pPr>
        <w:jc w:val="both"/>
        <w:ind w:left="660" w:firstLine="645"/>
        <w:spacing w:after="0" w:line="269" w:lineRule="auto"/>
        <w:tabs>
          <w:tab w:leader="none" w:pos="158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w:t>
      </w:r>
      <w:r>
        <w:rPr>
          <w:rFonts w:ascii="Arial" w:cs="Arial" w:eastAsia="Arial" w:hAnsi="Arial"/>
          <w:sz w:val="17"/>
          <w:szCs w:val="17"/>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jc w:val="both"/>
        <w:ind w:left="-540" w:firstLine="645"/>
        <w:spacing w:after="0" w:line="269" w:lineRule="auto"/>
        <w:tabs>
          <w:tab w:leader="none" w:pos="377"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79" w:lineRule="exact"/>
        <w:rPr>
          <w:rFonts w:ascii="Arial" w:cs="Arial" w:eastAsia="Arial" w:hAnsi="Arial"/>
          <w:sz w:val="17"/>
          <w:szCs w:val="17"/>
          <w:color w:val="auto"/>
        </w:rPr>
      </w:pPr>
    </w:p>
    <w:p>
      <w:pPr>
        <w:jc w:val="both"/>
        <w:ind w:left="-540" w:firstLine="645"/>
        <w:spacing w:after="0" w:line="255" w:lineRule="auto"/>
        <w:tabs>
          <w:tab w:leader="none" w:pos="35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w:t>
      </w:r>
      <w:r>
        <w:rPr>
          <w:rFonts w:ascii="Arial" w:cs="Arial" w:eastAsia="Arial" w:hAnsi="Arial"/>
          <w:sz w:val="18"/>
          <w:szCs w:val="18"/>
          <w:u w:val="single" w:color="auto"/>
          <w:color w:val="auto"/>
        </w:rPr>
        <w:t>Required Approvals</w:t>
      </w:r>
      <w:r>
        <w:rPr>
          <w:rFonts w:ascii="Arial" w:cs="Arial" w:eastAsia="Arial" w:hAnsi="Arial"/>
          <w:sz w:val="18"/>
          <w:szCs w:val="18"/>
          <w:color w:val="auto"/>
        </w:rPr>
        <w:t>”).</w:t>
      </w:r>
    </w:p>
    <w:p>
      <w:pPr>
        <w:spacing w:after="0" w:line="19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37" w:name="page38"/>
    <w:bookmarkEnd w:id="37"/>
    <w:p>
      <w:pPr>
        <w:jc w:val="both"/>
        <w:ind w:left="-540" w:firstLine="645"/>
        <w:spacing w:after="0" w:line="285" w:lineRule="auto"/>
        <w:tabs>
          <w:tab w:leader="none" w:pos="333"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April 14, 2017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and such amendments and supplements thereto as may have been required to the date of this Agreement.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calendar (12) months prior to this offering, as set forth in General Instruction I.B.6 of Form S-3.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spacing w:after="0" w:line="170" w:lineRule="exact"/>
        <w:rPr>
          <w:rFonts w:ascii="Arial" w:cs="Arial" w:eastAsia="Arial" w:hAnsi="Arial"/>
          <w:sz w:val="16"/>
          <w:szCs w:val="16"/>
          <w:color w:val="auto"/>
        </w:rPr>
      </w:pPr>
    </w:p>
    <w:p>
      <w:pPr>
        <w:jc w:val="both"/>
        <w:ind w:left="-540" w:firstLine="645"/>
        <w:spacing w:after="0" w:line="267" w:lineRule="auto"/>
        <w:tabs>
          <w:tab w:leader="none" w:pos="36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and will not result in a right of any holder of Company securities to adjust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8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38" w:name="page39"/>
    <w:bookmarkEnd w:id="38"/>
    <w:p>
      <w:pPr>
        <w:jc w:val="both"/>
        <w:ind w:left="-540" w:firstLine="645"/>
        <w:spacing w:after="0" w:line="285" w:lineRule="auto"/>
        <w:tabs>
          <w:tab w:leader="none" w:pos="36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39" w:name="page40"/>
    <w:bookmarkEnd w:id="39"/>
    <w:p>
      <w:pPr>
        <w:jc w:val="both"/>
        <w:ind w:left="-540" w:firstLine="645"/>
        <w:spacing w:after="0" w:line="268" w:lineRule="auto"/>
        <w:tabs>
          <w:tab w:leader="none" w:pos="337"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xml:space="preserve">. Since the date of the latest audited financial statements included within the SEC Reports, except as disclosed in an SEC Report filed prior to the date hereof or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xml:space="preserve">,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5" w:lineRule="exact"/>
        <w:rPr>
          <w:rFonts w:ascii="Arial" w:cs="Arial" w:eastAsia="Arial" w:hAnsi="Arial"/>
          <w:sz w:val="17"/>
          <w:szCs w:val="17"/>
          <w:color w:val="auto"/>
        </w:rPr>
      </w:pPr>
    </w:p>
    <w:p>
      <w:pPr>
        <w:jc w:val="both"/>
        <w:ind w:left="-540" w:firstLine="645"/>
        <w:spacing w:after="0" w:line="288" w:lineRule="auto"/>
        <w:tabs>
          <w:tab w:leader="none" w:pos="32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Except as disclosed in an SEC Report or on Schedule 3.1(j),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6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0" w:name="page41"/>
    <w:bookmarkEnd w:id="40"/>
    <w:p>
      <w:pPr>
        <w:jc w:val="both"/>
        <w:ind w:left="-540" w:firstLine="645"/>
        <w:spacing w:after="0" w:line="269" w:lineRule="auto"/>
        <w:tabs>
          <w:tab w:leader="none" w:pos="363"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82" w:lineRule="exact"/>
        <w:rPr>
          <w:rFonts w:ascii="Arial" w:cs="Arial" w:eastAsia="Arial" w:hAnsi="Arial"/>
          <w:sz w:val="17"/>
          <w:szCs w:val="17"/>
          <w:color w:val="auto"/>
        </w:rPr>
      </w:pPr>
    </w:p>
    <w:p>
      <w:pPr>
        <w:jc w:val="both"/>
        <w:ind w:left="-540" w:firstLine="645"/>
        <w:spacing w:after="0" w:line="271" w:lineRule="auto"/>
        <w:tabs>
          <w:tab w:leader="none" w:pos="323"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78" w:lineRule="exact"/>
        <w:rPr>
          <w:rFonts w:ascii="Arial" w:cs="Arial" w:eastAsia="Arial" w:hAnsi="Arial"/>
          <w:sz w:val="17"/>
          <w:szCs w:val="17"/>
          <w:color w:val="auto"/>
        </w:rPr>
      </w:pPr>
    </w:p>
    <w:p>
      <w:pPr>
        <w:jc w:val="both"/>
        <w:ind w:left="-540" w:firstLine="645"/>
        <w:spacing w:after="0" w:line="253" w:lineRule="auto"/>
        <w:tabs>
          <w:tab w:leader="none" w:pos="41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8"/>
          <w:szCs w:val="18"/>
          <w:u w:val="single" w:color="auto"/>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9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1" w:name="page42"/>
    <w:bookmarkEnd w:id="41"/>
    <w:p>
      <w:pPr>
        <w:jc w:val="both"/>
        <w:ind w:left="-540" w:firstLine="645"/>
        <w:spacing w:after="0" w:line="302" w:lineRule="auto"/>
        <w:tabs>
          <w:tab w:leader="none" w:pos="37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4" w:lineRule="exact"/>
        <w:rPr>
          <w:rFonts w:ascii="Arial" w:cs="Arial" w:eastAsia="Arial" w:hAnsi="Arial"/>
          <w:sz w:val="16"/>
          <w:szCs w:val="16"/>
          <w:color w:val="auto"/>
        </w:rPr>
      </w:pPr>
    </w:p>
    <w:p>
      <w:pPr>
        <w:jc w:val="both"/>
        <w:ind w:left="-540" w:firstLine="645"/>
        <w:spacing w:after="0" w:line="272" w:lineRule="auto"/>
        <w:tabs>
          <w:tab w:leader="none" w:pos="36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Title to Assets</w:t>
      </w:r>
      <w:r>
        <w:rPr>
          <w:rFonts w:ascii="Arial" w:cs="Arial" w:eastAsia="Arial" w:hAnsi="Arial"/>
          <w:sz w:val="17"/>
          <w:szCs w:val="17"/>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77" w:lineRule="exact"/>
        <w:rPr>
          <w:rFonts w:ascii="Arial" w:cs="Arial" w:eastAsia="Arial" w:hAnsi="Arial"/>
          <w:sz w:val="17"/>
          <w:szCs w:val="17"/>
          <w:color w:val="auto"/>
        </w:rPr>
      </w:pPr>
    </w:p>
    <w:p>
      <w:pPr>
        <w:jc w:val="both"/>
        <w:ind w:left="-540" w:firstLine="645"/>
        <w:spacing w:after="0" w:line="268" w:lineRule="auto"/>
        <w:tabs>
          <w:tab w:leader="none" w:pos="37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87" w:lineRule="exact"/>
        <w:rPr>
          <w:rFonts w:ascii="Arial" w:cs="Arial" w:eastAsia="Arial" w:hAnsi="Arial"/>
          <w:sz w:val="17"/>
          <w:szCs w:val="17"/>
          <w:color w:val="auto"/>
        </w:rPr>
      </w:pPr>
    </w:p>
    <w:p>
      <w:pPr>
        <w:jc w:val="both"/>
        <w:ind w:left="-540" w:firstLine="645"/>
        <w:spacing w:after="0" w:line="257" w:lineRule="auto"/>
        <w:tabs>
          <w:tab w:leader="none" w:pos="36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2" w:name="page43"/>
    <w:bookmarkEnd w:id="42"/>
    <w:p>
      <w:pPr>
        <w:jc w:val="both"/>
        <w:ind w:left="-540" w:firstLine="645"/>
        <w:spacing w:after="0" w:line="290" w:lineRule="auto"/>
        <w:tabs>
          <w:tab w:leader="none" w:pos="33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 and Employees</w:t>
      </w:r>
      <w:r>
        <w:rPr>
          <w:rFonts w:ascii="Arial" w:cs="Arial" w:eastAsia="Arial" w:hAnsi="Arial"/>
          <w:sz w:val="16"/>
          <w:szCs w:val="16"/>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66" w:lineRule="exact"/>
        <w:rPr>
          <w:rFonts w:ascii="Arial" w:cs="Arial" w:eastAsia="Arial" w:hAnsi="Arial"/>
          <w:sz w:val="16"/>
          <w:szCs w:val="16"/>
          <w:color w:val="auto"/>
        </w:rPr>
      </w:pPr>
    </w:p>
    <w:p>
      <w:pPr>
        <w:jc w:val="both"/>
        <w:ind w:left="-540" w:firstLine="645"/>
        <w:spacing w:after="0" w:line="267" w:lineRule="auto"/>
        <w:tabs>
          <w:tab w:leader="none" w:pos="357"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Sarbanes-Oxley; Internal Accounting Controls</w:t>
      </w:r>
      <w:r>
        <w:rPr>
          <w:rFonts w:ascii="Arial" w:cs="Arial" w:eastAsia="Arial" w:hAnsi="Arial"/>
          <w:sz w:val="17"/>
          <w:szCs w:val="17"/>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Except as disclosed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7"/>
          <w:szCs w:val="17"/>
          <w:u w:val="single" w:color="auto"/>
          <w:color w:val="auto"/>
        </w:rPr>
        <w:t>Evaluation Date</w:t>
      </w:r>
      <w:r>
        <w:rPr>
          <w:rFonts w:ascii="Arial" w:cs="Arial" w:eastAsia="Arial" w:hAnsi="Arial"/>
          <w:sz w:val="17"/>
          <w:szCs w:val="17"/>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3" w:name="page44"/>
    <w:bookmarkEnd w:id="43"/>
    <w:p>
      <w:pPr>
        <w:jc w:val="both"/>
        <w:ind w:left="-540" w:firstLine="645"/>
        <w:spacing w:after="0" w:line="257" w:lineRule="auto"/>
        <w:tabs>
          <w:tab w:leader="none" w:pos="32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8" w:lineRule="exact"/>
        <w:rPr>
          <w:rFonts w:ascii="Arial" w:cs="Arial" w:eastAsia="Arial" w:hAnsi="Arial"/>
          <w:sz w:val="18"/>
          <w:szCs w:val="18"/>
          <w:color w:val="auto"/>
        </w:rPr>
      </w:pPr>
    </w:p>
    <w:p>
      <w:pPr>
        <w:jc w:val="both"/>
        <w:ind w:left="-540" w:firstLine="645"/>
        <w:spacing w:after="0" w:line="259" w:lineRule="auto"/>
        <w:tabs>
          <w:tab w:leader="none" w:pos="36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540" w:right="20" w:firstLine="645"/>
        <w:spacing w:after="0" w:line="277" w:lineRule="auto"/>
        <w:tabs>
          <w:tab w:leader="none" w:pos="36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left="-540" w:firstLine="645"/>
        <w:spacing w:after="0" w:line="270" w:lineRule="auto"/>
        <w:tabs>
          <w:tab w:leader="none" w:pos="40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in the SEC Report,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1" w:lineRule="exact"/>
        <w:rPr>
          <w:rFonts w:ascii="Arial" w:cs="Arial" w:eastAsia="Arial" w:hAnsi="Arial"/>
          <w:sz w:val="17"/>
          <w:szCs w:val="17"/>
          <w:color w:val="auto"/>
        </w:rPr>
      </w:pPr>
    </w:p>
    <w:p>
      <w:pPr>
        <w:jc w:val="both"/>
        <w:ind w:left="-540" w:firstLine="645"/>
        <w:spacing w:after="0" w:line="255" w:lineRule="auto"/>
        <w:tabs>
          <w:tab w:leader="none" w:pos="36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9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4" w:name="page45"/>
    <w:bookmarkEnd w:id="44"/>
    <w:p>
      <w:pPr>
        <w:jc w:val="both"/>
        <w:ind w:left="4" w:firstLine="645"/>
        <w:spacing w:after="0" w:line="270" w:lineRule="auto"/>
        <w:tabs>
          <w:tab w:leader="none" w:pos="907"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77" w:lineRule="exact"/>
        <w:rPr>
          <w:rFonts w:ascii="Arial" w:cs="Arial" w:eastAsia="Arial" w:hAnsi="Arial"/>
          <w:sz w:val="17"/>
          <w:szCs w:val="17"/>
          <w:color w:val="auto"/>
        </w:rPr>
      </w:pPr>
    </w:p>
    <w:p>
      <w:pPr>
        <w:jc w:val="both"/>
        <w:ind w:left="4" w:firstLine="645"/>
        <w:spacing w:after="0" w:line="257" w:lineRule="auto"/>
        <w:tabs>
          <w:tab w:leader="none" w:pos="91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88" w:lineRule="exact"/>
        <w:rPr>
          <w:sz w:val="20"/>
          <w:szCs w:val="20"/>
          <w:color w:val="auto"/>
        </w:rPr>
      </w:pPr>
    </w:p>
    <w:p>
      <w:pPr>
        <w:jc w:val="both"/>
        <w:ind w:left="4" w:firstLine="645"/>
        <w:spacing w:after="0" w:line="288" w:lineRule="auto"/>
        <w:tabs>
          <w:tab w:leader="none" w:pos="977"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w:t>
      </w:r>
    </w:p>
    <w:p>
      <w:pPr>
        <w:jc w:val="both"/>
        <w:ind w:left="4" w:hanging="4"/>
        <w:spacing w:after="0" w:line="267" w:lineRule="auto"/>
        <w:tabs>
          <w:tab w:leader="none" w:pos="282"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Neither the Company nor any Subsidiary is in default with respect to any Indebtedness. For the purposes of this Agreement, “</w:t>
      </w:r>
      <w:r>
        <w:rPr>
          <w:rFonts w:ascii="Arial" w:cs="Arial" w:eastAsia="Arial" w:hAnsi="Arial"/>
          <w:sz w:val="17"/>
          <w:szCs w:val="17"/>
          <w:u w:val="single" w:color="auto"/>
          <w:color w:val="auto"/>
        </w:rPr>
        <w:t>Indebtedness</w:t>
      </w:r>
      <w:r>
        <w:rPr>
          <w:rFonts w:ascii="Arial" w:cs="Arial" w:eastAsia="Arial" w:hAnsi="Arial"/>
          <w:sz w:val="17"/>
          <w:szCs w:val="17"/>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w:t>
      </w:r>
    </w:p>
    <w:p>
      <w:pPr>
        <w:spacing w:after="0" w:line="182"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45" w:name="page46"/>
    <w:bookmarkEnd w:id="45"/>
    <w:p>
      <w:pPr>
        <w:jc w:val="both"/>
        <w:ind w:left="-540" w:firstLine="645"/>
        <w:spacing w:after="0" w:line="272" w:lineRule="auto"/>
        <w:tabs>
          <w:tab w:leader="none" w:pos="453"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Tax Status</w:t>
      </w:r>
      <w:r>
        <w:rPr>
          <w:rFonts w:ascii="Arial" w:cs="Arial" w:eastAsia="Arial" w:hAnsi="Arial"/>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77" w:lineRule="exact"/>
        <w:rPr>
          <w:rFonts w:ascii="Arial" w:cs="Arial" w:eastAsia="Arial" w:hAnsi="Arial"/>
          <w:sz w:val="17"/>
          <w:szCs w:val="17"/>
          <w:color w:val="auto"/>
        </w:rPr>
      </w:pPr>
    </w:p>
    <w:p>
      <w:pPr>
        <w:jc w:val="both"/>
        <w:ind w:left="-540" w:firstLine="645"/>
        <w:spacing w:after="0" w:line="273" w:lineRule="auto"/>
        <w:tabs>
          <w:tab w:leader="none" w:pos="44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78" w:lineRule="exact"/>
        <w:rPr>
          <w:rFonts w:ascii="Arial" w:cs="Arial" w:eastAsia="Arial" w:hAnsi="Arial"/>
          <w:sz w:val="17"/>
          <w:szCs w:val="17"/>
          <w:color w:val="auto"/>
        </w:rPr>
      </w:pPr>
    </w:p>
    <w:p>
      <w:pPr>
        <w:jc w:val="both"/>
        <w:ind w:left="-540" w:firstLine="645"/>
        <w:spacing w:after="0" w:line="259" w:lineRule="auto"/>
        <w:tabs>
          <w:tab w:leader="none" w:pos="45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independent registered public accounting firm is Brightman Almagor Zohar &amp; Co., a Member of Deloitte Touche Tohmatsu Limited.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2018.</w:t>
      </w:r>
    </w:p>
    <w:p>
      <w:pPr>
        <w:spacing w:after="0" w:line="186" w:lineRule="exact"/>
        <w:rPr>
          <w:rFonts w:ascii="Arial" w:cs="Arial" w:eastAsia="Arial" w:hAnsi="Arial"/>
          <w:sz w:val="18"/>
          <w:szCs w:val="18"/>
          <w:color w:val="auto"/>
        </w:rPr>
      </w:pPr>
    </w:p>
    <w:p>
      <w:pPr>
        <w:jc w:val="both"/>
        <w:ind w:left="-540" w:firstLine="645"/>
        <w:spacing w:after="0" w:line="254" w:lineRule="auto"/>
        <w:tabs>
          <w:tab w:leader="none" w:pos="43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Purchasers’ Purchase of Securities</w:t>
      </w:r>
      <w:r>
        <w:rPr>
          <w:rFonts w:ascii="Arial" w:cs="Arial" w:eastAsia="Arial" w:hAnsi="Arial"/>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6" w:name="page47"/>
    <w:bookmarkEnd w:id="46"/>
    <w:p>
      <w:pPr>
        <w:jc w:val="both"/>
        <w:ind w:left="4" w:firstLine="645"/>
        <w:spacing w:after="0" w:line="284" w:lineRule="auto"/>
        <w:tabs>
          <w:tab w:leader="none" w:pos="988"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Purchaser’s Trading Activity</w:t>
      </w:r>
      <w:r>
        <w:rPr>
          <w:rFonts w:ascii="Arial" w:cs="Arial" w:eastAsia="Arial" w:hAnsi="Arial"/>
          <w:sz w:val="16"/>
          <w:szCs w:val="16"/>
          <w:color w:val="auto"/>
        </w:rPr>
        <w:t>. Anything in this Agreement or elsewhere herein to the contrary notwithstanding (except for Sections 3.2(e)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w:t>
      </w:r>
    </w:p>
    <w:p>
      <w:pPr>
        <w:spacing w:after="0" w:line="4" w:lineRule="exact"/>
        <w:rPr>
          <w:rFonts w:ascii="Arial" w:cs="Arial" w:eastAsia="Arial" w:hAnsi="Arial"/>
          <w:sz w:val="16"/>
          <w:szCs w:val="16"/>
          <w:color w:val="auto"/>
        </w:rPr>
      </w:pPr>
    </w:p>
    <w:p>
      <w:pPr>
        <w:jc w:val="both"/>
        <w:ind w:left="4" w:hanging="4"/>
        <w:spacing w:after="0" w:line="290" w:lineRule="auto"/>
        <w:tabs>
          <w:tab w:leader="none" w:pos="324"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64" w:lineRule="exact"/>
        <w:rPr>
          <w:rFonts w:ascii="Arial" w:cs="Arial" w:eastAsia="Arial" w:hAnsi="Arial"/>
          <w:sz w:val="16"/>
          <w:szCs w:val="16"/>
          <w:color w:val="auto"/>
        </w:rPr>
      </w:pPr>
    </w:p>
    <w:p>
      <w:pPr>
        <w:jc w:val="both"/>
        <w:ind w:left="4" w:firstLine="645"/>
        <w:spacing w:after="0" w:line="297" w:lineRule="auto"/>
        <w:tabs>
          <w:tab w:leader="none" w:pos="997"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58"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92" w:right="239" w:bottom="1440" w:gutter="0" w:footer="0" w:header="0"/>
        </w:sectPr>
      </w:pPr>
    </w:p>
    <w:bookmarkStart w:id="47" w:name="page48"/>
    <w:bookmarkEnd w:id="47"/>
    <w:p>
      <w:pPr>
        <w:jc w:val="both"/>
        <w:ind w:left="-540" w:firstLine="645"/>
        <w:spacing w:after="0" w:line="285" w:lineRule="auto"/>
        <w:tabs>
          <w:tab w:leader="none" w:pos="45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thereunder (“</w:t>
      </w:r>
      <w:r>
        <w:rPr>
          <w:rFonts w:ascii="Arial" w:cs="Arial" w:eastAsia="Arial" w:hAnsi="Arial"/>
          <w:sz w:val="16"/>
          <w:szCs w:val="16"/>
          <w:u w:val="single" w:color="auto"/>
          <w:color w:val="auto"/>
        </w:rPr>
        <w:t>FDCA</w:t>
      </w:r>
      <w:r>
        <w:rPr>
          <w:rFonts w:ascii="Arial" w:cs="Arial" w:eastAsia="Arial" w:hAnsi="Arial"/>
          <w:sz w:val="16"/>
          <w:szCs w:val="16"/>
          <w:color w:val="auto"/>
        </w:rPr>
        <w:t>”) that is manufactured, packaged, labeled, tested, distributed, sold, and/or marketed by the Company or any of its Subsidiaries (each such product, a “</w:t>
      </w:r>
      <w:r>
        <w:rPr>
          <w:rFonts w:ascii="Arial" w:cs="Arial" w:eastAsia="Arial" w:hAnsi="Arial"/>
          <w:sz w:val="16"/>
          <w:szCs w:val="16"/>
          <w:u w:val="single" w:color="auto"/>
          <w:color w:val="auto"/>
        </w:rPr>
        <w:t>Pharmaceutical Product</w:t>
      </w:r>
      <w:r>
        <w:rPr>
          <w:rFonts w:ascii="Arial" w:cs="Arial" w:eastAsia="Arial" w:hAnsi="Arial"/>
          <w:sz w:val="16"/>
          <w:szCs w:val="16"/>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68" w:lineRule="exact"/>
        <w:rPr>
          <w:rFonts w:ascii="Arial" w:cs="Arial" w:eastAsia="Arial" w:hAnsi="Arial"/>
          <w:sz w:val="16"/>
          <w:szCs w:val="16"/>
          <w:color w:val="auto"/>
        </w:rPr>
      </w:pPr>
    </w:p>
    <w:p>
      <w:pPr>
        <w:jc w:val="both"/>
        <w:ind w:left="-540" w:firstLine="645"/>
        <w:spacing w:after="0" w:line="273" w:lineRule="auto"/>
        <w:tabs>
          <w:tab w:leader="none" w:pos="37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Stock Option Plans</w:t>
      </w:r>
      <w:r>
        <w:rPr>
          <w:rFonts w:ascii="Arial" w:cs="Arial" w:eastAsia="Arial" w:hAnsi="Arial"/>
          <w:sz w:val="17"/>
          <w:szCs w:val="17"/>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78" w:lineRule="exact"/>
        <w:rPr>
          <w:rFonts w:ascii="Arial" w:cs="Arial" w:eastAsia="Arial" w:hAnsi="Arial"/>
          <w:sz w:val="17"/>
          <w:szCs w:val="17"/>
          <w:color w:val="auto"/>
        </w:rPr>
      </w:pPr>
    </w:p>
    <w:p>
      <w:pPr>
        <w:jc w:val="both"/>
        <w:ind w:left="-540" w:firstLine="645"/>
        <w:spacing w:after="0" w:line="264" w:lineRule="auto"/>
        <w:tabs>
          <w:tab w:leader="none" w:pos="38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540" w:right="20" w:firstLine="645"/>
        <w:spacing w:after="0" w:line="308" w:lineRule="auto"/>
        <w:tabs>
          <w:tab w:leader="none" w:pos="45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U.S. Real Property Holding Corporation</w:t>
      </w:r>
      <w:r>
        <w:rPr>
          <w:rFonts w:ascii="Arial" w:cs="Arial" w:eastAsia="Arial" w:hAnsi="Arial"/>
          <w:sz w:val="17"/>
          <w:szCs w:val="17"/>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4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692" w:right="239" w:bottom="1440" w:gutter="0" w:footer="0" w:header="0"/>
        </w:sectPr>
      </w:pPr>
    </w:p>
    <w:bookmarkStart w:id="48" w:name="page49"/>
    <w:bookmarkEnd w:id="48"/>
    <w:p>
      <w:pPr>
        <w:jc w:val="both"/>
        <w:ind w:left="660" w:right="20" w:firstLine="645"/>
        <w:spacing w:after="0" w:line="273" w:lineRule="auto"/>
        <w:tabs>
          <w:tab w:leader="none" w:pos="157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 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8" w:lineRule="exact"/>
        <w:rPr>
          <w:rFonts w:ascii="Arial" w:cs="Arial" w:eastAsia="Arial" w:hAnsi="Arial"/>
          <w:sz w:val="17"/>
          <w:szCs w:val="17"/>
          <w:color w:val="auto"/>
        </w:rPr>
      </w:pPr>
    </w:p>
    <w:p>
      <w:pPr>
        <w:jc w:val="both"/>
        <w:ind w:left="660" w:firstLine="645"/>
        <w:spacing w:after="0" w:line="276" w:lineRule="auto"/>
        <w:tabs>
          <w:tab w:leader="none" w:pos="1753"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Money Laundering</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73"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Representations and Warranties of the Purchasers</w:t>
      </w:r>
      <w:r>
        <w:rPr>
          <w:rFonts w:ascii="Arial" w:cs="Arial" w:eastAsia="Arial" w:hAnsi="Arial"/>
          <w:sz w:val="16"/>
          <w:szCs w:val="16"/>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24" w:lineRule="exact"/>
        <w:rPr>
          <w:sz w:val="20"/>
          <w:szCs w:val="20"/>
          <w:color w:val="auto"/>
        </w:rPr>
      </w:pPr>
    </w:p>
    <w:p>
      <w:pPr>
        <w:jc w:val="both"/>
        <w:ind w:left="380" w:firstLine="925"/>
        <w:spacing w:after="0" w:line="269" w:lineRule="auto"/>
        <w:tabs>
          <w:tab w:leader="none" w:pos="1556"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jc w:val="both"/>
        <w:ind w:firstLine="925"/>
        <w:spacing w:after="0" w:line="279" w:lineRule="auto"/>
        <w:tabs>
          <w:tab w:leader="none" w:pos="120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Understandings or Arrangements</w:t>
      </w:r>
      <w:r>
        <w:rPr>
          <w:rFonts w:ascii="Arial" w:cs="Arial" w:eastAsia="Arial" w:hAnsi="Arial"/>
          <w:sz w:val="17"/>
          <w:szCs w:val="17"/>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1" w:lineRule="exact"/>
        <w:rPr>
          <w:rFonts w:ascii="Arial" w:cs="Arial" w:eastAsia="Arial" w:hAnsi="Arial"/>
          <w:sz w:val="17"/>
          <w:szCs w:val="17"/>
          <w:color w:val="auto"/>
        </w:rPr>
      </w:pPr>
    </w:p>
    <w:p>
      <w:pPr>
        <w:jc w:val="both"/>
        <w:ind w:firstLine="925"/>
        <w:spacing w:after="0" w:line="264" w:lineRule="auto"/>
        <w:tabs>
          <w:tab w:leader="none" w:pos="116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Securities, it was, and as of the date hereof it is, either: (i) an “accredited investor” as defined in Rule 501(a)(1), (a)(2), (a)(3), (a)(7) or (a)(8) under the Securities Act or (ii) a “qualified institutional buyer” as defined in Rule 144A(a) under the Securities Act.</w:t>
      </w:r>
    </w:p>
    <w:p>
      <w:pPr>
        <w:spacing w:after="0" w:line="181" w:lineRule="exact"/>
        <w:rPr>
          <w:rFonts w:ascii="Arial" w:cs="Arial" w:eastAsia="Arial" w:hAnsi="Arial"/>
          <w:sz w:val="18"/>
          <w:szCs w:val="18"/>
          <w:color w:val="auto"/>
        </w:rPr>
      </w:pPr>
    </w:p>
    <w:p>
      <w:pPr>
        <w:jc w:val="both"/>
        <w:ind w:firstLine="925"/>
        <w:spacing w:after="0" w:line="259" w:lineRule="auto"/>
        <w:tabs>
          <w:tab w:leader="none" w:pos="117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925"/>
        <w:spacing w:after="0" w:line="269" w:lineRule="auto"/>
        <w:tabs>
          <w:tab w:leader="none" w:pos="1163"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620" w:top="692" w:right="239" w:bottom="1440" w:gutter="0" w:footer="0" w:header="0"/>
        </w:sectPr>
      </w:pPr>
    </w:p>
    <w:bookmarkStart w:id="50" w:name="page51"/>
    <w:bookmarkEnd w:id="50"/>
    <w:p>
      <w:pPr>
        <w:jc w:val="both"/>
        <w:ind w:left="380" w:firstLine="925"/>
        <w:spacing w:after="0" w:line="268" w:lineRule="auto"/>
        <w:tabs>
          <w:tab w:leader="none" w:pos="153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Certain Transactions and Confidentiality</w:t>
      </w:r>
      <w:r>
        <w:rPr>
          <w:rFonts w:ascii="Arial" w:cs="Arial" w:eastAsia="Arial" w:hAnsi="Arial"/>
          <w:sz w:val="17"/>
          <w:szCs w:val="17"/>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8" w:lineRule="exact"/>
        <w:rPr>
          <w:sz w:val="20"/>
          <w:szCs w:val="20"/>
          <w:color w:val="auto"/>
        </w:rPr>
      </w:pPr>
    </w:p>
    <w:p>
      <w:pPr>
        <w:jc w:val="both"/>
        <w:ind w:firstLine="378"/>
        <w:spacing w:after="0" w:line="276" w:lineRule="auto"/>
        <w:rPr>
          <w:sz w:val="20"/>
          <w:szCs w:val="20"/>
          <w:color w:val="auto"/>
        </w:rPr>
      </w:pPr>
      <w:r>
        <w:rPr>
          <w:rFonts w:ascii="Arial" w:cs="Arial" w:eastAsia="Arial" w:hAnsi="Arial"/>
          <w:sz w:val="17"/>
          <w:szCs w:val="17"/>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AGREEMENTS OF THE PARTIES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Furnishing of Information</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5"/>
        <w:spacing w:after="0" w:line="264" w:lineRule="auto"/>
        <w:tabs>
          <w:tab w:leader="none" w:pos="1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Until the time that no Purchaser owns Securities.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jc w:val="both"/>
        <w:ind w:firstLine="648"/>
        <w:spacing w:after="0" w:line="26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Securities Laws Disclosure; Publicity</w:t>
      </w:r>
      <w:r>
        <w:rPr>
          <w:rFonts w:ascii="Arial" w:cs="Arial" w:eastAsia="Arial" w:hAnsi="Arial"/>
          <w:sz w:val="17"/>
          <w:szCs w:val="17"/>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jc w:val="both"/>
        <w:ind w:right="20" w:firstLine="648"/>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the sale of the Securities hereunder for the purposes described in the Prospectus Supplement.</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Listing of Common Stock</w:t>
      </w:r>
      <w:r>
        <w:rPr>
          <w:rFonts w:ascii="Arial" w:cs="Arial" w:eastAsia="Arial" w:hAnsi="Arial"/>
          <w:sz w:val="17"/>
          <w:szCs w:val="17"/>
          <w:color w:val="auto"/>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4" w:name="page55"/>
    <w:bookmarkEnd w:id="54"/>
    <w:p>
      <w:pPr>
        <w:jc w:val="both"/>
        <w:ind w:firstLine="648"/>
        <w:spacing w:after="0" w:line="285"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w:t>
      </w:r>
    </w:p>
    <w:p>
      <w:pPr>
        <w:jc w:val="both"/>
        <w:ind w:right="20"/>
        <w:spacing w:after="0" w:line="205" w:lineRule="auto"/>
        <w:rPr>
          <w:sz w:val="20"/>
          <w:szCs w:val="20"/>
          <w:color w:val="auto"/>
        </w:rPr>
      </w:pPr>
      <w:r>
        <w:rPr>
          <w:rFonts w:ascii="Arial" w:cs="Arial" w:eastAsia="Arial" w:hAnsi="Arial"/>
          <w:sz w:val="18"/>
          <w:szCs w:val="18"/>
          <w:color w:val="auto"/>
        </w:rPr>
        <w:t>on or before the fifth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stamp taxes and other taxes and duties levied in connection with the delivery of any Securities to the Purchasers.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5" w:name="page56"/>
    <w:bookmarkEnd w:id="55"/>
    <w:p>
      <w:pPr>
        <w:jc w:val="both"/>
        <w:ind w:firstLine="648"/>
        <w:spacing w:after="0" w:line="26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date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Arial" w:cs="Arial" w:eastAsia="Arial" w:hAnsi="Arial"/>
          <w:sz w:val="26"/>
          <w:szCs w:val="26"/>
          <w:color w:val="auto"/>
          <w:vertAlign w:val="superscript"/>
        </w:rPr>
        <w:t>nd</w:t>
      </w:r>
      <w:r>
        <w:rPr>
          <w:rFonts w:ascii="Arial" w:cs="Arial" w:eastAsia="Arial" w:hAnsi="Arial"/>
          <w:sz w:val="16"/>
          <w:szCs w:val="16"/>
          <w:color w:val="auto"/>
        </w:rPr>
        <w:t>)Trading Day following the date of mailing, if sent by U.S. nationally recognized overnight courier service or</w:t>
      </w:r>
    </w:p>
    <w:p>
      <w:pPr>
        <w:spacing w:after="0" w:line="2" w:lineRule="exact"/>
        <w:rPr>
          <w:sz w:val="20"/>
          <w:szCs w:val="20"/>
          <w:color w:val="auto"/>
        </w:rPr>
      </w:pPr>
    </w:p>
    <w:p>
      <w:pPr>
        <w:jc w:val="both"/>
        <w:ind w:firstLine="8"/>
        <w:spacing w:after="0" w:line="253" w:lineRule="auto"/>
        <w:tabs>
          <w:tab w:leader="none" w:pos="258"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7" w:name="page58"/>
    <w:bookmarkEnd w:id="57"/>
    <w:p>
      <w:pPr>
        <w:jc w:val="both"/>
        <w:ind w:firstLine="648"/>
        <w:spacing w:after="0" w:line="25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Rescission and Withdrawal Right</w:t>
      </w:r>
      <w:r>
        <w:rPr>
          <w:rFonts w:ascii="Arial" w:cs="Arial" w:eastAsia="Arial" w:hAnsi="Arial"/>
          <w:sz w:val="16"/>
          <w:szCs w:val="16"/>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Remedies</w:t>
      </w:r>
      <w:r>
        <w:rPr>
          <w:rFonts w:ascii="Arial" w:cs="Arial" w:eastAsia="Arial" w:hAnsi="Arial"/>
          <w:sz w:val="17"/>
          <w:szCs w:val="17"/>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8" w:name="page59"/>
    <w:bookmarkEnd w:id="58"/>
    <w:p>
      <w:pPr>
        <w:jc w:val="both"/>
        <w:ind w:firstLine="648"/>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5.18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 ANY ACTION, SUIT, OR PROCEEDING IN ANY JURISDICTION BROUGHT BY ANY PARTY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9" w:name="page60"/>
    <w:bookmarkEnd w:id="59"/>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MICROBOT MEDICAL INC.</w:t>
            </w:r>
          </w:p>
        </w:tc>
        <w:tc>
          <w:tcPr>
            <w:tcW w:w="22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Address for Notice:</w:t>
            </w:r>
          </w:p>
        </w:tc>
      </w:tr>
      <w:tr>
        <w:trPr>
          <w:trHeight w:val="527"/>
        </w:trPr>
        <w:tc>
          <w:tcPr>
            <w:tcW w:w="5740" w:type="dxa"/>
            <w:vAlign w:val="bottom"/>
            <w:gridSpan w:val="2"/>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Fax:</w:t>
            </w: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5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line="202" w:lineRule="exact"/>
              <w:rPr>
                <w:sz w:val="20"/>
                <w:szCs w:val="20"/>
                <w:color w:val="auto"/>
              </w:rPr>
            </w:pPr>
            <w:r>
              <w:rPr>
                <w:rFonts w:ascii="Arial" w:cs="Arial" w:eastAsia="Arial" w:hAnsi="Arial"/>
                <w:sz w:val="18"/>
                <w:szCs w:val="18"/>
                <w:color w:val="auto"/>
              </w:rPr>
              <w:t>E-mail:</w:t>
            </w:r>
          </w:p>
        </w:tc>
      </w:tr>
      <w:tr>
        <w:trPr>
          <w:trHeight w:val="243"/>
        </w:trPr>
        <w:tc>
          <w:tcPr>
            <w:tcW w:w="5740" w:type="dxa"/>
            <w:vAlign w:val="bottom"/>
            <w:gridSpan w:val="2"/>
          </w:tcPr>
          <w:p>
            <w:pPr>
              <w:spacing w:after="0"/>
              <w:rPr>
                <w:sz w:val="20"/>
                <w:szCs w:val="20"/>
                <w:color w:val="auto"/>
              </w:rPr>
            </w:pPr>
            <w:r>
              <w:rPr>
                <w:rFonts w:ascii="Arial" w:cs="Arial" w:eastAsia="Arial" w:hAnsi="Arial"/>
                <w:sz w:val="18"/>
                <w:szCs w:val="18"/>
                <w:color w:val="auto"/>
              </w:rPr>
              <w:t>Title:</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459"/>
        </w:trPr>
        <w:tc>
          <w:tcPr>
            <w:tcW w:w="574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color w:val="auto"/>
              </w:rPr>
              <w:t>Mintz, Levin, Cohn, Ferris, Glovsky and Popeo, P.C.</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One Financial Center</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Boston, MA 02111</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Attn: Marc D. Mantell, Esq.</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8"/>
        </w:trPr>
        <w:tc>
          <w:tcPr>
            <w:tcW w:w="5740" w:type="dxa"/>
            <w:vAlign w:val="bottom"/>
            <w:gridSpan w:val="2"/>
          </w:tcPr>
          <w:p>
            <w:pPr>
              <w:spacing w:after="0"/>
              <w:rPr>
                <w:sz w:val="20"/>
                <w:szCs w:val="20"/>
                <w:color w:val="auto"/>
              </w:rPr>
            </w:pPr>
            <w:r>
              <w:rPr>
                <w:rFonts w:ascii="Arial" w:cs="Arial" w:eastAsia="Arial" w:hAnsi="Arial"/>
                <w:sz w:val="18"/>
                <w:szCs w:val="18"/>
                <w:color w:val="auto"/>
              </w:rPr>
              <w:t>Ruskin Moscou Faltischek, P.C.</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0"/>
        </w:trPr>
        <w:tc>
          <w:tcPr>
            <w:tcW w:w="5740" w:type="dxa"/>
            <w:vAlign w:val="bottom"/>
            <w:gridSpan w:val="2"/>
          </w:tcPr>
          <w:p>
            <w:pPr>
              <w:spacing w:after="0"/>
              <w:rPr>
                <w:sz w:val="20"/>
                <w:szCs w:val="20"/>
                <w:color w:val="auto"/>
              </w:rPr>
            </w:pPr>
            <w:r>
              <w:rPr>
                <w:rFonts w:ascii="Arial" w:cs="Arial" w:eastAsia="Arial" w:hAnsi="Arial"/>
                <w:sz w:val="18"/>
                <w:szCs w:val="18"/>
                <w:color w:val="auto"/>
              </w:rPr>
              <w:t>1425 RXR Plaza</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3"/>
        </w:trPr>
        <w:tc>
          <w:tcPr>
            <w:tcW w:w="5740" w:type="dxa"/>
            <w:vAlign w:val="bottom"/>
            <w:gridSpan w:val="2"/>
          </w:tcPr>
          <w:p>
            <w:pPr>
              <w:spacing w:after="0" w:line="253" w:lineRule="exact"/>
              <w:rPr>
                <w:sz w:val="20"/>
                <w:szCs w:val="20"/>
                <w:color w:val="auto"/>
              </w:rPr>
            </w:pPr>
            <w:r>
              <w:rPr>
                <w:rFonts w:ascii="Arial" w:cs="Arial" w:eastAsia="Arial" w:hAnsi="Arial"/>
                <w:sz w:val="18"/>
                <w:szCs w:val="18"/>
                <w:color w:val="auto"/>
              </w:rPr>
              <w:t>East Tower,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Uniondale, New York 11556</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Attn: Stephen E. Fox, Esq.</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[PURCHASER SIGNATURE PAGES TO MBOT SECURITIES PURCHASE AGREEMENT]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Authorized Signatory: 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Shares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DWAC for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w:t>
      </w:r>
    </w:p>
    <w:p>
      <w:pPr>
        <w:spacing w:after="0" w:line="225" w:lineRule="exact"/>
        <w:rPr>
          <w:sz w:val="20"/>
          <w:szCs w:val="20"/>
          <w:color w:val="auto"/>
        </w:rPr>
      </w:pPr>
    </w:p>
    <w:p>
      <w:pPr>
        <w:jc w:val="both"/>
        <w:ind w:firstLine="8"/>
        <w:spacing w:after="0" w:line="272" w:lineRule="auto"/>
        <w:tabs>
          <w:tab w:leader="none" w:pos="201" w:val="left"/>
        </w:tabs>
        <w:numPr>
          <w:ilvl w:val="0"/>
          <w:numId w:val="49"/>
        </w:numPr>
        <w:rPr>
          <w:rFonts w:ascii="Arial" w:cs="Arial" w:eastAsia="Arial" w:hAnsi="Arial"/>
          <w:sz w:val="17"/>
          <w:szCs w:val="17"/>
          <w:color w:val="auto"/>
        </w:rPr>
      </w:pPr>
      <w:r>
        <w:rPr>
          <w:rFonts w:ascii="Arial" w:cs="Arial" w:eastAsia="Arial" w:hAnsi="Arial"/>
          <w:sz w:val="17"/>
          <w:szCs w:val="17"/>
          <w:color w:val="auto"/>
        </w:rPr>
        <w:t>] 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by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1" w:name="page62"/>
    <w:bookmarkEnd w:id="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154940</wp:posOffset>
            </wp:positionV>
            <wp:extent cx="1929765" cy="746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 Announces $5.9 Million Registered Direct Offering Priced At-the-Market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HINGHAM, Mass., January 15, 2019 – Microbot Medical Inc. (Nasdaq: MBOT), a medical device company specializing in the design and development of transformational micro-robotic medical technologies, today announced that it has entered into definitive agreements with several institutional investors for the purchase of 590,000 shares of its common stock, at a purchase price per share of $10.00, in a registered direct offering priced at-the-market.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offering is expected to occur on or about January 17, 2019, subject to the satisfaction of customary closing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is acting as the exclusive placement agent for the offering.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gross proceeds to Microbot, before deducting placement agent fees and other offering expenses, are expected to be approximately $5.9 million. Microbot currently intends to use the net proceeds from this offering for the continuous development of its SCS device for the treatment of hydrocephalus and NPH; to expand and develop additional applications deriving from its existing IP portfolio, including the potential addition of complementary assets to the CardioSert portfolio either through internal development, in-license or acquisition; and for working capital and other general corporate purposes.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shares of common stock are being offered by Microbot pursuant to a “shelf” registration statement on Form S-3 that was originally filed on March 31, 2017 and declared effective by the Securities and Exchange Commission (“SEC”) on April 14, 2017 and the base prospectus contained therein (File No. 333-217076). The offering of the shares of common stock will be made only by means of a prospectus supplement that forms a part of the registration statement.</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final prospectus supplement and accompanying base prospectus relating to the being offered will be filed with the SEC. Copies of the final prospectus supplement and accompanying base prospectus may be obtained, when available, on the SEC’s website at http://www.sec.gov or by contacting H.C. Wainwright &amp; Co., LLC at 430 Park Avenue, 3rd Floor, New York, NY 10022, by phone at 646-975-6996 or e-mail at placements@hcwco.com.</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of the securities described herein, nor shall there be any sale of these securities in any state or jurisdiction in which such an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 is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ind w:right="20" w:firstLine="8"/>
        <w:spacing w:after="0" w:line="270" w:lineRule="auto"/>
        <w:tabs>
          <w:tab w:leader="none" w:pos="19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artificial tubular lumens, applying the minimal necessary pressure to achieve the adequate friction required for gentle, fast, and safe advancement within the human body. To learn more about TipCAT</w:t>
      </w:r>
      <w:r>
        <w:rPr>
          <w:rFonts w:ascii="Arial" w:cs="Arial" w:eastAsia="Arial" w:hAnsi="Arial"/>
          <w:sz w:val="30"/>
          <w:szCs w:val="30"/>
          <w:color w:val="auto"/>
          <w:vertAlign w:val="superscript"/>
        </w:rPr>
        <w:t>TM</w:t>
      </w:r>
      <w:r>
        <w:rPr>
          <w:rFonts w:ascii="Arial" w:cs="Arial" w:eastAsia="Arial" w:hAnsi="Arial"/>
          <w:sz w:val="18"/>
          <w:szCs w:val="18"/>
          <w:color w:val="auto"/>
        </w:rPr>
        <w:t>, visit http://www.microbotmedical.com/technology/tipcat/.</w:t>
      </w:r>
    </w:p>
    <w:p>
      <w:pPr>
        <w:spacing w:after="0" w:line="57"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Arial" w:cs="Arial" w:eastAsia="Arial" w:hAnsi="Arial"/>
          <w:sz w:val="18"/>
          <w:szCs w:val="18"/>
          <w:color w:val="auto"/>
        </w:rPr>
        <w:t>the potential to 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lowerLetter"/>
      <w:start w:val="1"/>
    </w:lvl>
  </w:abstractNum>
  <w:abstractNum w:abstractNumId="2">
    <w:nsid w:val="189A769B"/>
    <w:multiLevelType w:val="hybridMultilevel"/>
    <w:lvl w:ilvl="0">
      <w:lvlJc w:val="left"/>
      <w:lvlText w:val="%1)"/>
      <w:numFmt w:val="lowerLetter"/>
      <w:start w:val="2"/>
    </w:lvl>
  </w:abstractNum>
  <w:abstractNum w:abstractNumId="3">
    <w:nsid w:val="54E49EB4"/>
    <w:multiLevelType w:val="hybridMultilevel"/>
    <w:lvl w:ilvl="0">
      <w:lvlJc w:val="left"/>
      <w:lvlText w:val="(%1)"/>
      <w:numFmt w:val="upperLetter"/>
      <w:start w:val="1"/>
    </w:lvl>
  </w:abstractNum>
  <w:abstractNum w:abstractNumId="4">
    <w:nsid w:val="71F32454"/>
    <w:multiLevelType w:val="hybridMultilevel"/>
    <w:lvl w:ilvl="0">
      <w:lvlJc w:val="left"/>
      <w:lvlText w:val="(%1)"/>
      <w:numFmt w:val="upperLetter"/>
      <w:start w:val="24"/>
    </w:lvl>
  </w:abstractNum>
  <w:abstractNum w:abstractNumId="5">
    <w:nsid w:val="2CA88611"/>
    <w:multiLevelType w:val="hybridMultilevel"/>
    <w:lvl w:ilvl="0">
      <w:lvlJc w:val="left"/>
      <w:lvlText w:val="%1)"/>
      <w:numFmt w:val="lowerLetter"/>
      <w:start w:val="4"/>
    </w:lvl>
    <w:lvl w:ilvl="1">
      <w:lvlJc w:val="left"/>
      <w:lvlText w:val="%2."/>
      <w:numFmt w:val="lowerRoman"/>
      <w:start w:val="1"/>
    </w:lvl>
  </w:abstractNum>
  <w:abstractNum w:abstractNumId="6">
    <w:nsid w:val="836C40E"/>
    <w:multiLevelType w:val="hybridMultilevel"/>
    <w:lvl w:ilvl="0">
      <w:lvlJc w:val="left"/>
      <w:lvlText w:val="%1"/>
      <w:numFmt w:val="decimal"/>
      <w:start w:val="1"/>
    </w:lvl>
    <w:lvl w:ilvl="1">
      <w:lvlJc w:val="left"/>
      <w:lvlText w:val="%2."/>
      <w:numFmt w:val="lowerRoman"/>
      <w:start w:val="2"/>
    </w:lvl>
  </w:abstractNum>
  <w:abstractNum w:abstractNumId="7">
    <w:nsid w:val="2901D82"/>
    <w:multiLevelType w:val="hybridMultilevel"/>
    <w:lvl w:ilvl="0">
      <w:lvlJc w:val="left"/>
      <w:lvlText w:val="(%1)"/>
      <w:numFmt w:val="decimal"/>
      <w:start w:val="2"/>
    </w:lvl>
    <w:lvl w:ilvl="1">
      <w:lvlJc w:val="left"/>
      <w:lvlText w:val="%2"/>
      <w:numFmt w:val="lowerRoman"/>
      <w:start w:val="1"/>
    </w:lvl>
  </w:abstractNum>
  <w:abstractNum w:abstractNumId="8">
    <w:nsid w:val="3A95F874"/>
    <w:multiLevelType w:val="hybridMultilevel"/>
    <w:lvl w:ilvl="0">
      <w:lvlJc w:val="left"/>
      <w:lvlText w:val="%1."/>
      <w:numFmt w:val="lowerRoman"/>
      <w:start w:val="6"/>
    </w:lvl>
  </w:abstractNum>
  <w:abstractNum w:abstractNumId="9">
    <w:nsid w:val="8138641"/>
    <w:multiLevelType w:val="hybridMultilevel"/>
    <w:lvl w:ilvl="0">
      <w:lvlJc w:val="left"/>
      <w:lvlText w:val="%1)"/>
      <w:numFmt w:val="lowerLetter"/>
      <w:start w:val="5"/>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lowerLetter"/>
      <w:start w:val="4"/>
    </w:lvl>
  </w:abstractNum>
  <w:abstractNum w:abstractNumId="12">
    <w:nsid w:val="737B8DDC"/>
    <w:multiLevelType w:val="hybridMultilevel"/>
    <w:lvl w:ilvl="0">
      <w:lvlJc w:val="left"/>
      <w:lvlText w:val="%1)"/>
      <w:numFmt w:val="lowerLetter"/>
      <w:start w:val="5"/>
    </w:lvl>
    <w:lvl w:ilvl="1">
      <w:lvlJc w:val="left"/>
      <w:lvlText w:val="%2."/>
      <w:numFmt w:val="lowerRoman"/>
      <w:start w:val="1"/>
    </w:lvl>
  </w:abstractNum>
  <w:abstractNum w:abstractNumId="13">
    <w:nsid w:val="6CEAF087"/>
    <w:multiLevelType w:val="hybridMultilevel"/>
    <w:lvl w:ilvl="0">
      <w:lvlJc w:val="left"/>
      <w:lvlText w:val="%1"/>
      <w:numFmt w:val="lowerRoman"/>
      <w:start w:val="1"/>
    </w:lvl>
    <w:lvl w:ilvl="1">
      <w:lvlJc w:val="left"/>
      <w:lvlText w:val="%2)"/>
      <w:numFmt w:val="lowerLetter"/>
      <w:start w:val="1"/>
    </w:lvl>
  </w:abstractNum>
  <w:abstractNum w:abstractNumId="14">
    <w:nsid w:val="22221A70"/>
    <w:multiLevelType w:val="hybridMultilevel"/>
    <w:lvl w:ilvl="0">
      <w:lvlJc w:val="left"/>
      <w:lvlText w:val="%1."/>
      <w:numFmt w:val="lowerRoman"/>
      <w:start w:val="1"/>
    </w:lvl>
    <w:lvl w:ilvl="1">
      <w:lvlJc w:val="left"/>
      <w:lvlText w:val="%2"/>
      <w:numFmt w:val="lowerLetter"/>
      <w:start w:val="1"/>
    </w:lvl>
  </w:abstractNum>
  <w:abstractNum w:abstractNumId="15">
    <w:nsid w:val="4516DDE9"/>
    <w:multiLevelType w:val="hybridMultilevel"/>
    <w:lvl w:ilvl="0">
      <w:lvlJc w:val="left"/>
      <w:lvlText w:val="%1)"/>
      <w:numFmt w:val="lowerLetter"/>
      <w:start w:val="2"/>
    </w:lvl>
  </w:abstractNum>
  <w:abstractNum w:abstractNumId="16">
    <w:nsid w:val="3006C83E"/>
    <w:multiLevelType w:val="hybridMultilevel"/>
    <w:lvl w:ilvl="0">
      <w:lvlJc w:val="left"/>
      <w:lvlText w:val="%1)"/>
      <w:numFmt w:val="lowerLetter"/>
      <w:start w:val="3"/>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4"/>
    </w:lvl>
  </w:abstractNum>
  <w:abstractNum w:abstractNumId="19">
    <w:nsid w:val="5577F8E1"/>
    <w:multiLevelType w:val="hybridMultilevel"/>
    <w:lvl w:ilvl="0">
      <w:lvlJc w:val="left"/>
      <w:lvlText w:val="%1)"/>
      <w:numFmt w:val="lowerLetter"/>
      <w:start w:val="5"/>
    </w:lvl>
  </w:abstractNum>
  <w:abstractNum w:abstractNumId="20">
    <w:nsid w:val="440BADFC"/>
    <w:multiLevelType w:val="hybridMultilevel"/>
    <w:lvl w:ilvl="0">
      <w:lvlJc w:val="left"/>
      <w:lvlText w:val="%1)"/>
      <w:numFmt w:val="lowerLetter"/>
      <w:start w:val="9"/>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3"/>
    </w:lvl>
  </w:abstractNum>
  <w:abstractNum w:abstractNumId="23">
    <w:nsid w:val="77465F01"/>
    <w:multiLevelType w:val="hybridMultilevel"/>
    <w:lvl w:ilvl="0">
      <w:lvlJc w:val="left"/>
      <w:lvlText w:val="(%1)"/>
      <w:numFmt w:val="decimal"/>
      <w:start w:val="4"/>
    </w:lvl>
  </w:abstractNum>
  <w:abstractNum w:abstractNumId="24">
    <w:nsid w:val="7724C67E"/>
    <w:multiLevelType w:val="hybridMultilevel"/>
    <w:lvl w:ilvl="0">
      <w:lvlJc w:val="left"/>
      <w:lvlText w:val="(%1)"/>
      <w:numFmt w:val="lowerLetter"/>
      <w:start w:val="1"/>
    </w:lvl>
    <w:lvl w:ilvl="1">
      <w:lvlJc w:val="left"/>
      <w:lvlText w:val="(%2)"/>
      <w:numFmt w:val="lowerRoman"/>
      <w:start w:val="1"/>
    </w:lvl>
  </w:abstractNum>
  <w:abstractNum w:abstractNumId="25">
    <w:nsid w:val="5C482A97"/>
    <w:multiLevelType w:val="hybridMultilevel"/>
    <w:lvl w:ilvl="0">
      <w:lvlJc w:val="left"/>
      <w:lvlText w:val="(%1)"/>
      <w:numFmt w:val="lowerLetter"/>
      <w:start w:val="1"/>
    </w:lvl>
    <w:lvl w:ilvl="1">
      <w:lvlJc w:val="left"/>
      <w:lvlText w:val="(%2)"/>
      <w:numFmt w:val="lowerRoman"/>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4"/>
    </w:lvl>
  </w:abstractNum>
  <w:abstractNum w:abstractNumId="28">
    <w:nsid w:val="51EAD36B"/>
    <w:multiLevelType w:val="hybridMultilevel"/>
    <w:lvl w:ilvl="0">
      <w:lvlJc w:val="left"/>
      <w:lvlText w:val="(%1)"/>
      <w:numFmt w:val="lowerLetter"/>
      <w:start w:val="6"/>
    </w:lvl>
  </w:abstractNum>
  <w:abstractNum w:abstractNumId="29">
    <w:nsid w:val="2D517796"/>
    <w:multiLevelType w:val="hybridMultilevel"/>
    <w:lvl w:ilvl="0">
      <w:lvlJc w:val="left"/>
      <w:lvlText w:val="(%1)"/>
      <w:numFmt w:val="lowerLetter"/>
      <w:start w:val="8"/>
    </w:lvl>
  </w:abstractNum>
  <w:abstractNum w:abstractNumId="30">
    <w:nsid w:val="580BD78F"/>
    <w:multiLevelType w:val="hybridMultilevel"/>
    <w:lvl w:ilvl="0">
      <w:lvlJc w:val="left"/>
      <w:lvlText w:val="(%1)"/>
      <w:numFmt w:val="lowerLetter"/>
      <w:start w:val="9"/>
    </w:lvl>
  </w:abstractNum>
  <w:abstractNum w:abstractNumId="31">
    <w:nsid w:val="153EA438"/>
    <w:multiLevelType w:val="hybridMultilevel"/>
    <w:lvl w:ilvl="0">
      <w:lvlJc w:val="left"/>
      <w:lvlText w:val="(%1)"/>
      <w:numFmt w:val="lowerLetter"/>
      <w:start w:val="11"/>
    </w:lvl>
  </w:abstractNum>
  <w:abstractNum w:abstractNumId="32">
    <w:nsid w:val="3855585C"/>
    <w:multiLevelType w:val="hybridMultilevel"/>
    <w:lvl w:ilvl="0">
      <w:lvlJc w:val="left"/>
      <w:lvlText w:val="(%1)"/>
      <w:numFmt w:val="lowerLetter"/>
      <w:start w:val="14"/>
    </w:lvl>
  </w:abstractNum>
  <w:abstractNum w:abstractNumId="33">
    <w:nsid w:val="70A64E2A"/>
    <w:multiLevelType w:val="hybridMultilevel"/>
    <w:lvl w:ilvl="0">
      <w:lvlJc w:val="left"/>
      <w:lvlText w:val="(%1)"/>
      <w:numFmt w:val="lowerLetter"/>
      <w:start w:val="18"/>
    </w:lvl>
  </w:abstractNum>
  <w:abstractNum w:abstractNumId="34">
    <w:nsid w:val="6A2342EC"/>
    <w:multiLevelType w:val="hybridMultilevel"/>
    <w:lvl w:ilvl="0">
      <w:lvlJc w:val="left"/>
      <w:lvlText w:val="(%1)"/>
      <w:numFmt w:val="lowerLetter"/>
      <w:start w:val="20"/>
    </w:lvl>
  </w:abstractNum>
  <w:abstractNum w:abstractNumId="35">
    <w:nsid w:val="2A487CB0"/>
    <w:multiLevelType w:val="hybridMultilevel"/>
    <w:lvl w:ilvl="0">
      <w:lvlJc w:val="left"/>
      <w:lvlText w:val="(%1)"/>
      <w:numFmt w:val="lowerLetter"/>
      <w:start w:val="25"/>
    </w:lvl>
  </w:abstractNum>
  <w:abstractNum w:abstractNumId="36">
    <w:nsid w:val="1D4ED43B"/>
    <w:multiLevelType w:val="hybridMultilevel"/>
    <w:lvl w:ilvl="0">
      <w:lvlJc w:val="left"/>
      <w:lvlText w:val="%1"/>
      <w:numFmt w:val="lowerLetter"/>
      <w:start w:val="1"/>
    </w:lvl>
    <w:lvl w:ilvl="1">
      <w:lvlJc w:val="left"/>
      <w:lvlText w:val="(%2)"/>
      <w:numFmt w:val="lowerLetter"/>
      <w:start w:val="27"/>
    </w:lvl>
  </w:abstractNum>
  <w:abstractNum w:abstractNumId="37">
    <w:nsid w:val="725A06FB"/>
    <w:multiLevelType w:val="hybridMultilevel"/>
    <w:lvl w:ilvl="0">
      <w:lvlJc w:val="left"/>
      <w:lvlText w:val="(%1)"/>
      <w:numFmt w:val="lowerLetter"/>
      <w:start w:val="35"/>
    </w:lvl>
    <w:lvl w:ilvl="1">
      <w:lvlJc w:val="left"/>
      <w:lvlText w:val="%2"/>
      <w:numFmt w:val="lowerLetter"/>
      <w:start w:val="1"/>
    </w:lvl>
  </w:abstractNum>
  <w:abstractNum w:abstractNumId="38">
    <w:nsid w:val="2CD89A32"/>
    <w:multiLevelType w:val="hybridMultilevel"/>
    <w:lvl w:ilvl="0">
      <w:lvlJc w:val="left"/>
      <w:lvlText w:val="(%1)"/>
      <w:numFmt w:val="lowerLetter"/>
      <w:start w:val="28"/>
    </w:lvl>
  </w:abstractNum>
  <w:abstractNum w:abstractNumId="39">
    <w:nsid w:val="57E4CCAF"/>
    <w:multiLevelType w:val="hybridMultilevel"/>
    <w:lvl w:ilvl="0">
      <w:lvlJc w:val="left"/>
      <w:lvlText w:val="%1"/>
      <w:numFmt w:val="lowerLetter"/>
      <w:start w:val="1"/>
    </w:lvl>
    <w:lvl w:ilvl="1">
      <w:lvlJc w:val="left"/>
      <w:lvlText w:val="(%2)"/>
      <w:numFmt w:val="lowerLetter"/>
      <w:start w:val="32"/>
    </w:lvl>
  </w:abstractNum>
  <w:abstractNum w:abstractNumId="40">
    <w:nsid w:val="7A6D8D3C"/>
    <w:multiLevelType w:val="hybridMultilevel"/>
    <w:lvl w:ilvl="0">
      <w:lvlJc w:val="left"/>
      <w:lvlText w:val="(%1)"/>
      <w:numFmt w:val="lowerLetter"/>
      <w:start w:val="61"/>
    </w:lvl>
    <w:lvl w:ilvl="1">
      <w:lvlJc w:val="left"/>
      <w:lvlText w:val="(%2)"/>
      <w:numFmt w:val="lowerLetter"/>
      <w:start w:val="33"/>
    </w:lvl>
  </w:abstractNum>
  <w:abstractNum w:abstractNumId="41">
    <w:nsid w:val="4B588F54"/>
    <w:multiLevelType w:val="hybridMultilevel"/>
    <w:lvl w:ilvl="0">
      <w:lvlJc w:val="left"/>
      <w:lvlText w:val="(%1)"/>
      <w:numFmt w:val="lowerLetter"/>
      <w:start w:val="34"/>
    </w:lvl>
  </w:abstractNum>
  <w:abstractNum w:abstractNumId="42">
    <w:nsid w:val="542289EC"/>
    <w:multiLevelType w:val="hybridMultilevel"/>
    <w:lvl w:ilvl="0">
      <w:lvlJc w:val="left"/>
      <w:lvlText w:val="(%1)"/>
      <w:numFmt w:val="lowerLetter"/>
      <w:start w:val="38"/>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2"/>
    </w:lvl>
  </w:abstractNum>
  <w:abstractNum w:abstractNumId="45">
    <w:nsid w:val="7644A45C"/>
    <w:multiLevelType w:val="hybridMultilevel"/>
    <w:lvl w:ilvl="0">
      <w:lvlJc w:val="left"/>
      <w:lvlText w:val="(%1)"/>
      <w:numFmt w:val="lowerLetter"/>
      <w:start w:val="6"/>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4"/>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jpeg"/><Relationship Id="rId75" Type="http://schemas.openxmlformats.org/officeDocument/2006/relationships/image" Target="media/image67.png"/><Relationship Id="rId76" Type="http://schemas.openxmlformats.org/officeDocument/2006/relationships/image" Target="media/image68.png"/><Relationship Id="rId14" Type="http://schemas.openxmlformats.org/officeDocument/2006/relationships/hyperlink" Target="http://www.sec.gov/Archives/edgar/data/883975/00014931521900067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2019-12-28T17:05:10Z</dcterms:created>
  <dcterms:modified xsi:type="dcterms:W3CDTF">2019-12-28T17:05:10Z</dcterms:modified>
</cp:coreProperties>
</file>