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November 1, 2006</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November 1, 2006, StemCells, Inc. issued a press release announcing its financial results for the third quarter ended September 30, 2006. The full text of the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November 1,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Rodney K.B. Young</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2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Company Contact:</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Rodney Young</w:t>
      </w:r>
    </w:p>
    <w:p>
      <w:pPr>
        <w:ind w:left="300"/>
        <w:spacing w:after="0"/>
        <w:rPr>
          <w:sz w:val="20"/>
          <w:szCs w:val="20"/>
          <w:color w:val="auto"/>
        </w:rPr>
      </w:pPr>
      <w:r>
        <w:rPr>
          <w:rFonts w:ascii="Arial" w:cs="Arial" w:eastAsia="Arial" w:hAnsi="Arial"/>
          <w:sz w:val="19"/>
          <w:szCs w:val="19"/>
          <w:color w:val="auto"/>
        </w:rPr>
        <w:t>Chief Financial Officer</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(650) 475-3100 ext.105</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irpr@stemcellsinc.com</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Schwartz Communications, Inc.</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(781) 684-0770</w:t>
      </w:r>
    </w:p>
    <w:p>
      <w:pPr>
        <w:spacing w:after="0"/>
        <w:rPr>
          <w:sz w:val="20"/>
          <w:szCs w:val="20"/>
          <w:color w:val="auto"/>
        </w:rPr>
      </w:pPr>
      <w:r>
        <w:rPr>
          <w:rFonts w:ascii="Arial" w:cs="Arial" w:eastAsia="Arial" w:hAnsi="Arial"/>
          <w:sz w:val="22"/>
          <w:szCs w:val="22"/>
          <w:color w:val="auto"/>
        </w:rPr>
        <w:t>stemcells@schwartz-pr.com</w:t>
      </w:r>
    </w:p>
    <w:p>
      <w:pPr>
        <w:spacing w:after="0" w:line="408" w:lineRule="exact"/>
        <w:rPr>
          <w:sz w:val="20"/>
          <w:szCs w:val="20"/>
          <w:color w:val="auto"/>
        </w:rPr>
      </w:pPr>
    </w:p>
    <w:p>
      <w:pPr>
        <w:sectPr>
          <w:pgSz w:w="11900" w:h="16861" w:orient="portrait"/>
          <w:cols w:equalWidth="0" w:num="2">
            <w:col w:w="4880" w:space="720"/>
            <w:col w:w="5820"/>
          </w:cols>
          <w:pgMar w:left="240" w:top="328" w:right="239" w:bottom="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STEMCELLS ANNOUNCES THIRD QUARTER 2006 FINANCIAL RESULTS</w:t>
      </w:r>
    </w:p>
    <w:p>
      <w:pPr>
        <w:spacing w:after="0" w:line="206" w:lineRule="exact"/>
        <w:rPr>
          <w:sz w:val="20"/>
          <w:szCs w:val="20"/>
          <w:color w:val="auto"/>
        </w:rPr>
      </w:pPr>
    </w:p>
    <w:p>
      <w:pPr>
        <w:ind w:right="380"/>
        <w:spacing w:after="0" w:line="256" w:lineRule="auto"/>
        <w:rPr>
          <w:sz w:val="20"/>
          <w:szCs w:val="20"/>
          <w:color w:val="auto"/>
        </w:rPr>
      </w:pPr>
      <w:r>
        <w:rPr>
          <w:rFonts w:ascii="Arial" w:cs="Arial" w:eastAsia="Arial" w:hAnsi="Arial"/>
          <w:sz w:val="22"/>
          <w:szCs w:val="22"/>
          <w:b w:val="1"/>
          <w:bCs w:val="1"/>
          <w:color w:val="auto"/>
        </w:rPr>
        <w:t xml:space="preserve">PALO ALTO, Calif., November 1, 2006 </w:t>
      </w:r>
      <w:r>
        <w:rPr>
          <w:rFonts w:ascii="Arial" w:cs="Arial" w:eastAsia="Arial" w:hAnsi="Arial"/>
          <w:sz w:val="22"/>
          <w:szCs w:val="22"/>
          <w:color w:val="auto"/>
        </w:rPr>
        <w:t>– StemCells, Inc. (NASDAQ: STEM) today reported its financial results for the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ended September 30, 2006.</w:t>
      </w:r>
    </w:p>
    <w:p>
      <w:pPr>
        <w:spacing w:after="0" w:line="169"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The Company reported a net loss of $4,863,000, or $0.06 per share, for the third quarter ended September 30, 2006, compared to a net loss of $94,000, or $0.00 per share, for the third quarter ended September 30, 2005. The increase in net loss from 2005 to 2006 was primarily attributable to higher income in the third quarter of 2005, when the Company recorded approximately $3,748,000 as income, net of legal and other expenses, upon the receipt of shares in ReNeuron Group plc as part of a license and settlement agreement. In addition, the Company adopted Statement of Financial Accounting Standards 123R effective January 1, 2006 and recognized approximately $696,000 in compensation expense in the third quarter of 2006 related to qualified stock option grants; no such expense was recognized in 2005. The increase in operating expenses was also attributable to the expansion of the Company’s operations in cell processing and clinical development. This increase was partially offset by an increase in interest income attributable to a higher average cash balance and higher yield on investments in 2006.</w:t>
      </w:r>
    </w:p>
    <w:p>
      <w:pPr>
        <w:spacing w:after="0" w:line="159" w:lineRule="exact"/>
        <w:rPr>
          <w:sz w:val="20"/>
          <w:szCs w:val="20"/>
          <w:color w:val="auto"/>
        </w:rPr>
      </w:pPr>
    </w:p>
    <w:p>
      <w:pPr>
        <w:ind w:right="960"/>
        <w:spacing w:after="0" w:line="276" w:lineRule="auto"/>
        <w:rPr>
          <w:sz w:val="20"/>
          <w:szCs w:val="20"/>
          <w:color w:val="auto"/>
        </w:rPr>
      </w:pPr>
      <w:r>
        <w:rPr>
          <w:rFonts w:ascii="Arial" w:cs="Arial" w:eastAsia="Arial" w:hAnsi="Arial"/>
          <w:sz w:val="19"/>
          <w:szCs w:val="19"/>
          <w:color w:val="auto"/>
        </w:rPr>
        <w:t>Cash and cash equivalents were approximately $55,441,000 as of September 30, 2006 as compared to $34,971,000 at September 30, 2005. The Company’s cash balance increased in 2006 due to a $35,840,000 registered direct placement of</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11.75 million shares of common stock to a limited number of institutional investors at $3.05 per share in April 2006. Net cash used in operating activities for the nine months ended September 30, 2006 was approximately $12,077,000 compared with approximately $9,188,000 in the same period in 2005.</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14"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 xml:space="preserve">StemCells, Inc. is a clinical-stage biotechnology company focused on the discovery, development and commercialization of cell-based therapeutics to treat diseases of the nervous system, liver and pancreas. The Company’s programs seek to repair or repopulate neural, liver or other tissue that has been damaged or lost as a result of disease or injury. StemCells is the first company to directly identify and isolate human neural stem cells from normal brain tissue. These cells are expandable into cell banks for therapeutic use, which offers the potential of using normal, non-genetically modified cells as cell-based therapies. StemCells has initiated a Phase I clinical trial of its proprietary human neural stem cells (HuCNS-SC™) as a treatment for neuronal ceroid lipofucinosis (NCL) and anticipates dosing the first patient in that trial later this year. NCL, which is often referred to as Batten disease, is a rare and fatal neurodegenerative disease that affects infants and young children. StemCells has approximately 40 U.S. and 100 non-U.S. patents. Further information about the Company is available on its web site at: </w:t>
      </w:r>
      <w:r>
        <w:rPr>
          <w:rFonts w:ascii="Arial" w:cs="Arial" w:eastAsia="Arial" w:hAnsi="Arial"/>
          <w:sz w:val="19"/>
          <w:szCs w:val="19"/>
          <w:u w:val="single" w:color="auto"/>
          <w:color w:val="auto"/>
        </w:rPr>
        <w:t>www.stemcellsinc.com</w:t>
      </w:r>
      <w:r>
        <w:rPr>
          <w:rFonts w:ascii="Arial" w:cs="Arial" w:eastAsia="Arial" w:hAnsi="Arial"/>
          <w:sz w:val="19"/>
          <w:szCs w:val="19"/>
          <w:color w:val="auto"/>
        </w:rPr>
        <w:t>.</w:t>
      </w:r>
    </w:p>
    <w:p>
      <w:pPr>
        <w:spacing w:after="0" w:line="157"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i w:val="1"/>
          <w:iCs w:val="1"/>
          <w:color w:val="auto"/>
        </w:rPr>
        <w:t>Apart from statements of historical facts, the text of this press release constitutes forward-looking statements regarding, among other things, the future business operations of StemCells, Inc. (the “Company”) and its ability to conduct clinical trials as well as its research and product development efforts.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whether results obtained in the animal models of infantile NCL, spinal cord injury, or other diseases and conditions will be able to be translated into treatment for humans; uncertainty as to whether the FDA or other applicable regulators or review boards will permit the Company to continue clinical testing in NCL or in future clinical trials of proposed therapies for other diseases or conditions despite the novel and unproven nature of the Company’s technology; uncertainties regarding the timing and duration of any clinical trials; uncertainties regarding the Company’s ability to obtain the increased capital resources needed to continue its current research and development operations and to conduct the research, preclinical development and clinical trials necessary for regulatory approvals; uncertainty regarding the validity and enforceability of the Company’s patents; uncertainty as to whether HuCNS-SC and any products that may be generated in the future in the Company’s stem cell programs will prove safe and clinically effective and not cause tumors or other side effects; uncertainty as to whether the Company will achieve revenues from product sales or become profitable; the Company’s likely increase in the use of cash as compared to the Company’s historical use of cash; and other factors that are described under the heading “Risk Factors” in Item 1A of the Company’s Annual Report on Form 10-K.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13970</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6"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Condensed Consolidated Statement of Operations</w:t>
      </w:r>
    </w:p>
    <w:p>
      <w:pPr>
        <w:spacing w:after="0" w:line="9" w:lineRule="exact"/>
        <w:rPr>
          <w:sz w:val="20"/>
          <w:szCs w:val="20"/>
          <w:color w:val="auto"/>
        </w:rPr>
      </w:pPr>
    </w:p>
    <w:tbl>
      <w:tblPr>
        <w:tblLayout w:type="fixed"/>
        <w:tblInd w:w="300" w:type="dxa"/>
        <w:tblCellMar>
          <w:top w:w="0" w:type="dxa"/>
          <w:left w:w="0" w:type="dxa"/>
          <w:bottom w:w="0" w:type="dxa"/>
          <w:right w:w="0" w:type="dxa"/>
        </w:tblCellMar>
      </w:tblPr>
      <w:tr>
        <w:trPr>
          <w:trHeight w:val="206"/>
        </w:trPr>
        <w:tc>
          <w:tcPr>
            <w:tcW w:w="4440" w:type="dxa"/>
            <w:vAlign w:val="bottom"/>
            <w:tcBorders>
              <w:top w:val="single" w:sz="8" w:color="auto"/>
            </w:tcBorders>
            <w:gridSpan w:val="3"/>
          </w:tcPr>
          <w:p>
            <w:pPr>
              <w:spacing w:after="0" w:line="207" w:lineRule="exact"/>
              <w:rPr>
                <w:sz w:val="20"/>
                <w:szCs w:val="20"/>
                <w:color w:val="auto"/>
              </w:rPr>
            </w:pPr>
            <w:r>
              <w:rPr>
                <w:rFonts w:ascii="Arial" w:cs="Arial" w:eastAsia="Arial" w:hAnsi="Arial"/>
                <w:sz w:val="20"/>
                <w:szCs w:val="20"/>
                <w:b w:val="1"/>
                <w:bCs w:val="1"/>
                <w:color w:val="auto"/>
                <w:w w:val="88"/>
              </w:rPr>
              <w:t>(in thousands, except share and per share amounts)</w:t>
            </w:r>
          </w:p>
        </w:tc>
        <w:tc>
          <w:tcPr>
            <w:tcW w:w="10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r>
      <w:tr>
        <w:trPr>
          <w:trHeight w:val="246"/>
        </w:trPr>
        <w:tc>
          <w:tcPr>
            <w:tcW w:w="3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20"/>
                <w:szCs w:val="20"/>
                <w:color w:val="auto"/>
                <w:w w:val="87"/>
              </w:rPr>
              <w:t>Three months ended</w:t>
            </w:r>
          </w:p>
        </w:tc>
        <w:tc>
          <w:tcPr>
            <w:tcW w:w="5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20"/>
                <w:szCs w:val="20"/>
                <w:color w:val="auto"/>
                <w:w w:val="88"/>
              </w:rPr>
              <w:t>Nine months ended</w:t>
            </w:r>
          </w:p>
        </w:tc>
        <w:tc>
          <w:tcPr>
            <w:tcW w:w="5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r>
      <w:tr>
        <w:trPr>
          <w:trHeight w:val="237"/>
        </w:trPr>
        <w:tc>
          <w:tcPr>
            <w:tcW w:w="3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20"/>
                <w:szCs w:val="20"/>
                <w:color w:val="auto"/>
                <w:w w:val="86"/>
              </w:rPr>
              <w:t>September 30,</w:t>
            </w:r>
          </w:p>
        </w:tc>
        <w:tc>
          <w:tcPr>
            <w:tcW w:w="5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20"/>
                <w:szCs w:val="20"/>
                <w:color w:val="auto"/>
                <w:w w:val="86"/>
              </w:rPr>
              <w:t>September 30,</w:t>
            </w: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r>
        <w:trPr>
          <w:trHeight w:val="237"/>
        </w:trPr>
        <w:tc>
          <w:tcPr>
            <w:tcW w:w="3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2006</w:t>
            </w:r>
          </w:p>
        </w:tc>
        <w:tc>
          <w:tcPr>
            <w:tcW w:w="1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2005</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2006</w:t>
            </w:r>
          </w:p>
        </w:tc>
        <w:tc>
          <w:tcPr>
            <w:tcW w:w="1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2005</w:t>
            </w:r>
          </w:p>
        </w:tc>
        <w:tc>
          <w:tcPr>
            <w:tcW w:w="440" w:type="dxa"/>
            <w:vAlign w:val="bottom"/>
          </w:tcPr>
          <w:p>
            <w:pPr>
              <w:spacing w:after="0"/>
              <w:rPr>
                <w:sz w:val="20"/>
                <w:szCs w:val="20"/>
                <w:color w:val="auto"/>
              </w:rPr>
            </w:pPr>
          </w:p>
        </w:tc>
      </w:tr>
      <w:tr>
        <w:trPr>
          <w:trHeight w:val="220"/>
        </w:trPr>
        <w:tc>
          <w:tcPr>
            <w:tcW w:w="3120" w:type="dxa"/>
            <w:vAlign w:val="bottom"/>
          </w:tcPr>
          <w:p>
            <w:pPr>
              <w:spacing w:after="0" w:line="220" w:lineRule="exact"/>
              <w:rPr>
                <w:sz w:val="20"/>
                <w:szCs w:val="20"/>
                <w:color w:val="auto"/>
              </w:rPr>
            </w:pPr>
            <w:r>
              <w:rPr>
                <w:rFonts w:ascii="Arial" w:cs="Arial" w:eastAsia="Arial" w:hAnsi="Arial"/>
                <w:sz w:val="20"/>
                <w:szCs w:val="20"/>
                <w:color w:val="auto"/>
              </w:rPr>
              <w:t>Revenue from grants and licensing</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50"/>
        </w:trPr>
        <w:tc>
          <w:tcPr>
            <w:tcW w:w="3120" w:type="dxa"/>
            <w:vAlign w:val="bottom"/>
          </w:tcPr>
          <w:p>
            <w:pPr>
              <w:ind w:left="140"/>
              <w:spacing w:after="0"/>
              <w:rPr>
                <w:sz w:val="20"/>
                <w:szCs w:val="20"/>
                <w:color w:val="auto"/>
              </w:rPr>
            </w:pPr>
            <w:r>
              <w:rPr>
                <w:rFonts w:ascii="Arial" w:cs="Arial" w:eastAsia="Arial" w:hAnsi="Arial"/>
                <w:sz w:val="20"/>
                <w:szCs w:val="20"/>
                <w:color w:val="auto"/>
              </w:rPr>
              <w:t>agreements</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18</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91</w:t>
            </w:r>
          </w:p>
        </w:tc>
        <w:tc>
          <w:tcPr>
            <w:tcW w:w="44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80</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163</w:t>
            </w:r>
          </w:p>
        </w:tc>
        <w:tc>
          <w:tcPr>
            <w:tcW w:w="440" w:type="dxa"/>
            <w:vAlign w:val="bottom"/>
          </w:tcPr>
          <w:p>
            <w:pPr>
              <w:spacing w:after="0"/>
              <w:rPr>
                <w:sz w:val="21"/>
                <w:szCs w:val="21"/>
                <w:color w:val="auto"/>
              </w:rPr>
            </w:pPr>
          </w:p>
        </w:tc>
      </w:tr>
    </w:tbl>
    <w:p>
      <w:pPr>
        <w:sectPr>
          <w:pgSz w:w="11900" w:h="16861" w:orient="portrait"/>
          <w:cols w:equalWidth="0" w:num="1">
            <w:col w:w="11420"/>
          </w:cols>
          <w:pgMar w:left="240" w:top="328" w:right="239" w:bottom="0" w:gutter="0" w:footer="0" w:header="0"/>
          <w:type w:val="continuous"/>
        </w:sectPr>
      </w:pPr>
    </w:p>
    <w:bookmarkStart w:id="5" w:name="page6"/>
    <w:bookmarkEnd w:id="5"/>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31"/>
        </w:trPr>
        <w:tc>
          <w:tcPr>
            <w:tcW w:w="3460" w:type="dxa"/>
            <w:vAlign w:val="bottom"/>
          </w:tcPr>
          <w:p>
            <w:pPr>
              <w:spacing w:after="0"/>
              <w:rPr>
                <w:sz w:val="20"/>
                <w:szCs w:val="20"/>
                <w:color w:val="auto"/>
              </w:rPr>
            </w:pPr>
            <w:r>
              <w:rPr>
                <w:rFonts w:ascii="Arial" w:cs="Arial" w:eastAsia="Arial" w:hAnsi="Arial"/>
                <w:sz w:val="20"/>
                <w:szCs w:val="20"/>
                <w:color w:val="auto"/>
              </w:rPr>
              <w:t>Operating Expenses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20"/>
                <w:szCs w:val="20"/>
                <w:color w:val="auto"/>
              </w:rPr>
              <w:t>Research and development</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3,523</w:t>
            </w:r>
          </w:p>
        </w:tc>
        <w:tc>
          <w:tcPr>
            <w:tcW w:w="5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2,337</w:t>
            </w:r>
          </w:p>
        </w:tc>
        <w:tc>
          <w:tcPr>
            <w:tcW w:w="40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20"/>
                <w:szCs w:val="20"/>
                <w:color w:val="auto"/>
              </w:rPr>
              <w:t>9,403</w:t>
            </w:r>
          </w:p>
        </w:tc>
        <w:tc>
          <w:tcPr>
            <w:tcW w:w="460" w:type="dxa"/>
            <w:vAlign w:val="bottom"/>
          </w:tcPr>
          <w:p>
            <w:pPr>
              <w:spacing w:after="0"/>
              <w:rPr>
                <w:sz w:val="19"/>
                <w:szCs w:val="19"/>
                <w:color w:val="auto"/>
              </w:rPr>
            </w:pPr>
          </w:p>
        </w:tc>
        <w:tc>
          <w:tcPr>
            <w:tcW w:w="1540" w:type="dxa"/>
            <w:vAlign w:val="bottom"/>
            <w:gridSpan w:val="5"/>
          </w:tcPr>
          <w:p>
            <w:pPr>
              <w:jc w:val="right"/>
              <w:spacing w:after="0"/>
              <w:rPr>
                <w:sz w:val="20"/>
                <w:szCs w:val="20"/>
                <w:color w:val="auto"/>
              </w:rPr>
            </w:pPr>
            <w:r>
              <w:rPr>
                <w:rFonts w:ascii="Arial" w:cs="Arial" w:eastAsia="Arial" w:hAnsi="Arial"/>
                <w:sz w:val="20"/>
                <w:szCs w:val="20"/>
                <w:color w:val="auto"/>
              </w:rPr>
              <w:t>5,925</w:t>
            </w:r>
          </w:p>
        </w:tc>
        <w:tc>
          <w:tcPr>
            <w:tcW w:w="440" w:type="dxa"/>
            <w:vAlign w:val="bottom"/>
          </w:tcPr>
          <w:p>
            <w:pPr>
              <w:spacing w:after="0"/>
              <w:rPr>
                <w:sz w:val="19"/>
                <w:szCs w:val="19"/>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20"/>
                <w:szCs w:val="20"/>
                <w:color w:val="auto"/>
              </w:rPr>
              <w:t>General &amp; administrative</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1,889</w:t>
            </w:r>
          </w:p>
        </w:tc>
        <w:tc>
          <w:tcPr>
            <w:tcW w:w="5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1,549</w:t>
            </w:r>
          </w:p>
        </w:tc>
        <w:tc>
          <w:tcPr>
            <w:tcW w:w="40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20"/>
                <w:szCs w:val="20"/>
                <w:color w:val="auto"/>
              </w:rPr>
              <w:t>4,979</w:t>
            </w:r>
          </w:p>
        </w:tc>
        <w:tc>
          <w:tcPr>
            <w:tcW w:w="460" w:type="dxa"/>
            <w:vAlign w:val="bottom"/>
          </w:tcPr>
          <w:p>
            <w:pPr>
              <w:spacing w:after="0"/>
              <w:rPr>
                <w:sz w:val="19"/>
                <w:szCs w:val="19"/>
                <w:color w:val="auto"/>
              </w:rPr>
            </w:pPr>
          </w:p>
        </w:tc>
        <w:tc>
          <w:tcPr>
            <w:tcW w:w="1540" w:type="dxa"/>
            <w:vAlign w:val="bottom"/>
            <w:gridSpan w:val="5"/>
          </w:tcPr>
          <w:p>
            <w:pPr>
              <w:jc w:val="right"/>
              <w:spacing w:after="0"/>
              <w:rPr>
                <w:sz w:val="20"/>
                <w:szCs w:val="20"/>
                <w:color w:val="auto"/>
              </w:rPr>
            </w:pPr>
            <w:r>
              <w:rPr>
                <w:rFonts w:ascii="Arial" w:cs="Arial" w:eastAsia="Arial" w:hAnsi="Arial"/>
                <w:sz w:val="20"/>
                <w:szCs w:val="20"/>
                <w:color w:val="auto"/>
              </w:rPr>
              <w:t>4,009</w:t>
            </w:r>
          </w:p>
        </w:tc>
        <w:tc>
          <w:tcPr>
            <w:tcW w:w="440" w:type="dxa"/>
            <w:vAlign w:val="bottom"/>
          </w:tcPr>
          <w:p>
            <w:pPr>
              <w:spacing w:after="0"/>
              <w:rPr>
                <w:sz w:val="19"/>
                <w:szCs w:val="19"/>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20"/>
                <w:szCs w:val="20"/>
                <w:color w:val="auto"/>
              </w:rPr>
              <w:t>Wind-down expenses related to</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20"/>
                <w:szCs w:val="20"/>
                <w:color w:val="auto"/>
              </w:rPr>
              <w:t>our former corporate</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20"/>
                <w:szCs w:val="20"/>
                <w:color w:val="auto"/>
              </w:rPr>
              <w:t>headquarters</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168</w:t>
            </w:r>
          </w:p>
        </w:tc>
        <w:tc>
          <w:tcPr>
            <w:tcW w:w="5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297</w:t>
            </w:r>
          </w:p>
        </w:tc>
        <w:tc>
          <w:tcPr>
            <w:tcW w:w="40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20"/>
                <w:szCs w:val="20"/>
                <w:color w:val="auto"/>
              </w:rPr>
              <w:t>499</w:t>
            </w:r>
          </w:p>
        </w:tc>
        <w:tc>
          <w:tcPr>
            <w:tcW w:w="460" w:type="dxa"/>
            <w:vAlign w:val="bottom"/>
          </w:tcPr>
          <w:p>
            <w:pPr>
              <w:spacing w:after="0"/>
              <w:rPr>
                <w:sz w:val="19"/>
                <w:szCs w:val="19"/>
                <w:color w:val="auto"/>
              </w:rPr>
            </w:pPr>
          </w:p>
        </w:tc>
        <w:tc>
          <w:tcPr>
            <w:tcW w:w="1540" w:type="dxa"/>
            <w:vAlign w:val="bottom"/>
            <w:gridSpan w:val="5"/>
          </w:tcPr>
          <w:p>
            <w:pPr>
              <w:jc w:val="right"/>
              <w:spacing w:after="0"/>
              <w:rPr>
                <w:sz w:val="20"/>
                <w:szCs w:val="20"/>
                <w:color w:val="auto"/>
              </w:rPr>
            </w:pPr>
            <w:r>
              <w:rPr>
                <w:rFonts w:ascii="Arial" w:cs="Arial" w:eastAsia="Arial" w:hAnsi="Arial"/>
                <w:sz w:val="20"/>
                <w:szCs w:val="20"/>
                <w:color w:val="auto"/>
              </w:rPr>
              <w:t>2,015</w:t>
            </w:r>
          </w:p>
        </w:tc>
        <w:tc>
          <w:tcPr>
            <w:tcW w:w="44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Total operating expenses</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5,580</w:t>
            </w:r>
          </w:p>
        </w:tc>
        <w:tc>
          <w:tcPr>
            <w:tcW w:w="5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4,183</w:t>
            </w:r>
          </w:p>
        </w:tc>
        <w:tc>
          <w:tcPr>
            <w:tcW w:w="40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20"/>
                <w:szCs w:val="20"/>
                <w:color w:val="auto"/>
              </w:rPr>
              <w:t>14,881</w:t>
            </w:r>
          </w:p>
        </w:tc>
        <w:tc>
          <w:tcPr>
            <w:tcW w:w="460" w:type="dxa"/>
            <w:vAlign w:val="bottom"/>
          </w:tcPr>
          <w:p>
            <w:pPr>
              <w:spacing w:after="0"/>
              <w:rPr>
                <w:sz w:val="19"/>
                <w:szCs w:val="19"/>
                <w:color w:val="auto"/>
              </w:rPr>
            </w:pPr>
          </w:p>
        </w:tc>
        <w:tc>
          <w:tcPr>
            <w:tcW w:w="1540" w:type="dxa"/>
            <w:vAlign w:val="bottom"/>
            <w:gridSpan w:val="5"/>
          </w:tcPr>
          <w:p>
            <w:pPr>
              <w:jc w:val="right"/>
              <w:spacing w:after="0"/>
              <w:rPr>
                <w:sz w:val="20"/>
                <w:szCs w:val="20"/>
                <w:color w:val="auto"/>
              </w:rPr>
            </w:pPr>
            <w:r>
              <w:rPr>
                <w:rFonts w:ascii="Arial" w:cs="Arial" w:eastAsia="Arial" w:hAnsi="Arial"/>
                <w:sz w:val="20"/>
                <w:szCs w:val="20"/>
                <w:color w:val="auto"/>
              </w:rPr>
              <w:t>11,949</w:t>
            </w:r>
          </w:p>
        </w:tc>
        <w:tc>
          <w:tcPr>
            <w:tcW w:w="44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Loss from operations</w:t>
            </w:r>
          </w:p>
        </w:tc>
        <w:tc>
          <w:tcPr>
            <w:tcW w:w="1540" w:type="dxa"/>
            <w:vAlign w:val="bottom"/>
            <w:gridSpan w:val="3"/>
          </w:tcPr>
          <w:p>
            <w:pPr>
              <w:jc w:val="right"/>
              <w:ind w:right="500"/>
              <w:spacing w:after="0"/>
              <w:rPr>
                <w:sz w:val="20"/>
                <w:szCs w:val="20"/>
                <w:color w:val="auto"/>
              </w:rPr>
            </w:pPr>
            <w:r>
              <w:rPr>
                <w:rFonts w:ascii="Arial" w:cs="Arial" w:eastAsia="Arial" w:hAnsi="Arial"/>
                <w:sz w:val="20"/>
                <w:szCs w:val="20"/>
                <w:color w:val="auto"/>
              </w:rPr>
              <w:t>(5,562)</w:t>
            </w:r>
          </w:p>
        </w:tc>
        <w:tc>
          <w:tcPr>
            <w:tcW w:w="1800" w:type="dxa"/>
            <w:vAlign w:val="bottom"/>
            <w:gridSpan w:val="3"/>
          </w:tcPr>
          <w:p>
            <w:pPr>
              <w:jc w:val="right"/>
              <w:ind w:right="340"/>
              <w:spacing w:after="0"/>
              <w:rPr>
                <w:sz w:val="20"/>
                <w:szCs w:val="20"/>
                <w:color w:val="auto"/>
              </w:rPr>
            </w:pPr>
            <w:r>
              <w:rPr>
                <w:rFonts w:ascii="Arial" w:cs="Arial" w:eastAsia="Arial" w:hAnsi="Arial"/>
                <w:sz w:val="20"/>
                <w:szCs w:val="20"/>
                <w:color w:val="auto"/>
              </w:rPr>
              <w:t>(4,092)</w:t>
            </w:r>
          </w:p>
        </w:tc>
        <w:tc>
          <w:tcPr>
            <w:tcW w:w="2060" w:type="dxa"/>
            <w:vAlign w:val="bottom"/>
            <w:gridSpan w:val="5"/>
          </w:tcPr>
          <w:p>
            <w:pPr>
              <w:jc w:val="right"/>
              <w:ind w:right="400"/>
              <w:spacing w:after="0"/>
              <w:rPr>
                <w:sz w:val="20"/>
                <w:szCs w:val="20"/>
                <w:color w:val="auto"/>
              </w:rPr>
            </w:pPr>
            <w:r>
              <w:rPr>
                <w:rFonts w:ascii="Arial" w:cs="Arial" w:eastAsia="Arial" w:hAnsi="Arial"/>
                <w:sz w:val="20"/>
                <w:szCs w:val="20"/>
                <w:color w:val="auto"/>
              </w:rPr>
              <w:t>(14,801)</w:t>
            </w:r>
          </w:p>
        </w:tc>
        <w:tc>
          <w:tcPr>
            <w:tcW w:w="1980" w:type="dxa"/>
            <w:vAlign w:val="bottom"/>
            <w:gridSpan w:val="6"/>
          </w:tcPr>
          <w:p>
            <w:pPr>
              <w:jc w:val="right"/>
              <w:ind w:right="380"/>
              <w:spacing w:after="0"/>
              <w:rPr>
                <w:sz w:val="20"/>
                <w:szCs w:val="20"/>
                <w:color w:val="auto"/>
              </w:rPr>
            </w:pPr>
            <w:r>
              <w:rPr>
                <w:rFonts w:ascii="Arial" w:cs="Arial" w:eastAsia="Arial" w:hAnsi="Arial"/>
                <w:sz w:val="20"/>
                <w:szCs w:val="20"/>
                <w:color w:val="auto"/>
              </w:rPr>
              <w:t>(11,786)</w:t>
            </w: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Other income (expense)</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20"/>
                <w:szCs w:val="20"/>
                <w:color w:val="auto"/>
              </w:rPr>
              <w:t>License and settlement agreement,</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20"/>
                <w:szCs w:val="20"/>
                <w:color w:val="auto"/>
              </w:rPr>
              <w:t>net</w:t>
            </w:r>
          </w:p>
        </w:tc>
        <w:tc>
          <w:tcPr>
            <w:tcW w:w="8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3,747</w:t>
            </w:r>
          </w:p>
        </w:tc>
        <w:tc>
          <w:tcPr>
            <w:tcW w:w="40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20"/>
                <w:szCs w:val="20"/>
                <w:color w:val="auto"/>
              </w:rPr>
              <w:t>103</w:t>
            </w:r>
          </w:p>
        </w:tc>
        <w:tc>
          <w:tcPr>
            <w:tcW w:w="460" w:type="dxa"/>
            <w:vAlign w:val="bottom"/>
          </w:tcPr>
          <w:p>
            <w:pPr>
              <w:spacing w:after="0"/>
              <w:rPr>
                <w:sz w:val="19"/>
                <w:szCs w:val="19"/>
                <w:color w:val="auto"/>
              </w:rPr>
            </w:pPr>
          </w:p>
        </w:tc>
        <w:tc>
          <w:tcPr>
            <w:tcW w:w="1540" w:type="dxa"/>
            <w:vAlign w:val="bottom"/>
            <w:gridSpan w:val="5"/>
          </w:tcPr>
          <w:p>
            <w:pPr>
              <w:jc w:val="right"/>
              <w:spacing w:after="0"/>
              <w:rPr>
                <w:sz w:val="20"/>
                <w:szCs w:val="20"/>
                <w:color w:val="auto"/>
              </w:rPr>
            </w:pPr>
            <w:r>
              <w:rPr>
                <w:rFonts w:ascii="Arial" w:cs="Arial" w:eastAsia="Arial" w:hAnsi="Arial"/>
                <w:sz w:val="20"/>
                <w:szCs w:val="20"/>
                <w:color w:val="auto"/>
              </w:rPr>
              <w:t>3,747</w:t>
            </w:r>
          </w:p>
        </w:tc>
        <w:tc>
          <w:tcPr>
            <w:tcW w:w="440" w:type="dxa"/>
            <w:vAlign w:val="bottom"/>
          </w:tcPr>
          <w:p>
            <w:pPr>
              <w:spacing w:after="0"/>
              <w:rPr>
                <w:sz w:val="19"/>
                <w:szCs w:val="19"/>
                <w:color w:val="auto"/>
              </w:rPr>
            </w:pPr>
          </w:p>
        </w:tc>
      </w:tr>
      <w:tr>
        <w:trPr>
          <w:trHeight w:val="224"/>
        </w:trPr>
        <w:tc>
          <w:tcPr>
            <w:tcW w:w="3460" w:type="dxa"/>
            <w:vAlign w:val="bottom"/>
          </w:tcPr>
          <w:p>
            <w:pPr>
              <w:ind w:left="140"/>
              <w:spacing w:after="0" w:line="224" w:lineRule="exact"/>
              <w:rPr>
                <w:sz w:val="20"/>
                <w:szCs w:val="20"/>
                <w:color w:val="auto"/>
              </w:rPr>
            </w:pPr>
            <w:r>
              <w:rPr>
                <w:rFonts w:ascii="Arial" w:cs="Arial" w:eastAsia="Arial" w:hAnsi="Arial"/>
                <w:sz w:val="20"/>
                <w:szCs w:val="20"/>
                <w:color w:val="auto"/>
              </w:rPr>
              <w:t>Interest Income</w:t>
            </w:r>
          </w:p>
        </w:tc>
        <w:tc>
          <w:tcPr>
            <w:tcW w:w="980" w:type="dxa"/>
            <w:vAlign w:val="bottom"/>
            <w:gridSpan w:val="2"/>
          </w:tcPr>
          <w:p>
            <w:pPr>
              <w:jc w:val="right"/>
              <w:spacing w:after="0" w:line="224" w:lineRule="exact"/>
              <w:rPr>
                <w:sz w:val="20"/>
                <w:szCs w:val="20"/>
                <w:color w:val="auto"/>
              </w:rPr>
            </w:pPr>
            <w:r>
              <w:rPr>
                <w:rFonts w:ascii="Arial" w:cs="Arial" w:eastAsia="Arial" w:hAnsi="Arial"/>
                <w:sz w:val="20"/>
                <w:szCs w:val="20"/>
                <w:color w:val="auto"/>
              </w:rPr>
              <w:t>735</w:t>
            </w:r>
          </w:p>
        </w:tc>
        <w:tc>
          <w:tcPr>
            <w:tcW w:w="560" w:type="dxa"/>
            <w:vAlign w:val="bottom"/>
          </w:tcPr>
          <w:p>
            <w:pPr>
              <w:spacing w:after="0"/>
              <w:rPr>
                <w:sz w:val="19"/>
                <w:szCs w:val="19"/>
                <w:color w:val="auto"/>
              </w:rPr>
            </w:pPr>
          </w:p>
        </w:tc>
        <w:tc>
          <w:tcPr>
            <w:tcW w:w="1400" w:type="dxa"/>
            <w:vAlign w:val="bottom"/>
            <w:gridSpan w:val="2"/>
          </w:tcPr>
          <w:p>
            <w:pPr>
              <w:jc w:val="right"/>
              <w:spacing w:after="0" w:line="224" w:lineRule="exact"/>
              <w:rPr>
                <w:sz w:val="20"/>
                <w:szCs w:val="20"/>
                <w:color w:val="auto"/>
              </w:rPr>
            </w:pPr>
            <w:r>
              <w:rPr>
                <w:rFonts w:ascii="Arial" w:cs="Arial" w:eastAsia="Arial" w:hAnsi="Arial"/>
                <w:sz w:val="20"/>
                <w:szCs w:val="20"/>
                <w:color w:val="auto"/>
              </w:rPr>
              <w:t>301</w:t>
            </w:r>
          </w:p>
        </w:tc>
        <w:tc>
          <w:tcPr>
            <w:tcW w:w="400" w:type="dxa"/>
            <w:vAlign w:val="bottom"/>
          </w:tcPr>
          <w:p>
            <w:pPr>
              <w:spacing w:after="0"/>
              <w:rPr>
                <w:sz w:val="19"/>
                <w:szCs w:val="19"/>
                <w:color w:val="auto"/>
              </w:rPr>
            </w:pPr>
          </w:p>
        </w:tc>
        <w:tc>
          <w:tcPr>
            <w:tcW w:w="1600" w:type="dxa"/>
            <w:vAlign w:val="bottom"/>
            <w:gridSpan w:val="4"/>
          </w:tcPr>
          <w:p>
            <w:pPr>
              <w:jc w:val="right"/>
              <w:spacing w:after="0" w:line="224" w:lineRule="exact"/>
              <w:rPr>
                <w:sz w:val="20"/>
                <w:szCs w:val="20"/>
                <w:color w:val="auto"/>
              </w:rPr>
            </w:pPr>
            <w:r>
              <w:rPr>
                <w:rFonts w:ascii="Arial" w:cs="Arial" w:eastAsia="Arial" w:hAnsi="Arial"/>
                <w:sz w:val="20"/>
                <w:szCs w:val="20"/>
                <w:color w:val="auto"/>
              </w:rPr>
              <w:t>1,779</w:t>
            </w:r>
          </w:p>
        </w:tc>
        <w:tc>
          <w:tcPr>
            <w:tcW w:w="460" w:type="dxa"/>
            <w:vAlign w:val="bottom"/>
          </w:tcPr>
          <w:p>
            <w:pPr>
              <w:spacing w:after="0"/>
              <w:rPr>
                <w:sz w:val="19"/>
                <w:szCs w:val="19"/>
                <w:color w:val="auto"/>
              </w:rPr>
            </w:pPr>
          </w:p>
        </w:tc>
        <w:tc>
          <w:tcPr>
            <w:tcW w:w="1540" w:type="dxa"/>
            <w:vAlign w:val="bottom"/>
            <w:gridSpan w:val="5"/>
          </w:tcPr>
          <w:p>
            <w:pPr>
              <w:jc w:val="right"/>
              <w:spacing w:after="0" w:line="224" w:lineRule="exact"/>
              <w:rPr>
                <w:sz w:val="20"/>
                <w:szCs w:val="20"/>
                <w:color w:val="auto"/>
              </w:rPr>
            </w:pPr>
            <w:r>
              <w:rPr>
                <w:rFonts w:ascii="Arial" w:cs="Arial" w:eastAsia="Arial" w:hAnsi="Arial"/>
                <w:sz w:val="20"/>
                <w:szCs w:val="20"/>
                <w:color w:val="auto"/>
              </w:rPr>
              <w:t>790</w:t>
            </w:r>
          </w:p>
        </w:tc>
        <w:tc>
          <w:tcPr>
            <w:tcW w:w="440" w:type="dxa"/>
            <w:vAlign w:val="bottom"/>
          </w:tcPr>
          <w:p>
            <w:pPr>
              <w:spacing w:after="0"/>
              <w:rPr>
                <w:sz w:val="19"/>
                <w:szCs w:val="19"/>
                <w:color w:val="auto"/>
              </w:rPr>
            </w:pPr>
          </w:p>
        </w:tc>
      </w:tr>
      <w:tr>
        <w:trPr>
          <w:trHeight w:val="236"/>
        </w:trPr>
        <w:tc>
          <w:tcPr>
            <w:tcW w:w="3460" w:type="dxa"/>
            <w:vAlign w:val="bottom"/>
          </w:tcPr>
          <w:p>
            <w:pPr>
              <w:ind w:left="140"/>
              <w:spacing w:after="0"/>
              <w:rPr>
                <w:sz w:val="20"/>
                <w:szCs w:val="20"/>
                <w:color w:val="auto"/>
              </w:rPr>
            </w:pPr>
            <w:r>
              <w:rPr>
                <w:rFonts w:ascii="Arial" w:cs="Arial" w:eastAsia="Arial" w:hAnsi="Arial"/>
                <w:sz w:val="20"/>
                <w:szCs w:val="20"/>
                <w:color w:val="auto"/>
              </w:rPr>
              <w:t>Other income (expense</w:t>
            </w:r>
            <w:r>
              <w:rPr>
                <w:rFonts w:ascii="Arial" w:cs="Arial" w:eastAsia="Arial" w:hAnsi="Arial"/>
                <w:sz w:val="20"/>
                <w:szCs w:val="20"/>
                <w:b w:val="1"/>
                <w:bCs w:val="1"/>
                <w:color w:val="auto"/>
              </w:rPr>
              <w:t>)</w:t>
            </w:r>
          </w:p>
        </w:tc>
        <w:tc>
          <w:tcPr>
            <w:tcW w:w="1540" w:type="dxa"/>
            <w:vAlign w:val="bottom"/>
            <w:gridSpan w:val="3"/>
          </w:tcPr>
          <w:p>
            <w:pPr>
              <w:jc w:val="right"/>
              <w:ind w:right="500"/>
              <w:spacing w:after="0"/>
              <w:rPr>
                <w:sz w:val="20"/>
                <w:szCs w:val="20"/>
                <w:color w:val="auto"/>
              </w:rPr>
            </w:pPr>
            <w:r>
              <w:rPr>
                <w:rFonts w:ascii="Arial" w:cs="Arial" w:eastAsia="Arial" w:hAnsi="Arial"/>
                <w:sz w:val="20"/>
                <w:szCs w:val="20"/>
                <w:color w:val="auto"/>
              </w:rPr>
              <w:t>(36)</w:t>
            </w:r>
          </w:p>
        </w:tc>
        <w:tc>
          <w:tcPr>
            <w:tcW w:w="1800" w:type="dxa"/>
            <w:vAlign w:val="bottom"/>
            <w:gridSpan w:val="3"/>
          </w:tcPr>
          <w:p>
            <w:pPr>
              <w:jc w:val="right"/>
              <w:ind w:right="340"/>
              <w:spacing w:after="0"/>
              <w:rPr>
                <w:sz w:val="20"/>
                <w:szCs w:val="20"/>
                <w:color w:val="auto"/>
              </w:rPr>
            </w:pPr>
            <w:r>
              <w:rPr>
                <w:rFonts w:ascii="Arial" w:cs="Arial" w:eastAsia="Arial" w:hAnsi="Arial"/>
                <w:sz w:val="20"/>
                <w:szCs w:val="20"/>
                <w:color w:val="auto"/>
              </w:rPr>
              <w:t>(50)</w:t>
            </w:r>
          </w:p>
        </w:tc>
        <w:tc>
          <w:tcPr>
            <w:tcW w:w="2060" w:type="dxa"/>
            <w:vAlign w:val="bottom"/>
            <w:gridSpan w:val="5"/>
          </w:tcPr>
          <w:p>
            <w:pPr>
              <w:jc w:val="right"/>
              <w:ind w:right="400"/>
              <w:spacing w:after="0"/>
              <w:rPr>
                <w:sz w:val="20"/>
                <w:szCs w:val="20"/>
                <w:color w:val="auto"/>
              </w:rPr>
            </w:pPr>
            <w:r>
              <w:rPr>
                <w:rFonts w:ascii="Arial" w:cs="Arial" w:eastAsia="Arial" w:hAnsi="Arial"/>
                <w:sz w:val="20"/>
                <w:szCs w:val="20"/>
                <w:color w:val="auto"/>
              </w:rPr>
              <w:t>(127)</w:t>
            </w:r>
          </w:p>
        </w:tc>
        <w:tc>
          <w:tcPr>
            <w:tcW w:w="1980" w:type="dxa"/>
            <w:vAlign w:val="bottom"/>
            <w:gridSpan w:val="6"/>
          </w:tcPr>
          <w:p>
            <w:pPr>
              <w:jc w:val="right"/>
              <w:ind w:right="380"/>
              <w:spacing w:after="0"/>
              <w:rPr>
                <w:sz w:val="20"/>
                <w:szCs w:val="20"/>
                <w:color w:val="auto"/>
              </w:rPr>
            </w:pPr>
            <w:r>
              <w:rPr>
                <w:rFonts w:ascii="Arial" w:cs="Arial" w:eastAsia="Arial" w:hAnsi="Arial"/>
                <w:sz w:val="20"/>
                <w:szCs w:val="20"/>
                <w:color w:val="auto"/>
              </w:rPr>
              <w:t>(162)</w:t>
            </w:r>
          </w:p>
        </w:tc>
      </w:tr>
      <w:tr>
        <w:trPr>
          <w:trHeight w:val="246"/>
        </w:trPr>
        <w:tc>
          <w:tcPr>
            <w:tcW w:w="3460" w:type="dxa"/>
            <w:vAlign w:val="bottom"/>
          </w:tcPr>
          <w:p>
            <w:pPr>
              <w:spacing w:after="0"/>
              <w:rPr>
                <w:sz w:val="20"/>
                <w:szCs w:val="20"/>
                <w:color w:val="auto"/>
              </w:rPr>
            </w:pPr>
            <w:r>
              <w:rPr>
                <w:rFonts w:ascii="Arial" w:cs="Arial" w:eastAsia="Arial" w:hAnsi="Arial"/>
                <w:sz w:val="20"/>
                <w:szCs w:val="20"/>
                <w:color w:val="auto"/>
              </w:rPr>
              <w:t>Total other income (expense)</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699</w:t>
            </w:r>
          </w:p>
        </w:tc>
        <w:tc>
          <w:tcPr>
            <w:tcW w:w="56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3,998</w:t>
            </w:r>
          </w:p>
        </w:tc>
        <w:tc>
          <w:tcPr>
            <w:tcW w:w="400" w:type="dxa"/>
            <w:vAlign w:val="bottom"/>
          </w:tcPr>
          <w:p>
            <w:pPr>
              <w:spacing w:after="0"/>
              <w:rPr>
                <w:sz w:val="21"/>
                <w:szCs w:val="21"/>
                <w:color w:val="auto"/>
              </w:rPr>
            </w:pPr>
          </w:p>
        </w:tc>
        <w:tc>
          <w:tcPr>
            <w:tcW w:w="1600" w:type="dxa"/>
            <w:vAlign w:val="bottom"/>
            <w:gridSpan w:val="4"/>
          </w:tcPr>
          <w:p>
            <w:pPr>
              <w:jc w:val="right"/>
              <w:spacing w:after="0"/>
              <w:rPr>
                <w:sz w:val="20"/>
                <w:szCs w:val="20"/>
                <w:color w:val="auto"/>
              </w:rPr>
            </w:pPr>
            <w:r>
              <w:rPr>
                <w:rFonts w:ascii="Arial" w:cs="Arial" w:eastAsia="Arial" w:hAnsi="Arial"/>
                <w:sz w:val="20"/>
                <w:szCs w:val="20"/>
                <w:color w:val="auto"/>
              </w:rPr>
              <w:t>1,755</w:t>
            </w:r>
          </w:p>
        </w:tc>
        <w:tc>
          <w:tcPr>
            <w:tcW w:w="460" w:type="dxa"/>
            <w:vAlign w:val="bottom"/>
          </w:tcPr>
          <w:p>
            <w:pPr>
              <w:spacing w:after="0"/>
              <w:rPr>
                <w:sz w:val="21"/>
                <w:szCs w:val="21"/>
                <w:color w:val="auto"/>
              </w:rPr>
            </w:pPr>
          </w:p>
        </w:tc>
        <w:tc>
          <w:tcPr>
            <w:tcW w:w="1540" w:type="dxa"/>
            <w:vAlign w:val="bottom"/>
            <w:gridSpan w:val="5"/>
          </w:tcPr>
          <w:p>
            <w:pPr>
              <w:jc w:val="right"/>
              <w:spacing w:after="0"/>
              <w:rPr>
                <w:sz w:val="20"/>
                <w:szCs w:val="20"/>
                <w:color w:val="auto"/>
              </w:rPr>
            </w:pPr>
            <w:r>
              <w:rPr>
                <w:rFonts w:ascii="Arial" w:cs="Arial" w:eastAsia="Arial" w:hAnsi="Arial"/>
                <w:sz w:val="20"/>
                <w:szCs w:val="20"/>
                <w:color w:val="auto"/>
              </w:rPr>
              <w:t>4,375</w:t>
            </w:r>
          </w:p>
        </w:tc>
        <w:tc>
          <w:tcPr>
            <w:tcW w:w="440" w:type="dxa"/>
            <w:vAlign w:val="bottom"/>
          </w:tcPr>
          <w:p>
            <w:pPr>
              <w:spacing w:after="0"/>
              <w:rPr>
                <w:sz w:val="21"/>
                <w:szCs w:val="21"/>
                <w:color w:val="auto"/>
              </w:rPr>
            </w:pPr>
          </w:p>
        </w:tc>
      </w:tr>
      <w:tr>
        <w:trPr>
          <w:trHeight w:val="220"/>
        </w:trPr>
        <w:tc>
          <w:tcPr>
            <w:tcW w:w="3460" w:type="dxa"/>
            <w:vAlign w:val="bottom"/>
          </w:tcPr>
          <w:p>
            <w:pPr>
              <w:spacing w:after="0" w:line="220" w:lineRule="exact"/>
              <w:rPr>
                <w:sz w:val="20"/>
                <w:szCs w:val="20"/>
                <w:color w:val="auto"/>
              </w:rPr>
            </w:pPr>
            <w:r>
              <w:rPr>
                <w:rFonts w:ascii="Arial" w:cs="Arial" w:eastAsia="Arial" w:hAnsi="Arial"/>
                <w:sz w:val="20"/>
                <w:szCs w:val="20"/>
                <w:color w:val="auto"/>
              </w:rPr>
              <w:t>Net loss per share applicable to</w:t>
            </w: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20"/>
                <w:szCs w:val="20"/>
                <w:color w:val="auto"/>
              </w:rPr>
              <w:t>common shareholders; basic and</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20"/>
                <w:szCs w:val="20"/>
                <w:color w:val="auto"/>
              </w:rPr>
              <w:t>diluted</w:t>
            </w:r>
          </w:p>
        </w:tc>
        <w:tc>
          <w:tcPr>
            <w:tcW w:w="1540" w:type="dxa"/>
            <w:vAlign w:val="bottom"/>
            <w:gridSpan w:val="3"/>
          </w:tcPr>
          <w:p>
            <w:pPr>
              <w:jc w:val="right"/>
              <w:ind w:right="500"/>
              <w:spacing w:after="0"/>
              <w:rPr>
                <w:sz w:val="20"/>
                <w:szCs w:val="20"/>
                <w:color w:val="auto"/>
              </w:rPr>
            </w:pPr>
            <w:r>
              <w:rPr>
                <w:rFonts w:ascii="Arial" w:cs="Arial" w:eastAsia="Arial" w:hAnsi="Arial"/>
                <w:sz w:val="20"/>
                <w:szCs w:val="20"/>
                <w:color w:val="auto"/>
              </w:rPr>
              <w:t>($4,863)</w:t>
            </w:r>
          </w:p>
        </w:tc>
        <w:tc>
          <w:tcPr>
            <w:tcW w:w="1800" w:type="dxa"/>
            <w:vAlign w:val="bottom"/>
            <w:gridSpan w:val="3"/>
          </w:tcPr>
          <w:p>
            <w:pPr>
              <w:jc w:val="right"/>
              <w:ind w:right="340"/>
              <w:spacing w:after="0"/>
              <w:rPr>
                <w:sz w:val="20"/>
                <w:szCs w:val="20"/>
                <w:color w:val="auto"/>
              </w:rPr>
            </w:pPr>
            <w:r>
              <w:rPr>
                <w:rFonts w:ascii="Arial" w:cs="Arial" w:eastAsia="Arial" w:hAnsi="Arial"/>
                <w:sz w:val="20"/>
                <w:szCs w:val="20"/>
                <w:color w:val="auto"/>
              </w:rPr>
              <w:t>($94)</w:t>
            </w:r>
          </w:p>
        </w:tc>
        <w:tc>
          <w:tcPr>
            <w:tcW w:w="2060" w:type="dxa"/>
            <w:vAlign w:val="bottom"/>
            <w:gridSpan w:val="5"/>
          </w:tcPr>
          <w:p>
            <w:pPr>
              <w:jc w:val="right"/>
              <w:ind w:right="400"/>
              <w:spacing w:after="0"/>
              <w:rPr>
                <w:sz w:val="20"/>
                <w:szCs w:val="20"/>
                <w:color w:val="auto"/>
              </w:rPr>
            </w:pPr>
            <w:r>
              <w:rPr>
                <w:rFonts w:ascii="Arial" w:cs="Arial" w:eastAsia="Arial" w:hAnsi="Arial"/>
                <w:sz w:val="20"/>
                <w:szCs w:val="20"/>
                <w:color w:val="auto"/>
              </w:rPr>
              <w:t>($13,046)</w:t>
            </w:r>
          </w:p>
        </w:tc>
        <w:tc>
          <w:tcPr>
            <w:tcW w:w="1980" w:type="dxa"/>
            <w:vAlign w:val="bottom"/>
            <w:gridSpan w:val="6"/>
          </w:tcPr>
          <w:p>
            <w:pPr>
              <w:jc w:val="right"/>
              <w:ind w:right="380"/>
              <w:spacing w:after="0"/>
              <w:rPr>
                <w:sz w:val="20"/>
                <w:szCs w:val="20"/>
                <w:color w:val="auto"/>
              </w:rPr>
            </w:pPr>
            <w:r>
              <w:rPr>
                <w:rFonts w:ascii="Arial" w:cs="Arial" w:eastAsia="Arial" w:hAnsi="Arial"/>
                <w:sz w:val="20"/>
                <w:szCs w:val="20"/>
                <w:color w:val="auto"/>
              </w:rPr>
              <w:t>($7,411)</w:t>
            </w: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Net loss per share applicable to</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20"/>
                <w:szCs w:val="20"/>
                <w:color w:val="auto"/>
              </w:rPr>
              <w:t>common shareholders; basic and</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20"/>
                <w:szCs w:val="20"/>
                <w:color w:val="auto"/>
              </w:rPr>
              <w:t>diluted</w:t>
            </w:r>
          </w:p>
        </w:tc>
        <w:tc>
          <w:tcPr>
            <w:tcW w:w="1540" w:type="dxa"/>
            <w:vAlign w:val="bottom"/>
            <w:gridSpan w:val="3"/>
          </w:tcPr>
          <w:p>
            <w:pPr>
              <w:jc w:val="right"/>
              <w:ind w:right="500"/>
              <w:spacing w:after="0"/>
              <w:rPr>
                <w:sz w:val="20"/>
                <w:szCs w:val="20"/>
                <w:color w:val="auto"/>
              </w:rPr>
            </w:pPr>
            <w:r>
              <w:rPr>
                <w:rFonts w:ascii="Arial" w:cs="Arial" w:eastAsia="Arial" w:hAnsi="Arial"/>
                <w:sz w:val="20"/>
                <w:szCs w:val="20"/>
                <w:color w:val="auto"/>
              </w:rPr>
              <w:t>($0.06)</w:t>
            </w:r>
          </w:p>
        </w:tc>
        <w:tc>
          <w:tcPr>
            <w:tcW w:w="1800" w:type="dxa"/>
            <w:vAlign w:val="bottom"/>
            <w:gridSpan w:val="3"/>
          </w:tcPr>
          <w:p>
            <w:pPr>
              <w:jc w:val="right"/>
              <w:ind w:right="340"/>
              <w:spacing w:after="0"/>
              <w:rPr>
                <w:sz w:val="20"/>
                <w:szCs w:val="20"/>
                <w:color w:val="auto"/>
              </w:rPr>
            </w:pPr>
            <w:r>
              <w:rPr>
                <w:rFonts w:ascii="Arial" w:cs="Arial" w:eastAsia="Arial" w:hAnsi="Arial"/>
                <w:sz w:val="20"/>
                <w:szCs w:val="20"/>
                <w:color w:val="auto"/>
              </w:rPr>
              <w:t>($0.00)</w:t>
            </w:r>
          </w:p>
        </w:tc>
        <w:tc>
          <w:tcPr>
            <w:tcW w:w="2060" w:type="dxa"/>
            <w:vAlign w:val="bottom"/>
            <w:gridSpan w:val="5"/>
          </w:tcPr>
          <w:p>
            <w:pPr>
              <w:jc w:val="right"/>
              <w:ind w:right="400"/>
              <w:spacing w:after="0"/>
              <w:rPr>
                <w:sz w:val="20"/>
                <w:szCs w:val="20"/>
                <w:color w:val="auto"/>
              </w:rPr>
            </w:pPr>
            <w:r>
              <w:rPr>
                <w:rFonts w:ascii="Arial" w:cs="Arial" w:eastAsia="Arial" w:hAnsi="Arial"/>
                <w:sz w:val="20"/>
                <w:szCs w:val="20"/>
                <w:color w:val="auto"/>
              </w:rPr>
              <w:t>($0.18)</w:t>
            </w:r>
          </w:p>
        </w:tc>
        <w:tc>
          <w:tcPr>
            <w:tcW w:w="1980" w:type="dxa"/>
            <w:vAlign w:val="bottom"/>
            <w:gridSpan w:val="6"/>
          </w:tcPr>
          <w:p>
            <w:pPr>
              <w:jc w:val="right"/>
              <w:ind w:right="380"/>
              <w:spacing w:after="0"/>
              <w:rPr>
                <w:sz w:val="20"/>
                <w:szCs w:val="20"/>
                <w:color w:val="auto"/>
              </w:rPr>
            </w:pPr>
            <w:r>
              <w:rPr>
                <w:rFonts w:ascii="Arial" w:cs="Arial" w:eastAsia="Arial" w:hAnsi="Arial"/>
                <w:sz w:val="20"/>
                <w:szCs w:val="20"/>
                <w:color w:val="auto"/>
              </w:rPr>
              <w:t>($0.12)</w:t>
            </w: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Weighted average shares – basic</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50"/>
        </w:trPr>
        <w:tc>
          <w:tcPr>
            <w:tcW w:w="3460" w:type="dxa"/>
            <w:vAlign w:val="bottom"/>
          </w:tcPr>
          <w:p>
            <w:pPr>
              <w:ind w:left="140"/>
              <w:spacing w:after="0"/>
              <w:rPr>
                <w:sz w:val="20"/>
                <w:szCs w:val="20"/>
                <w:color w:val="auto"/>
              </w:rPr>
            </w:pPr>
            <w:r>
              <w:rPr>
                <w:rFonts w:ascii="Arial" w:cs="Arial" w:eastAsia="Arial" w:hAnsi="Arial"/>
                <w:sz w:val="20"/>
                <w:szCs w:val="20"/>
                <w:color w:val="auto"/>
              </w:rPr>
              <w:t>and diluted</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w w:val="93"/>
              </w:rPr>
              <w:t>77,779,257</w:t>
            </w:r>
          </w:p>
        </w:tc>
        <w:tc>
          <w:tcPr>
            <w:tcW w:w="56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64,179,563</w:t>
            </w:r>
          </w:p>
        </w:tc>
        <w:tc>
          <w:tcPr>
            <w:tcW w:w="400" w:type="dxa"/>
            <w:vAlign w:val="bottom"/>
          </w:tcPr>
          <w:p>
            <w:pPr>
              <w:spacing w:after="0"/>
              <w:rPr>
                <w:sz w:val="21"/>
                <w:szCs w:val="21"/>
                <w:color w:val="auto"/>
              </w:rPr>
            </w:pPr>
          </w:p>
        </w:tc>
        <w:tc>
          <w:tcPr>
            <w:tcW w:w="1600" w:type="dxa"/>
            <w:vAlign w:val="bottom"/>
            <w:gridSpan w:val="4"/>
          </w:tcPr>
          <w:p>
            <w:pPr>
              <w:jc w:val="right"/>
              <w:spacing w:after="0"/>
              <w:rPr>
                <w:sz w:val="20"/>
                <w:szCs w:val="20"/>
                <w:color w:val="auto"/>
              </w:rPr>
            </w:pPr>
            <w:r>
              <w:rPr>
                <w:rFonts w:ascii="Arial" w:cs="Arial" w:eastAsia="Arial" w:hAnsi="Arial"/>
                <w:sz w:val="20"/>
                <w:szCs w:val="20"/>
                <w:color w:val="auto"/>
              </w:rPr>
              <w:t>73,487,670</w:t>
            </w:r>
          </w:p>
        </w:tc>
        <w:tc>
          <w:tcPr>
            <w:tcW w:w="460" w:type="dxa"/>
            <w:vAlign w:val="bottom"/>
          </w:tcPr>
          <w:p>
            <w:pPr>
              <w:spacing w:after="0"/>
              <w:rPr>
                <w:sz w:val="21"/>
                <w:szCs w:val="21"/>
                <w:color w:val="auto"/>
              </w:rPr>
            </w:pPr>
          </w:p>
        </w:tc>
        <w:tc>
          <w:tcPr>
            <w:tcW w:w="1540" w:type="dxa"/>
            <w:vAlign w:val="bottom"/>
            <w:gridSpan w:val="5"/>
          </w:tcPr>
          <w:p>
            <w:pPr>
              <w:jc w:val="right"/>
              <w:spacing w:after="0"/>
              <w:rPr>
                <w:sz w:val="20"/>
                <w:szCs w:val="20"/>
                <w:color w:val="auto"/>
              </w:rPr>
            </w:pPr>
            <w:r>
              <w:rPr>
                <w:rFonts w:ascii="Arial" w:cs="Arial" w:eastAsia="Arial" w:hAnsi="Arial"/>
                <w:sz w:val="20"/>
                <w:szCs w:val="20"/>
                <w:color w:val="auto"/>
              </w:rPr>
              <w:t>63,226,214</w:t>
            </w:r>
          </w:p>
        </w:tc>
        <w:tc>
          <w:tcPr>
            <w:tcW w:w="440" w:type="dxa"/>
            <w:vAlign w:val="bottom"/>
          </w:tcPr>
          <w:p>
            <w:pPr>
              <w:spacing w:after="0"/>
              <w:rPr>
                <w:sz w:val="21"/>
                <w:szCs w:val="21"/>
                <w:color w:val="auto"/>
              </w:rPr>
            </w:pPr>
          </w:p>
        </w:tc>
      </w:tr>
      <w:tr>
        <w:trPr>
          <w:trHeight w:val="455"/>
        </w:trPr>
        <w:tc>
          <w:tcPr>
            <w:tcW w:w="34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StemCells, Inc.</w:t>
            </w: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23"/>
        </w:trPr>
        <w:tc>
          <w:tcPr>
            <w:tcW w:w="34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b w:val="1"/>
                <w:bCs w:val="1"/>
                <w:color w:val="auto"/>
                <w:w w:val="87"/>
              </w:rPr>
              <w:t>Condensed Consolidated Balance Sheets</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r>
      <w:tr>
        <w:trPr>
          <w:trHeight w:val="223"/>
        </w:trPr>
        <w:tc>
          <w:tcPr>
            <w:tcW w:w="3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Borders>
              <w:bottom w:val="single" w:sz="8" w:color="auto"/>
            </w:tcBorders>
            <w:gridSpan w:val="5"/>
          </w:tcPr>
          <w:p>
            <w:pPr>
              <w:jc w:val="center"/>
              <w:spacing w:after="0" w:line="223" w:lineRule="exact"/>
              <w:rPr>
                <w:sz w:val="20"/>
                <w:szCs w:val="20"/>
                <w:color w:val="auto"/>
              </w:rPr>
            </w:pPr>
            <w:r>
              <w:rPr>
                <w:rFonts w:ascii="Arial" w:cs="Arial" w:eastAsia="Arial" w:hAnsi="Arial"/>
                <w:sz w:val="20"/>
                <w:szCs w:val="20"/>
                <w:color w:val="auto"/>
                <w:w w:val="86"/>
              </w:rPr>
              <w:t>September 30,</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200"/>
              <w:spacing w:after="0" w:line="223" w:lineRule="exact"/>
              <w:rPr>
                <w:sz w:val="20"/>
                <w:szCs w:val="20"/>
                <w:color w:val="auto"/>
              </w:rPr>
            </w:pPr>
            <w:r>
              <w:rPr>
                <w:rFonts w:ascii="Arial" w:cs="Arial" w:eastAsia="Arial" w:hAnsi="Arial"/>
                <w:sz w:val="20"/>
                <w:szCs w:val="20"/>
                <w:color w:val="auto"/>
                <w:w w:val="87"/>
              </w:rPr>
              <w:t>December 31,</w:t>
            </w:r>
          </w:p>
        </w:tc>
      </w:tr>
      <w:tr>
        <w:trPr>
          <w:trHeight w:val="206"/>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gridSpan w:val="3"/>
          </w:tcPr>
          <w:p>
            <w:pPr>
              <w:jc w:val="center"/>
              <w:ind w:left="681"/>
              <w:spacing w:after="0" w:line="207" w:lineRule="exact"/>
              <w:rPr>
                <w:sz w:val="20"/>
                <w:szCs w:val="20"/>
                <w:color w:val="auto"/>
              </w:rPr>
            </w:pPr>
            <w:r>
              <w:rPr>
                <w:rFonts w:ascii="Arial" w:cs="Arial" w:eastAsia="Arial" w:hAnsi="Arial"/>
                <w:sz w:val="20"/>
                <w:szCs w:val="20"/>
                <w:color w:val="auto"/>
                <w:w w:val="89"/>
              </w:rPr>
              <w:t>2006</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3"/>
          </w:tcPr>
          <w:p>
            <w:pPr>
              <w:jc w:val="right"/>
              <w:spacing w:after="0" w:line="207" w:lineRule="exact"/>
              <w:rPr>
                <w:sz w:val="20"/>
                <w:szCs w:val="20"/>
                <w:color w:val="auto"/>
              </w:rPr>
            </w:pPr>
            <w:r>
              <w:rPr>
                <w:rFonts w:ascii="Arial" w:cs="Arial" w:eastAsia="Arial" w:hAnsi="Arial"/>
                <w:sz w:val="20"/>
                <w:szCs w:val="20"/>
                <w:color w:val="auto"/>
              </w:rPr>
              <w:t>2005</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gridSpan w:val="5"/>
          </w:tcPr>
          <w:p>
            <w:pPr>
              <w:jc w:val="center"/>
              <w:ind w:right="20"/>
              <w:spacing w:after="0"/>
              <w:rPr>
                <w:sz w:val="20"/>
                <w:szCs w:val="20"/>
                <w:color w:val="auto"/>
              </w:rPr>
            </w:pPr>
            <w:r>
              <w:rPr>
                <w:rFonts w:ascii="Arial" w:cs="Arial" w:eastAsia="Arial" w:hAnsi="Arial"/>
                <w:sz w:val="20"/>
                <w:szCs w:val="20"/>
                <w:color w:val="auto"/>
                <w:w w:val="90"/>
              </w:rPr>
              <w:t>(unaudited)</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20"/>
                <w:szCs w:val="20"/>
                <w:color w:val="auto"/>
              </w:rPr>
              <w:t>(a)</w:t>
            </w: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Assets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Current assets: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20"/>
                <w:szCs w:val="20"/>
                <w:color w:val="auto"/>
              </w:rPr>
              <w:t>Cash &amp; cash equivalents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20"/>
                <w:szCs w:val="20"/>
                <w:color w:val="auto"/>
              </w:rPr>
              <w:t>$55,441</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4"/>
          </w:tcPr>
          <w:p>
            <w:pPr>
              <w:jc w:val="right"/>
              <w:spacing w:after="0"/>
              <w:rPr>
                <w:sz w:val="20"/>
                <w:szCs w:val="20"/>
                <w:color w:val="auto"/>
              </w:rPr>
            </w:pPr>
            <w:r>
              <w:rPr>
                <w:rFonts w:ascii="Arial" w:cs="Arial" w:eastAsia="Arial" w:hAnsi="Arial"/>
                <w:sz w:val="20"/>
                <w:szCs w:val="20"/>
                <w:color w:val="auto"/>
              </w:rPr>
              <w:t>$34,541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6"/>
        </w:trPr>
        <w:tc>
          <w:tcPr>
            <w:tcW w:w="3460" w:type="dxa"/>
            <w:vAlign w:val="bottom"/>
          </w:tcPr>
          <w:p>
            <w:pPr>
              <w:ind w:left="140"/>
              <w:spacing w:after="0"/>
              <w:rPr>
                <w:sz w:val="20"/>
                <w:szCs w:val="20"/>
                <w:color w:val="auto"/>
              </w:rPr>
            </w:pPr>
            <w:r>
              <w:rPr>
                <w:rFonts w:ascii="Arial" w:cs="Arial" w:eastAsia="Arial" w:hAnsi="Arial"/>
                <w:sz w:val="20"/>
                <w:szCs w:val="20"/>
                <w:color w:val="auto"/>
              </w:rPr>
              <w:t>Other current assets</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20"/>
                <w:szCs w:val="20"/>
                <w:color w:val="auto"/>
              </w:rPr>
              <w:t>1,552</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20"/>
                <w:szCs w:val="20"/>
                <w:color w:val="auto"/>
              </w:rPr>
              <w:t>589</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20"/>
        </w:trPr>
        <w:tc>
          <w:tcPr>
            <w:tcW w:w="3460" w:type="dxa"/>
            <w:vAlign w:val="bottom"/>
          </w:tcPr>
          <w:p>
            <w:pPr>
              <w:spacing w:after="0" w:line="220" w:lineRule="exact"/>
              <w:rPr>
                <w:sz w:val="20"/>
                <w:szCs w:val="20"/>
                <w:color w:val="auto"/>
              </w:rPr>
            </w:pPr>
            <w:r>
              <w:rPr>
                <w:rFonts w:ascii="Arial" w:cs="Arial" w:eastAsia="Arial" w:hAnsi="Arial"/>
                <w:sz w:val="20"/>
                <w:szCs w:val="20"/>
                <w:color w:val="auto"/>
              </w:rPr>
              <w:t>Total current assets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Borders>
              <w:top w:val="single" w:sz="8" w:color="auto"/>
            </w:tcBorders>
            <w:gridSpan w:val="2"/>
          </w:tcPr>
          <w:p>
            <w:pPr>
              <w:jc w:val="right"/>
              <w:ind w:right="20"/>
              <w:spacing w:after="0" w:line="220" w:lineRule="exact"/>
              <w:rPr>
                <w:sz w:val="20"/>
                <w:szCs w:val="20"/>
                <w:color w:val="auto"/>
              </w:rPr>
            </w:pPr>
            <w:r>
              <w:rPr>
                <w:rFonts w:ascii="Arial" w:cs="Arial" w:eastAsia="Arial" w:hAnsi="Arial"/>
                <w:sz w:val="20"/>
                <w:szCs w:val="20"/>
                <w:color w:val="auto"/>
                <w:w w:val="84"/>
              </w:rPr>
              <w:t>56,993</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3"/>
          </w:tcPr>
          <w:p>
            <w:pPr>
              <w:spacing w:after="0"/>
              <w:rPr>
                <w:sz w:val="19"/>
                <w:szCs w:val="19"/>
                <w:color w:val="auto"/>
              </w:rPr>
            </w:pPr>
          </w:p>
        </w:tc>
        <w:tc>
          <w:tcPr>
            <w:tcW w:w="5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w w:val="88"/>
              </w:rPr>
              <w:t>35,130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Marketable securities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20"/>
                <w:szCs w:val="20"/>
                <w:color w:val="auto"/>
              </w:rPr>
              <w:t>1,042</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4"/>
          </w:tcPr>
          <w:p>
            <w:pPr>
              <w:jc w:val="right"/>
              <w:spacing w:after="0"/>
              <w:rPr>
                <w:sz w:val="20"/>
                <w:szCs w:val="20"/>
                <w:color w:val="auto"/>
              </w:rPr>
            </w:pPr>
            <w:r>
              <w:rPr>
                <w:rFonts w:ascii="Arial" w:cs="Arial" w:eastAsia="Arial" w:hAnsi="Arial"/>
                <w:sz w:val="20"/>
                <w:szCs w:val="20"/>
                <w:color w:val="auto"/>
              </w:rPr>
              <w:t>3,720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Property, plant &amp; equipment, net</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20"/>
                <w:szCs w:val="20"/>
                <w:color w:val="auto"/>
              </w:rPr>
              <w:t>3,803</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4"/>
          </w:tcPr>
          <w:p>
            <w:pPr>
              <w:jc w:val="right"/>
              <w:spacing w:after="0"/>
              <w:rPr>
                <w:sz w:val="20"/>
                <w:szCs w:val="20"/>
                <w:color w:val="auto"/>
              </w:rPr>
            </w:pPr>
            <w:r>
              <w:rPr>
                <w:rFonts w:ascii="Arial" w:cs="Arial" w:eastAsia="Arial" w:hAnsi="Arial"/>
                <w:sz w:val="20"/>
                <w:szCs w:val="20"/>
                <w:color w:val="auto"/>
              </w:rPr>
              <w:t>3,283</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6"/>
        </w:trPr>
        <w:tc>
          <w:tcPr>
            <w:tcW w:w="3460" w:type="dxa"/>
            <w:vAlign w:val="bottom"/>
          </w:tcPr>
          <w:p>
            <w:pPr>
              <w:spacing w:after="0"/>
              <w:rPr>
                <w:sz w:val="20"/>
                <w:szCs w:val="20"/>
                <w:color w:val="auto"/>
              </w:rPr>
            </w:pPr>
            <w:r>
              <w:rPr>
                <w:rFonts w:ascii="Arial" w:cs="Arial" w:eastAsia="Arial" w:hAnsi="Arial"/>
                <w:sz w:val="20"/>
                <w:szCs w:val="20"/>
                <w:color w:val="auto"/>
              </w:rPr>
              <w:t>Other assets, net</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20"/>
                <w:szCs w:val="20"/>
                <w:color w:val="auto"/>
              </w:rPr>
              <w:t>2,615</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20"/>
                <w:szCs w:val="20"/>
                <w:color w:val="auto"/>
              </w:rPr>
              <w:t>2,706</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20"/>
        </w:trPr>
        <w:tc>
          <w:tcPr>
            <w:tcW w:w="3460" w:type="dxa"/>
            <w:vAlign w:val="bottom"/>
          </w:tcPr>
          <w:p>
            <w:pPr>
              <w:spacing w:after="0" w:line="220" w:lineRule="exact"/>
              <w:rPr>
                <w:sz w:val="20"/>
                <w:szCs w:val="20"/>
                <w:color w:val="auto"/>
              </w:rPr>
            </w:pPr>
            <w:r>
              <w:rPr>
                <w:rFonts w:ascii="Arial" w:cs="Arial" w:eastAsia="Arial" w:hAnsi="Arial"/>
                <w:sz w:val="20"/>
                <w:szCs w:val="20"/>
                <w:color w:val="auto"/>
              </w:rPr>
              <w:t>Total assets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Borders>
              <w:top w:val="single" w:sz="8" w:color="auto"/>
            </w:tcBorders>
            <w:gridSpan w:val="2"/>
          </w:tcPr>
          <w:p>
            <w:pPr>
              <w:jc w:val="right"/>
              <w:ind w:right="20"/>
              <w:spacing w:after="0" w:line="220" w:lineRule="exact"/>
              <w:rPr>
                <w:sz w:val="20"/>
                <w:szCs w:val="20"/>
                <w:color w:val="auto"/>
              </w:rPr>
            </w:pPr>
            <w:r>
              <w:rPr>
                <w:rFonts w:ascii="Arial" w:cs="Arial" w:eastAsia="Arial" w:hAnsi="Arial"/>
                <w:sz w:val="20"/>
                <w:szCs w:val="20"/>
                <w:color w:val="auto"/>
                <w:w w:val="84"/>
              </w:rPr>
              <w:t>64,453</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3"/>
          </w:tcPr>
          <w:p>
            <w:pPr>
              <w:spacing w:after="0"/>
              <w:rPr>
                <w:sz w:val="19"/>
                <w:szCs w:val="19"/>
                <w:color w:val="auto"/>
              </w:rPr>
            </w:pPr>
          </w:p>
        </w:tc>
        <w:tc>
          <w:tcPr>
            <w:tcW w:w="5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color w:val="auto"/>
                <w:w w:val="88"/>
              </w:rPr>
              <w:t>44,839</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Liabilities and stockholders’ equity</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Current liabilities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20"/>
                <w:szCs w:val="20"/>
                <w:color w:val="auto"/>
              </w:rPr>
              <w:t>2,708</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4"/>
          </w:tcPr>
          <w:p>
            <w:pPr>
              <w:jc w:val="right"/>
              <w:spacing w:after="0"/>
              <w:rPr>
                <w:sz w:val="20"/>
                <w:szCs w:val="20"/>
                <w:color w:val="auto"/>
              </w:rPr>
            </w:pPr>
            <w:r>
              <w:rPr>
                <w:rFonts w:ascii="Arial" w:cs="Arial" w:eastAsia="Arial" w:hAnsi="Arial"/>
                <w:sz w:val="20"/>
                <w:szCs w:val="20"/>
                <w:color w:val="auto"/>
              </w:rPr>
              <w:t>3,548</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20"/>
                <w:szCs w:val="20"/>
                <w:color w:val="auto"/>
              </w:rPr>
              <w:t>Non-current liabilities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20"/>
                <w:szCs w:val="20"/>
                <w:color w:val="auto"/>
              </w:rPr>
              <w:t>8,835</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4"/>
          </w:tcPr>
          <w:p>
            <w:pPr>
              <w:jc w:val="right"/>
              <w:spacing w:after="0"/>
              <w:rPr>
                <w:sz w:val="20"/>
                <w:szCs w:val="20"/>
                <w:color w:val="auto"/>
              </w:rPr>
            </w:pPr>
            <w:r>
              <w:rPr>
                <w:rFonts w:ascii="Arial" w:cs="Arial" w:eastAsia="Arial" w:hAnsi="Arial"/>
                <w:sz w:val="20"/>
                <w:szCs w:val="20"/>
                <w:color w:val="auto"/>
              </w:rPr>
              <w:t>8,915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46"/>
        </w:trPr>
        <w:tc>
          <w:tcPr>
            <w:tcW w:w="3460" w:type="dxa"/>
            <w:vAlign w:val="bottom"/>
          </w:tcPr>
          <w:p>
            <w:pPr>
              <w:spacing w:after="0"/>
              <w:rPr>
                <w:sz w:val="20"/>
                <w:szCs w:val="20"/>
                <w:color w:val="auto"/>
              </w:rPr>
            </w:pPr>
            <w:r>
              <w:rPr>
                <w:rFonts w:ascii="Arial" w:cs="Arial" w:eastAsia="Arial" w:hAnsi="Arial"/>
                <w:sz w:val="20"/>
                <w:szCs w:val="20"/>
                <w:color w:val="auto"/>
              </w:rPr>
              <w:t>Stockholders’ equity</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20"/>
                <w:szCs w:val="20"/>
                <w:color w:val="auto"/>
              </w:rPr>
              <w:t>52,910</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20"/>
                <w:szCs w:val="20"/>
                <w:color w:val="auto"/>
              </w:rPr>
              <w:t>32,376</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4"/>
        </w:trPr>
        <w:tc>
          <w:tcPr>
            <w:tcW w:w="3460" w:type="dxa"/>
            <w:vAlign w:val="bottom"/>
          </w:tcPr>
          <w:p>
            <w:pPr>
              <w:spacing w:after="0"/>
              <w:rPr>
                <w:sz w:val="20"/>
                <w:szCs w:val="20"/>
                <w:color w:val="auto"/>
              </w:rPr>
            </w:pPr>
            <w:r>
              <w:rPr>
                <w:rFonts w:ascii="Arial" w:cs="Arial" w:eastAsia="Arial" w:hAnsi="Arial"/>
                <w:sz w:val="20"/>
                <w:szCs w:val="20"/>
                <w:color w:val="auto"/>
                <w:w w:val="99"/>
              </w:rPr>
              <w:t>Total liabilities and stockholders’ equity</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0"/>
                <w:szCs w:val="20"/>
                <w:u w:val="single" w:color="auto"/>
                <w:color w:val="auto"/>
                <w:w w:val="84"/>
              </w:rPr>
              <w:t>64,453</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20"/>
                <w:szCs w:val="20"/>
                <w:u w:val="single" w:color="auto"/>
                <w:color w:val="auto"/>
                <w:w w:val="88"/>
              </w:rPr>
              <w:t>44,839</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5" w:lineRule="exact"/>
        <w:rPr>
          <w:sz w:val="20"/>
          <w:szCs w:val="20"/>
          <w:color w:val="auto"/>
        </w:rPr>
      </w:pPr>
    </w:p>
    <w:p>
      <w:pPr>
        <w:ind w:left="262" w:right="5340" w:hanging="262"/>
        <w:spacing w:after="0" w:line="277" w:lineRule="auto"/>
        <w:tabs>
          <w:tab w:leader="none" w:pos="236" w:val="left"/>
        </w:tabs>
        <w:numPr>
          <w:ilvl w:val="0"/>
          <w:numId w:val="2"/>
        </w:numPr>
        <w:rPr>
          <w:rFonts w:ascii="Arial" w:cs="Arial" w:eastAsia="Arial" w:hAnsi="Arial"/>
          <w:sz w:val="18"/>
          <w:szCs w:val="18"/>
          <w:color w:val="auto"/>
        </w:rPr>
      </w:pPr>
      <w:r>
        <w:rPr>
          <w:rFonts w:ascii="Arial" w:cs="Arial" w:eastAsia="Arial" w:hAnsi="Arial"/>
          <w:sz w:val="18"/>
          <w:szCs w:val="18"/>
          <w:color w:val="auto"/>
        </w:rPr>
        <w:t>Derived from audited financial statements included in StemCells’ annual report on form 10-K filed with the SEC.</w:t>
      </w:r>
    </w:p>
    <w:sectPr>
      <w:pgSz w:w="11900" w:h="16838" w:orient="portrait"/>
      <w:cols w:equalWidth="0" w:num="1">
        <w:col w:w="10842"/>
      </w:cols>
      <w:pgMar w:left="538" w:top="12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2019-12-13T21:58:46Z</dcterms:created>
  <dcterms:modified xsi:type="dcterms:W3CDTF">2019-12-13T21:58:46Z</dcterms:modified>
</cp:coreProperties>
</file>