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November 17,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 Grove Street, Suite 388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Braintree, Massachusetts 02184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 Grove Street, Suite 388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Braintree, Massachusetts 02184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E. Fox,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Dominick P. Ragno,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Ruskin Moscou Faltischek, P.C.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 RXR Plaza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Tower,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Uniondale, New York 11556-1425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663-6600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 as determined by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 Securities Act of 1933, AS AMENDED, or until THE registration statement shall become effective on such date as the SECURITIES AND EXCHANGE Commission, acting pursuant to SAID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color w:val="FF0000"/>
          <w:sz w:val="20"/>
        </w:rPr>
      </w:pPr>
      <w:r>
        <w:rPr>
          <w:rFonts w:ascii="Times New Roman;Times;Serif" w:hAnsi="Times New Roman;Times;Serif"/>
          <w:b/>
          <w:i w:val="false"/>
          <w:caps/>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NOVEMBER 17,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24175" cy="1466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1466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to you, through agents designated from time to time or to or through underwriters or dealers. For additional information on the methods of sale, you should refer to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On November 14, 2023, the last reported sale price of our common stock on The Nasdaq Capital Market was $1.385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deciding whether to invest in our securities, you should consider carefully the risks that we have described on page 6 of this prospectus under the caption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We may include specific risk factors in supplements to this prospectus under the caption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This prospectus may not be used to sell our securities unless accompanied by a prospectus supplement.</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PROSPECTUS SUMMARY</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RISK FACTORS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USE OF PROCEEDS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DESCRIPTION OF COMMON STOCK</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DESCRIPTION OF PREFERRED STOCK</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6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DESCRIPTION OF WARRANTS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DESCRIPTION OF DEBT SECURITIES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6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DESCRIPTION OF RIGHTS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DESCRIPTION OF UNITS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LEGAL MATTERS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i w:val="false"/>
                  <w:caps w:val="false"/>
                  <w:smallCaps w:val="false"/>
                  <w:sz w:val="20"/>
                </w:rPr>
                <w:t>EXPERTS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b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Core-Business Focus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First-In-Human Clinical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date of this prospectus. Consequently: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Company’s Israeli subcontractors, vendors, suppliers and other companies in which the Company relies, are currently only partially active, as instructed by the relevant authorities, which has caused delays in aspects of our development and regulatory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international flights in and out of Israel may affect the Company’s ability to import materials that are required to construct the Company’s devices which are required to complete development and regulatory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international flights in and out of Israel may affect the Company’s commercial and regulatory activities.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assessing whether there are any material adverse effects on its anticipated milestones and results of operations in the fourth quarter of 2023 and perhaps beyond due to the military operation and related matters, the extent of which cannot be estimated at this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LIBERTY</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LIBERTY’s addressable markets are the Interventional Cardiology, Interventional Radiology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and only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Can be made compatible with Microbot’s NitiLoop’s NovaCross products or possibly other guidewire/microcatheter technologies, that combines guidewire and microcatheter into a single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rotational and tip control of its guidewire, as well as linear motion for an additional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LIBERTY’s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achieved design freeze of the LIBERTY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NovaCross</w:t>
      </w:r>
      <w:r>
        <w:rPr>
          <w:rFonts w:ascii="Times New Roman;Times;Serif" w:hAnsi="Times New Roman;Times;Serif"/>
          <w:b/>
          <w:i w:val="false"/>
          <w:caps w:val="false"/>
          <w:smallCaps w:val="false"/>
          <w:position w:val="7"/>
          <w:sz w:val="16"/>
          <w:sz w:val="20"/>
        </w:rPr>
        <w:t>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Technologies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related to our business and operations, please refer to the reports incorporated herein by reference, including our Annual Report on Form 10-K for the year ended December 31, 2022 and our Quarterly Reports on Form 10-Q for the three months ended March 31, 2023, June 30, 2023 and September 30, 2023, as described under the caption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xml:space="preserve">” on page </w:t>
      </w: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xml:space="preserve">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Offerings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or classification;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or aggregate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if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rates and times of payment of interest or dividends,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conversion terms,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or other rights,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or exercise prices, if any.</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those agents or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fees, discounts and commissions to be paid to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over-allotment options,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A SALE OF ANY SECURITIES UNLESS IT IS ACCOMPANIED BY A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the prevailing market prices;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firstLine="27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by an institution of the securities covered under that contract shall not at the time of delivery be prohibited under the laws of the jurisdiction to which that institution is subject;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authorized to issue 60,000,000 shares of common stock, par value $0.01 per share. As of November 14,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w:t>
      </w:r>
      <w:r>
        <w:rPr>
          <w:rFonts w:ascii="Times New Roman;Times;Serif" w:hAnsi="Times New Roman;Times;Serif"/>
          <w:b w:val="false"/>
          <w:i w:val="false"/>
          <w:caps w:val="false"/>
          <w:smallCaps w:val="false"/>
          <w:sz w:val="20"/>
          <w:shd w:fill="FFFFFF" w:val="clear"/>
        </w:rPr>
        <w:t>copies of which are on file with the SEC as exhibits to previous SEC filings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Please refer to “</w:t>
      </w:r>
      <w:r>
        <w:rPr>
          <w:rFonts w:ascii="Times New Roman;Times;Serif" w:hAnsi="Times New Roman;Times;Serif"/>
          <w:b w:val="false"/>
          <w:i/>
          <w:caps w:val="false"/>
          <w:smallCaps w:val="false"/>
          <w:sz w:val="20"/>
          <w:shd w:fill="FFFFFF" w:val="clear"/>
        </w:rPr>
        <w:t>Where You Can Find More Information</w:t>
      </w:r>
      <w:r>
        <w:rPr>
          <w:rFonts w:ascii="Times New Roman;Times;Serif" w:hAnsi="Times New Roman;Times;Serif"/>
          <w:b w:val="false"/>
          <w:i w:val="false"/>
          <w:caps w:val="false"/>
          <w:smallCaps w:val="false"/>
          <w:sz w:val="20"/>
          <w:shd w:fill="FFFFFF" w:val="clear"/>
        </w:rPr>
        <w:t xml:space="preserve">” below for directions on obtaining these documents. </w:t>
      </w:r>
      <w:r>
        <w:rPr>
          <w:rFonts w:ascii="Times New Roman;Times;Serif" w:hAnsi="Times New Roman;Times;Serif"/>
          <w:b w:val="false"/>
          <w:i w:val="false"/>
          <w:caps w:val="false"/>
          <w:smallCaps w:val="false"/>
          <w:sz w:val="20"/>
        </w:rPr>
        <w:t>The summary below is also qualified by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“MBOT.”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authority to issue 1,000,000 shares of preferred stock, par value $0.01 per share. As of the date of this prospectus, no shares of our preferred stock were outstanding or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summary of certain provisions of our preferred stock does not purport to be complete. You should refer to our certificate of incorporation and by-laws, as amended to date, </w:t>
      </w:r>
      <w:r>
        <w:rPr>
          <w:rFonts w:ascii="Times New Roman;Times;Serif" w:hAnsi="Times New Roman;Times;Serif"/>
          <w:b w:val="false"/>
          <w:i w:val="false"/>
          <w:caps w:val="false"/>
          <w:smallCaps w:val="false"/>
          <w:sz w:val="20"/>
          <w:shd w:fill="FFFFFF" w:val="clear"/>
        </w:rPr>
        <w:t>copies of which are on file with the SEC as exhibits to previous SEC filings. Please refer to “</w:t>
      </w:r>
      <w:r>
        <w:rPr>
          <w:rFonts w:ascii="Times New Roman;Times;Serif" w:hAnsi="Times New Roman;Times;Serif"/>
          <w:b w:val="false"/>
          <w:i/>
          <w:caps w:val="false"/>
          <w:smallCaps w:val="false"/>
          <w:sz w:val="20"/>
          <w:shd w:fill="FFFFFF" w:val="clear"/>
        </w:rPr>
        <w:t>Where You Can Find More Information</w:t>
      </w:r>
      <w:r>
        <w:rPr>
          <w:rFonts w:ascii="Times New Roman;Times;Serif" w:hAnsi="Times New Roman;Times;Serif"/>
          <w:b w:val="false"/>
          <w:i w:val="false"/>
          <w:caps w:val="false"/>
          <w:smallCaps w:val="false"/>
          <w:sz w:val="20"/>
          <w:shd w:fill="FFFFFF" w:val="clear"/>
        </w:rPr>
        <w:t>” below for directions on obtaining these documents.</w:t>
      </w:r>
      <w:r>
        <w:rPr>
          <w:rFonts w:ascii="Times New Roman;Times;Serif" w:hAnsi="Times New Roman;Times;Serif"/>
          <w:b w:val="false"/>
          <w:i w:val="false"/>
          <w:caps w:val="false"/>
          <w:smallCaps w:val="false"/>
          <w:sz w:val="20"/>
        </w:rPr>
        <w:t xml:space="preserve"> The summary below is also qualified by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stated value;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offered, the liquidation preference per share and the purchase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rate(s), period(s) and/or payment date(s), or method(s) of calculation for such dividends;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a sinking fund,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if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stock on any securities exchange or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convertible into our common stock, and, if applicable, the conversion price (or how it will be calculated) and conversion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exchangeable into debt securities, and, if applicable, the exchange price (or how it will be calculated) and exchange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and/or special U.S. federal income tax considerations applicable to the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stock as to dividend rights and rights upon liquidation, dissolution or winding up of the affairs of the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limitations on issuance of any class or series of preferred stock ranking senior to or on a parity with the series of preferred stock as to dividend rights and rights upon liquidation, dissolution or winding up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offered by this prospectus will, when issued, be fully paid and nonassessable and will not have, or be subject to, any preemptive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series or class of preferred stock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designation and aggregate number of, and the price at which we will issue,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amount and terms of the securities purchasable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exercise price for shares of our common stock and the number of shares of common stock to be received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exercise price for shares of our preferred stock, the number of shares of preferred stock to be received upon exercise, and a description of that series of our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exercise price for our debt securities, the amount of debt securities to be received upon exercise, and a description of that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material U.S. federal income tax consequences;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the warrant agent for the warrants and of any other depositaries, execution or paying agents, transfer agents, registrars or other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listing, if any, of the warrants or any securities purchasable upon exercise of the warrants on any securities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from and after which the warrants and the common stock, preferred stock and/or debt securities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the warrants that may be exercised at any one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anti-dilution provisions of the warrants,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call provisions;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are to be sold separately or with other securities as parts of units;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warrants, including terms, procedures and limitations relating to the exchange and exercise of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14, 2023,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June 2028,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350,878 shares of our common stock issuable upon the exercise of outstanding series C preferred investment options expiring in December 2028, at an exercise price per share of $2.075;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312,309 shares of our common stock issuable upon the exercise of outstanding series D preferred investment options expiring in December 2028, at an exercise price per share of $3.19;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will be set forth in the applicable prospectus supplement.</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or designation;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and any limit on the amount that may be issued;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issue the series of debt securities in global form, the terms of any global securities and who the depositary will be;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the date or dates on which principal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subordination of any series of subordinated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payments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after which, and the price at which, we may, at our option, redeem the series of debt securities pursuant to any optional redemption provisions;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which, and the price at which we are obligated, pursuant to any mandatory sinking fund provisions or otherwise, to redeem, or at the holder’s option to purchase, the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restrict our ability to pay dividends, or will require us to maintain any asset ratios or reserves;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be restricted from incurring any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on any material or special U.S. federal income tax considerations applicable to a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 No Protection in Event of a Change of Control or Highly Leveraged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70"/>
        <w:gridCol w:w="9900"/>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interest when due and our failure continues for 90 days and the time for payment has not been extended or deferred;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or premium, if any, when due and the time for payment has not been extended or delayed;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 as to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previously has given written notice to the debenture trustee of a continuing event of default with respect to that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fix any ambiguity, defect or inconsistency in the indenture;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anything that does not materially adversely affect the interests of any holder of debt securities of any series issued pursuant to such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the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any premium payable upon the redemption of any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of discount securities payable upon acceleration of maturity;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the principal of or premium or interest on any debt security payable in currency other than that stated in the debt security;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or exchange of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trustee;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Debenture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a prospectus supplement the following terms of the rights being issued: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stockholders entitled to the rights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preferred stock or other securities purchasable upon exercise of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rights are transferrable and the date, if any, on and after which the rights may be separately transferred;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 to exercise the rights will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by which holders of rights will be entitled to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the completion of the offering,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withdrawal, termination and cancellation rights,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there are any backstop or standby purchaser or purchasers and the terms of their commitment,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stockholders are entitled to oversubscription rights,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material U.S. federal income tax considerations;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rights, including terms, procedures and limitations relating to the distribution, exchange and exercise of the rights, as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rights we offer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set forth in any prospectus supplement or as described under “</w:t>
      </w:r>
      <w:r>
        <w:rPr>
          <w:rFonts w:ascii="Times New Roman;Times;Serif" w:hAnsi="Times New Roman;Times;Serif"/>
          <w:b w:val="false"/>
          <w:i/>
          <w:caps w:val="false"/>
          <w:smallCaps w:val="false"/>
          <w:sz w:val="20"/>
        </w:rPr>
        <w:t>Description of Common Stock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Preferred Stock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Rights</w:t>
      </w:r>
      <w:r>
        <w:rPr>
          <w:rFonts w:ascii="Times New Roman;Times;Serif" w:hAnsi="Times New Roman;Times;Serif"/>
          <w:b w:val="false"/>
          <w:i w:val="false"/>
          <w:caps w:val="false"/>
          <w:smallCaps w:val="false"/>
          <w:sz w:val="20"/>
        </w:rPr>
        <w:t>” will apply to each unit, as applicable, and to any common stock, preferred stock, debt security, warrant or right included in each unit,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w:t>
        <w:br/>
        <w:t>INCORPORATION AND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firstLine="72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35"/>
        <w:gridCol w:w="170"/>
        <w:gridCol w:w="9110"/>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will be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2022 filed with the SEC on </w:t>
            </w:r>
            <w:hyperlink r:id="rId3">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March 31, 2023, June 30, 2023 and September 30, 2023 that we filed with the SEC on </w:t>
            </w:r>
            <w:hyperlink r:id="rId4">
              <w:r>
                <w:rPr>
                  <w:rStyle w:val="InternetLink"/>
                  <w:rFonts w:ascii="Times New Roman;Times;Serif" w:hAnsi="Times New Roman;Times;Serif"/>
                  <w:b w:val="false"/>
                  <w:i w:val="false"/>
                  <w:caps w:val="false"/>
                  <w:smallCaps w:val="false"/>
                  <w:sz w:val="20"/>
                </w:rPr>
                <w:t>May 17, 2023</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August 14, 2023</w:t>
              </w:r>
            </w:hyperlink>
            <w:r>
              <w:rPr>
                <w:rFonts w:ascii="Times New Roman;Times;Serif" w:hAnsi="Times New Roman;Times;Serif"/>
                <w:b w:val="false"/>
                <w:i w:val="false"/>
                <w:caps w:val="false"/>
                <w:smallCaps w:val="false"/>
                <w:sz w:val="20"/>
              </w:rPr>
              <w:t xml:space="preserve"> and November 14,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6">
              <w:r>
                <w:rPr>
                  <w:rStyle w:val="InternetLink"/>
                  <w:rFonts w:ascii="Times New Roman;Times;Serif" w:hAnsi="Times New Roman;Times;Serif"/>
                  <w:b w:val="false"/>
                  <w:i w:val="false"/>
                  <w:caps w:val="false"/>
                  <w:smallCaps w:val="false"/>
                  <w:sz w:val="20"/>
                </w:rPr>
                <w:t>January 23, 2023</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18, 2023</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22, 2023</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23, 2023</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24, 2023</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25, 2023</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May 31, 2023</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2, 2023</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6, 2023</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16, 2023</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22, 2023</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29, 2023</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September 5, 2023</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October 17, 2023</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October 19, 2023</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October 24, 2023</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October 31, 2023</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November 6, 2023</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November 8, 2023,</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November 13, 2023</w:t>
              </w:r>
            </w:hyperlink>
            <w:r>
              <w:rPr>
                <w:rFonts w:ascii="Times New Roman;Times;Serif" w:hAnsi="Times New Roman;Times;Serif"/>
                <w:b w:val="false"/>
                <w:i w:val="false"/>
                <w:caps w:val="false"/>
                <w:smallCaps w:val="false"/>
                <w:sz w:val="20"/>
              </w:rPr>
              <w:t xml:space="preserve"> and November 14, 2023 (except in each case for information contained therein which is furnished rather than filed);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on </w:t>
            </w:r>
            <w:hyperlink r:id="rId26">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SEC on September 19, 2023 (but only with respect to information required by Part III of our Annual Report on </w:t>
            </w:r>
            <w:hyperlink r:id="rId2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2022, which information shall update and supersede information included in Part III of our Annual Report on Form 10-K for the fiscal year ended December 31, 2022);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August 3, 1998, under the Exchange Act, including any amendment or report filed for the purpose of updating such description;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after the date of this prospectus and prior to the termination of this offering.</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all of which are being borne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85" w:type="dxa"/>
        <w:jc w:val="center"/>
        <w:tblInd w:w="0" w:type="dxa"/>
        <w:tblLayout w:type="fixed"/>
        <w:tblCellMar>
          <w:top w:w="0" w:type="dxa"/>
          <w:left w:w="0" w:type="dxa"/>
          <w:bottom w:w="0" w:type="dxa"/>
          <w:right w:w="0" w:type="dxa"/>
        </w:tblCellMar>
      </w:tblPr>
      <w:tblGrid>
        <w:gridCol w:w="3230"/>
        <w:gridCol w:w="60"/>
        <w:gridCol w:w="140"/>
        <w:gridCol w:w="980"/>
        <w:gridCol w:w="75"/>
      </w:tblGrid>
      <w:tr>
        <w:trPr/>
        <w:tc>
          <w:tcPr>
            <w:tcW w:w="323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11,070.00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Printing and engraving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Blue sky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Transfer Agent and Registrar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Trust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5" w:right="0" w:hanging="0"/>
        <w:jc w:val="left"/>
        <w:rPr>
          <w:caps w:val="false"/>
          <w:smallCaps w:val="false"/>
        </w:rPr>
      </w:pPr>
      <w:r>
        <w:rPr>
          <w:caps w:val="false"/>
          <w:smallCaps w:val="false"/>
        </w:rPr>
        <w:t> </w:t>
      </w:r>
    </w:p>
    <w:p>
      <w:pPr>
        <w:pStyle w:val="TextBody"/>
        <w:bidi w:val="0"/>
        <w:ind w:left="965" w:right="0" w:hanging="0"/>
        <w:jc w:val="left"/>
        <w:rPr>
          <w:bdr w:val="single" w:sz="12" w:space="1" w:color="000000"/>
        </w:rPr>
      </w:pPr>
      <w:r>
        <w:rPr>
          <w:bdr w:val="single" w:sz="12" w:space="1" w:color="000000"/>
        </w:rPr>
        <w:t> </w:t>
      </w:r>
    </w:p>
    <w:tbl>
      <w:tblPr>
        <w:tblW w:w="8770" w:type="dxa"/>
        <w:jc w:val="left"/>
        <w:tblInd w:w="0" w:type="dxa"/>
        <w:tblLayout w:type="fixed"/>
        <w:tblCellMar>
          <w:top w:w="0" w:type="dxa"/>
          <w:left w:w="0" w:type="dxa"/>
          <w:bottom w:w="0" w:type="dxa"/>
          <w:right w:w="0" w:type="dxa"/>
        </w:tblCellMar>
      </w:tblPr>
      <w:tblGrid>
        <w:gridCol w:w="75"/>
        <w:gridCol w:w="125"/>
        <w:gridCol w:w="8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securities and number of offerings are indeterminable and cannot be estimated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Exhibit Index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purposes of determining any liability under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81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 </w:t>
      </w:r>
      <w:r>
        <w:rPr>
          <w:rFonts w:ascii="Times New Roman;Times;Serif" w:hAnsi="Times New Roman;Times;Serif"/>
          <w:b w:val="false"/>
          <w:i w:val="false"/>
          <w:caps w:val="false"/>
          <w:smallCaps w:val="false"/>
          <w:sz w:val="20"/>
        </w:rPr>
        <w:t>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36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Braintree, State of Massachusetts, on the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2023.</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32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S_001"/>
      <w:bookmarkEnd w:id="17"/>
      <w:r>
        <w:rPr>
          <w:rFonts w:ascii="Times New Roman;Times;Serif" w:hAnsi="Times New Roman;Times;Serif"/>
          <w:b/>
          <w:i w:val="false"/>
          <w:caps w:val="false"/>
          <w:smallCaps w:val="false"/>
          <w:sz w:val="20"/>
        </w:rPr>
        <w:t>SIGNATURES AND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Harel Gadot and Rachel Vaknin, and each of them singly,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on Form S-3 and any related Rule 462(b) registration statement or amendment thereto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905" w:type="dxa"/>
        <w:jc w:val="left"/>
        <w:tblInd w:w="0" w:type="dxa"/>
        <w:tblLayout w:type="fixed"/>
        <w:tblCellMar>
          <w:top w:w="0" w:type="dxa"/>
          <w:left w:w="0" w:type="dxa"/>
          <w:bottom w:w="28" w:type="dxa"/>
          <w:right w:w="0" w:type="dxa"/>
        </w:tblCellMar>
      </w:tblPr>
      <w:tblGrid>
        <w:gridCol w:w="2180"/>
        <w:gridCol w:w="60"/>
        <w:gridCol w:w="3965"/>
        <w:gridCol w:w="60"/>
        <w:gridCol w:w="1640"/>
      </w:tblGrid>
      <w:tr>
        <w:trPr/>
        <w:tc>
          <w:tcPr>
            <w:tcW w:w="21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Vaknin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Tal Wenderow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Tal Wenderow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Yoseph Bornstein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Yoseph Bornstein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Prattipati Laxminarain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Prattipati Laxminarain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Burell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Burell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Madden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Martin Madden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Aileen Stockburger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1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Aileen Stockburger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1"/>
        <w:gridCol w:w="60"/>
        <w:gridCol w:w="9454"/>
      </w:tblGrid>
      <w:tr>
        <w:trPr/>
        <w:tc>
          <w:tcPr>
            <w:tcW w:w="691"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Restated Certificate of Incorporation of the Registrant (incorporated by reference to Exhibit 3.1 of the Registrant’s Annual Report on Form 10-K, filed on March 15, 2007)</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Certificate of Amendment to the Restated Certificate of Incorporation of the Registrant (incorporated by reference to Exhibit 3.1 of Current Report on Form 8-K, filed on November 29, 2016)</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Common Stock Warrant Agreement and Warrant Certificate</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Preferred Stock Warrant Agreement and Warrant Certificate</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Debt Securities Warrant Agreement and Warrant Certificate</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ex4-4.htm">
              <w:r>
                <w:rPr>
                  <w:rStyle w:val="InternetLink"/>
                  <w:rFonts w:ascii="Times New Roman;Times;Serif" w:hAnsi="Times New Roman;Times;Serif"/>
                  <w:b w:val="false"/>
                  <w:i w:val="false"/>
                  <w:caps w:val="false"/>
                  <w:smallCaps w:val="false"/>
                  <w:sz w:val="20"/>
                </w:rPr>
                <w:t>Form of Senior Indenture</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Form of Subordinated Indenture</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Agreement and Right Certificate</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 and Unit</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shd w:fill="FFFFFF" w:val="clear"/>
                </w:rPr>
                <w:t>Opinion of Ruskin Moscou Faltischek, P.C.</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Ruskin Moscou Faltischek, P.C. (contained in Exhibit 5.1)</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Brightman Almagor Zohar &amp; Co., a firm in the Deloitte Global Network</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S_001">
              <w:r>
                <w:rPr>
                  <w:rStyle w:val="InternetLink"/>
                  <w:rFonts w:ascii="Times New Roman;Times;Serif" w:hAnsi="Times New Roman;Times;Serif"/>
                  <w:b w:val="false"/>
                  <w:i w:val="false"/>
                  <w:caps w:val="false"/>
                  <w:smallCaps w:val="false"/>
                  <w:sz w:val="20"/>
                </w:rPr>
                <w:t>Power of Attorney (included on the signature page hereto)</w:t>
              </w:r>
            </w:hyperlink>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of Trustee Under Debt Indenture</w:t>
            </w:r>
          </w:p>
        </w:tc>
      </w:tr>
      <w:tr>
        <w:trPr/>
        <w:tc>
          <w:tcPr>
            <w:tcW w:w="69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69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54"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if necessary, subsequent to the effectiveness of this registration statement by an amendment to this registration statement or incorporated by reference pursuant to a Current Report on Form 8-K in connection with an offering of securities.</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separately pursuant to Section 305(b)(2) of the Trust Indenture Act of 1939.</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right"/>
        <w:rPr>
          <w:caps w:val="false"/>
          <w:smallCaps w:val="false"/>
        </w:rPr>
      </w:pPr>
      <w:bookmarkStart w:id="18" w:name="ex4-4.htm"/>
      <w:bookmarkStart w:id="19" w:name="ksex44"/>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Debt Securities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center"/>
        <w:rPr>
          <w:caps w:val="false"/>
          <w:smallCaps w:val="false"/>
        </w:rPr>
      </w:pPr>
      <w:r>
        <w:rPr>
          <w:caps w:val="false"/>
          <w:smallCaps w:val="false"/>
        </w:rPr>
        <w:t> </w:t>
      </w:r>
    </w:p>
    <w:tbl>
      <w:tblPr>
        <w:tblW w:w="6145" w:type="dxa"/>
        <w:jc w:val="left"/>
        <w:tblInd w:w="0" w:type="dxa"/>
        <w:tblLayout w:type="fixed"/>
        <w:tblCellMar>
          <w:top w:w="0" w:type="dxa"/>
          <w:left w:w="0" w:type="dxa"/>
          <w:bottom w:w="28" w:type="dxa"/>
          <w:right w:w="0" w:type="dxa"/>
        </w:tblCellMar>
      </w:tblPr>
      <w:tblGrid>
        <w:gridCol w:w="4355"/>
        <w:gridCol w:w="60"/>
        <w:gridCol w:w="1730"/>
      </w:tblGrid>
      <w:tr>
        <w:trPr/>
        <w:tc>
          <w:tcPr>
            <w:tcW w:w="43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Trust Indenture Act of 1939, as Amended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7.13(a)</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7.13(b)</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5.02(a)</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5.02(b)</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5.02(c)</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5.04(a)</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5.04(a)</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5.04(a)</w:t>
            </w:r>
          </w:p>
        </w:tc>
      </w:tr>
      <w:tr>
        <w:trPr/>
        <w:tc>
          <w:tcPr>
            <w:tcW w:w="43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5.04(b)</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5.04(b)</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7.01(a)</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7.01(b)</w:t>
            </w:r>
          </w:p>
        </w:tc>
      </w:tr>
      <w:tr>
        <w:trPr/>
        <w:tc>
          <w:tcPr>
            <w:tcW w:w="43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7.01(c)</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r>
      <w:tr>
        <w:trPr/>
        <w:tc>
          <w:tcPr>
            <w:tcW w:w="435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r>
      <w:tr>
        <w:trPr/>
        <w:tc>
          <w:tcPr>
            <w:tcW w:w="43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r>
      <w:tr>
        <w:trPr/>
        <w:tc>
          <w:tcPr>
            <w:tcW w:w="43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Cross-Reference Table does not constitute part of the Indenture and shall not have any bearing on the interpretation of any of its terms or provisions.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(2)</w:t>
      </w:r>
    </w:p>
    <w:p>
      <w:pPr>
        <w:pStyle w:val="TextBody"/>
        <w:bidi w:val="0"/>
        <w:spacing w:before="0" w:after="0"/>
        <w:ind w:left="0" w:right="0" w:hanging="0"/>
        <w:jc w:val="center"/>
        <w:rPr>
          <w:caps w:val="false"/>
          <w:smallCaps w:val="false"/>
        </w:rPr>
      </w:pPr>
      <w:r>
        <w:rPr>
          <w:caps w:val="false"/>
          <w:smallCaps w:val="false"/>
        </w:rPr>
        <w:t> </w:t>
      </w:r>
    </w:p>
    <w:tbl>
      <w:tblPr>
        <w:tblW w:w="9912" w:type="dxa"/>
        <w:jc w:val="left"/>
        <w:tblInd w:w="0" w:type="dxa"/>
        <w:tblLayout w:type="fixed"/>
        <w:tblCellMar>
          <w:top w:w="0" w:type="dxa"/>
          <w:left w:w="0" w:type="dxa"/>
          <w:bottom w:w="0" w:type="dxa"/>
          <w:right w:w="0" w:type="dxa"/>
        </w:tblCellMar>
      </w:tblPr>
      <w:tblGrid>
        <w:gridCol w:w="1188"/>
        <w:gridCol w:w="88"/>
        <w:gridCol w:w="8181"/>
        <w:gridCol w:w="455"/>
      </w:tblGrid>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181"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181"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82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of Terms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tc>
        <w:tc>
          <w:tcPr>
            <w:tcW w:w="8269" w:type="dxa"/>
            <w:gridSpan w:val="2"/>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DESCRIPTION, TERMS, EXECUTION, REGISTRATION AND EXCHANGE OF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and Terms of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Securities and Trustee’s Certificate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Denominations: Provisions for Payment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and Authentications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and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Destroyed, Lost or Stolen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Indenture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Authenticating Agent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c>
        <w:tc>
          <w:tcPr>
            <w:tcW w:w="82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 AND SINKING FUND PROVISIONS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Upon Redemption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Sinking Fund Payments with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 for Sinking Fund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tc>
        <w:tc>
          <w:tcPr>
            <w:tcW w:w="82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Premium and Interest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Office or Agency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to Fill Vacancy in Office of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Consolidation Provisions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tc>
        <w:tc>
          <w:tcPr>
            <w:tcW w:w="826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LISTS AND REPORTS BY THE COMPANY AND THE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to Furnish Trustee Names and Addresses of Securityholders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Information; Communications with Securityholders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Company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tc>
        <w:tc>
          <w:tcPr>
            <w:tcW w:w="82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OF THE TRUSTEE AND SECURITYHOLDERS ON EVENT OF DEFAULT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and Suits for Enforcement by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Moneys Collected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 Remedies Cumulative; Delay or Omission Not Waiver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Securityholders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to Pay Costs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tc>
        <w:tc>
          <w:tcPr>
            <w:tcW w:w="826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8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Duties and Responsibilities of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Not Responsible for Recitals or Issuance of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Hold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276"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818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Moneys Held in Trust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276"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8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Reimbursement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558" w:type="dxa"/>
        <w:jc w:val="left"/>
        <w:tblInd w:w="0" w:type="dxa"/>
        <w:tblLayout w:type="fixed"/>
        <w:tblCellMar>
          <w:top w:w="0" w:type="dxa"/>
          <w:left w:w="0" w:type="dxa"/>
          <w:bottom w:w="0" w:type="dxa"/>
          <w:right w:w="0" w:type="dxa"/>
        </w:tblCellMar>
      </w:tblPr>
      <w:tblGrid>
        <w:gridCol w:w="860"/>
        <w:gridCol w:w="691"/>
        <w:gridCol w:w="6762"/>
        <w:gridCol w:w="245"/>
      </w:tblGrid>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Officers’ Certificate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Disqualification; Conflicting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Trustee Required; Eligibility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Conversion, Consolidation or Succession to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Preferential Collection of Claims Against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13"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CONCERNING THE SECURITYHOLDERS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Action by Securityholders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by Securityholders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May be Deemed Owners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Securities Owned by Company Disregarded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Binding on Future Securityholders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 for Which Meetings May Be Called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Notice and Place of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Vote at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 Action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Voting Rights; Conduct and Adjournment of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Counting Votes and Recording Action of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13"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 SUPPLEMENTAL INDENTURES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the Consent of Securityholders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Securityholders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Affected by Supplemental Indentures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Supplemental Indentures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13"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SUCCESSOR ENTITY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Consolidate, Etc</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Entity Substituted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Consolidation, Etc. to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13"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 SATISFACTION AND DISCHARGE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 of Indenture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Discharge of Obligations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Moneys to be Held in Trust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Moneys Held by Paying Agents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13"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 IMMUNITY OF INCORPORATORS, STOCKHOLDERS, OFFICERS AND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313"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 MISCELLANEOUS PROVISIONS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8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7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Successors and Assigns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Successor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Surrender of Company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Securities as Debt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Certificates and Opinions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Business Days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13.09</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with Trust Indenture Act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13.10</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551" w:type="dxa"/>
            <w:gridSpan w:val="2"/>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13.11</w:t>
            </w:r>
          </w:p>
        </w:tc>
        <w:tc>
          <w:tcPr>
            <w:tcW w:w="676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551"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13.12</w:t>
            </w:r>
          </w:p>
        </w:tc>
        <w:tc>
          <w:tcPr>
            <w:tcW w:w="67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Table of Contents does not constitute part of the Indenture and shall not have any bearing on the interpretation of any of its terms and provisions.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  ], by and between Microbot Medical Inc., a Delaware corporation (the “Company”), and [  ], as trustee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 of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Authenticating Agent” means an authenticating agent with respect to all or any of the series of Securities appointed with respect to all or any series of the Securities by the Trustee pursuant to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Bankruptcy Law” means Title 11, U.S. Code, or any similar federal or state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 or any duly authorized committee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by the Secretary or an Assistant Secretary of the Company to have been duly adopted by the Board of Directors and to be in full force and effect on the date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Certificate” means a certificate signed by the principal executive officer, the principal financial officer or the principal accounting officer of the Company. The Certificate need not comply with the provisions of Section 13.07.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Custodian” means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 event which is, or after notice or lapse of time, or both, would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Securities of a particular series, any event specified in Section 6.01, continued for the period of time, if any, therein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herein,” “hereof” and “hereunder,”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 written opinion of counsel, who may be counsel to the Company (and may include directors or employees of the Company) and which opinion is acceptable to the Trustee which acceptance shall not be unreasonably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limited liability company, partnership, joint-venture, association, joint-stock company, trust, estate,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debt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Register” has the meaning specified in Section 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 Registrar” has the meaning specified in Section 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Securityholder,” “holder of Securities,” “registered holder,” or other similar term, means the Person or Persons in whose name or names a particular Security shall be registered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ISSUE, DESCRIPTION, TERMS, EXECUTION,</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REGISTRATION AND 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Designation and Terms of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224"/>
        <w:gridCol w:w="9726"/>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9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Security of the series (which shall distinguish the Securities of the series from all other Securities);</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on which the principal of the Securities of the series is payable and the place(s) of payment;</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at which the Securities of the series shall bear interest or the manner of calculation of such rate or rates, if any;</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 if any, to extend the interest payment periods or to defer the payment of interest and the duration of such extension;</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pPr>
            <w:r>
              <w:rPr/>
              <w:t> </w:t>
            </w:r>
          </w:p>
        </w:tc>
        <w:tc>
          <w:tcPr>
            <w:tcW w:w="97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7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or periods within which, the price or prices at which and the terms and conditions upon which, Securities of the series may be redeemed, in whole or in part, at the option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303"/>
        <w:gridCol w:w="9767"/>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denominations of one thousand U.S. dollars ($1,000) or any integral multiple thereof, the denominations in which the Securities of the series shall be issuable;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Securities are issuable as a Global Security and, in such case, the identity of the Depositary for such series;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Securities will be convertible into shares of common stock or other securities of the Company and, if so, the terms and conditions upon which such Securities will be so convertible, including the conversion price and the conversion period;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principal amount thereof, the portion of the principal amount of Securities of the series which shall be payable upon declaration of acceleration of the maturity thereof pursuant to Section 6.01;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caps w:val="false"/>
                <w:smallCaps w:val="false"/>
              </w:rPr>
            </w:pPr>
            <w:r>
              <w:rPr>
                <w:caps w:val="false"/>
                <w:smallCaps w:val="false"/>
              </w:rPr>
              <w:t> </w:t>
            </w:r>
          </w:p>
        </w:tc>
        <w:tc>
          <w:tcPr>
            <w:tcW w:w="97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or different Events of Default or restrictive covenants provided for with respect to the Securities of the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Form of Securities and Trustee’s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Denominations: Provisions for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Execution and Authentications.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Registration of Transfer and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Temporary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Mutilated, Destroyed, Lost or Stolen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Benefits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Authenticating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Global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REDEMPTION OF SECURITIES AND</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SINKING FUND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Notice of Redemption.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Payment Upon Redemption.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Satisfaction of Sinking Fund Payments with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Redemption of Securities for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Payment of Principal, Premium and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Maintenance of Office or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Paying Agents.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414"/>
        <w:gridCol w:w="9526"/>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 and</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will perform all other duties of paying agent as set forth in this Indenture.</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95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Appointment to Fill Vacancy in Office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Compliance with Consolidation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SECURITYHOLDERS’ LISTS AND REPORTS BY THE COMPANY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Company to Furnish Trustee Names and Addresses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Preservation of Information; Communications with Securityholders.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Reports by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Reports by the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REMEDIES OF THE TRUSTEE AND SECURITYHOLDERS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193"/>
        <w:gridCol w:w="9759"/>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2"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9952"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7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7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04"/>
        <w:gridCol w:w="9866"/>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Collection of Indebtedness and Suits for Enforcement by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Application of Moneys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1"/>
        <w:gridCol w:w="93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w:t>
            </w:r>
          </w:p>
        </w:tc>
        <w:tc>
          <w:tcPr>
            <w:tcW w:w="93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payment of costs and expenses of collection and of all amounts payable to the Trustee under Section 7.06;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caps w:val="false"/>
                <w:smallCaps w:val="false"/>
              </w:rPr>
            </w:pPr>
            <w:r>
              <w:rPr>
                <w:caps w:val="false"/>
                <w:smallCaps w:val="false"/>
              </w:rPr>
              <w:t> </w:t>
            </w:r>
          </w:p>
        </w:tc>
        <w:tc>
          <w:tcPr>
            <w:tcW w:w="93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w:t>
            </w:r>
          </w:p>
        </w:tc>
        <w:tc>
          <w:tcPr>
            <w:tcW w:w="93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Rights and Remedies Cumulative; Delay or Omission Not Waiver.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Control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Undertaking to Pay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Certain Duties and Responsibilities of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348"/>
        <w:gridCol w:w="9590"/>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both"/>
              <w:rPr/>
            </w:pPr>
            <w:r>
              <w:rPr/>
              <w:t> </w:t>
            </w:r>
          </w:p>
        </w:tc>
        <w:tc>
          <w:tcPr>
            <w:tcW w:w="95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8"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provision of this Indenture shall be construed to relieve the Trustee from liability for its own negligent action, its own negligent failure to act, or its own willful misconduct, except that:</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both"/>
              <w:rPr/>
            </w:pPr>
            <w:r>
              <w:rPr/>
              <w:t> </w:t>
            </w:r>
          </w:p>
        </w:tc>
        <w:tc>
          <w:tcPr>
            <w:tcW w:w="959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occurrence of an Event of Default with respect to the Securities of a series and after the curing or waiving of all such Events of Default with respect to that series that may have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shall not be liable for any error of judgment made in good faith by a Responsible Officer or Responsible Officers of the Trustee, unless it shall be proved that the Trustee, was negligent in ascertaining the pertinent facts;</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Certain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consult with counsel and the written advice of such counsel or any Opinion of Counsel shall be full and complete authorization and protection in respect of any action taken or suffered or omitted hereunder in good faith and in reliance thereon;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Trustee Not Responsible for Recitals or Issuance of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May Hold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Moneys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Compensation and Reimbursement.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Reliance on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Disqualification; Conflicting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Corporate Trustee Required;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Resignation and Removal; Appointment of Successor.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190"/>
        <w:gridCol w:w="975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any time any one of the following shall occur:</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Acceptance of Appointment By Successor.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Merger, Conversion, Consolidation or Succession to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Preferential Collection of Claims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Evidence of Action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Proof of Execution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Who May be Deemed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Certain Securities Owned by Company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Actions Binding on Future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Purposes for Which Meetings May Be Called.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Article VIII, the Trustee may, during the pendency of a Default or an Event of Default, call a meeting of holders of any series of Securities in accordance with its standard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Call Notice and Place of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Persons Entitled To Vote at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Quorum;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passed or decisions taken at any meeting of holders of Securities duly held in accordance with this Section shall be binding on all the holders of Securities of such series, whether or not present or represented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Determination of Voting Rights; Conduct and Adjournment of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Counting Votes and Recording Action of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Supplemental Indentures Without the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Article X;</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Securities in addition to or in place of certificated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rights of any Securityholder in any material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 requirements of the Commission in order to effect or maintain the qualification of this Indenture under the Trust Indenture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Supplemental Indentures With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Effect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Securities Affected by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Execution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SUCCESSOR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Company May Consolidate,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Successor Entity Substituted.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Evidence of Consolidation, Etc. to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Satisfaction and Discharge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Discharge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Deposited Moneys to be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Payment of Moneys Held by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Repayment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IMMUNITY OF INCORPORATORS, STOCKHOLDERS,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No Recourse.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Effect on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contained by or on behalf of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Actions by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Surrender of Company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Microbot Medical Inc., Attn: [ ], 25 Recreation Park Drive, Unit 108, Hingham, MA 02043.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deemed to be a contract made under the internal laws of the State of New York, and for all purposes shall be construed in accordance with the laws of said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 Treatment of Securities as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 Compliance Certificates and Opinions.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 Payments on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13.09 Conflict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13.10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13.11 Separability.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13.12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1136"/>
        <w:gridCol w:w="128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8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caps w:val="false"/>
                <w:smallCaps w:val="false"/>
              </w:rPr>
            </w:pPr>
            <w:r>
              <w:rPr>
                <w:caps w:val="false"/>
                <w:smallCaps w:val="false"/>
              </w:rPr>
              <w:t> </w:t>
            </w:r>
          </w:p>
        </w:tc>
        <w:tc>
          <w:tcPr>
            <w:tcW w:w="12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caps w:val="false"/>
                <w:smallCaps w:val="false"/>
              </w:rPr>
            </w:pPr>
            <w:r>
              <w:rPr>
                <w:caps w:val="false"/>
                <w:smallCaps w:val="false"/>
              </w:rPr>
              <w:t> </w:t>
            </w:r>
          </w:p>
        </w:tc>
        <w:tc>
          <w:tcPr>
            <w:tcW w:w="12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8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8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color w:val="000000"/>
        </w:rPr>
      </w:pPr>
      <w:bookmarkStart w:id="20" w:name="ex4-5.htm"/>
      <w:bookmarkStart w:id="21" w:name="ksex45"/>
      <w:bookmarkEnd w:id="20"/>
      <w:bookmarkEnd w:id="21"/>
      <w:r>
        <w:rPr>
          <w:caps w:val="false"/>
          <w:smallCaps w:val="false"/>
          <w:color w:val="000000"/>
        </w:rPr>
        <w:t> </w:t>
      </w:r>
      <w:r>
        <w:br w:type="page"/>
      </w:r>
    </w:p>
    <w:p>
      <w:pPr>
        <w:pStyle w:val="TextBody"/>
        <w:bidi w:val="0"/>
        <w:spacing w:before="0" w:after="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4.5</w:t>
      </w:r>
    </w:p>
    <w:p>
      <w:pPr>
        <w:pStyle w:val="TextBody"/>
        <w:bidi w:val="0"/>
        <w:spacing w:before="0" w:after="0"/>
        <w:jc w:val="righ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MICROBOT MEDICAL INC.</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Issuer</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AND</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 Trustee</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INDENTURE</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 as of [  ]</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Subordinated Debt Securities</w:t>
      </w:r>
    </w:p>
    <w:p>
      <w:pPr>
        <w:pStyle w:val="TextBody"/>
        <w:bidi w:val="0"/>
        <w:spacing w:before="0" w:after="0"/>
        <w:jc w:val="center"/>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CROSS-REFERENCE TABLE (1)</w:t>
      </w:r>
    </w:p>
    <w:p>
      <w:pPr>
        <w:pStyle w:val="TextBody"/>
        <w:bidi w:val="0"/>
        <w:spacing w:before="0" w:after="0"/>
        <w:jc w:val="center"/>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28" w:type="dxa"/>
          <w:right w:w="0" w:type="dxa"/>
        </w:tblCellMar>
      </w:tblPr>
      <w:tblGrid>
        <w:gridCol w:w="2775"/>
        <w:gridCol w:w="255"/>
        <w:gridCol w:w="7175"/>
      </w:tblGrid>
      <w:tr>
        <w:trPr/>
        <w:tc>
          <w:tcPr>
            <w:tcW w:w="27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Section of Trust Indenture Act of 1939, as Amended</w:t>
            </w:r>
          </w:p>
        </w:tc>
        <w:tc>
          <w:tcPr>
            <w:tcW w:w="255" w:type="dxa"/>
            <w:tcBorders/>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bottom w:val="single" w:sz="12" w:space="0" w:color="000000"/>
            </w:tcBorders>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Section of Indenture</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310(a).</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7.09</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310(b).</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7.08</w:t>
            </w:r>
          </w:p>
        </w:tc>
      </w:tr>
      <w:tr>
        <w:trPr/>
        <w:tc>
          <w:tcPr>
            <w:tcW w:w="27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7.10</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310(c).</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Inapplicable</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311(a).</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7.13(a)</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311(b).</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7.13(b)</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311(c).</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Inapplicable</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312(a)</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5.02(a)</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312(b).</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5.02(b)</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312(c).</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5.02(c)</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313(a).</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5.04(a)</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313(b).</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5.04(a)</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313(c).</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5.04(a)</w:t>
            </w:r>
          </w:p>
        </w:tc>
      </w:tr>
      <w:tr>
        <w:trPr/>
        <w:tc>
          <w:tcPr>
            <w:tcW w:w="27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5.04(b)</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313(d).</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5.04(b)</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314(a).</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5.03</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314(b).</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Inapplicable</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314(c).</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13.06</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314(d).</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Inapplicable</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314(e).</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13.06</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314(f).</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Inapplicable</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315(a).</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7.01(a)</w:t>
            </w:r>
          </w:p>
        </w:tc>
      </w:tr>
      <w:tr>
        <w:trPr/>
        <w:tc>
          <w:tcPr>
            <w:tcW w:w="27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7.02</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315(b).</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6.07</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315(c).</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7.01</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315(d).</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7.01(b)</w:t>
            </w:r>
          </w:p>
        </w:tc>
      </w:tr>
      <w:tr>
        <w:trPr/>
        <w:tc>
          <w:tcPr>
            <w:tcW w:w="277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7.01(c)</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315(e).</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6.07</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316(a).</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6.06</w:t>
            </w:r>
          </w:p>
        </w:tc>
      </w:tr>
      <w:tr>
        <w:trPr/>
        <w:tc>
          <w:tcPr>
            <w:tcW w:w="277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8.04</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316(b).</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6.04</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316(c).</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8.01</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317(a).</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6.02</w:t>
            </w:r>
          </w:p>
        </w:tc>
      </w:tr>
      <w:tr>
        <w:trPr/>
        <w:tc>
          <w:tcPr>
            <w:tcW w:w="27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317(b).</w:t>
            </w:r>
          </w:p>
        </w:tc>
        <w:tc>
          <w:tcPr>
            <w:tcW w:w="255" w:type="dxa"/>
            <w:tcBorders/>
            <w:shd w:fill="FFFF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4.03</w:t>
            </w:r>
          </w:p>
        </w:tc>
      </w:tr>
      <w:tr>
        <w:trPr/>
        <w:tc>
          <w:tcPr>
            <w:tcW w:w="27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318(a).</w:t>
            </w:r>
          </w:p>
        </w:tc>
        <w:tc>
          <w:tcPr>
            <w:tcW w:w="255" w:type="dxa"/>
            <w:tcBorders/>
            <w:shd w:fill="CCEEFF" w:val="clear"/>
            <w:tcMar>
              <w:bottom w:w="0"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13.08</w:t>
            </w:r>
          </w:p>
        </w:tc>
      </w:tr>
      <w:tr>
        <w:trPr/>
        <w:tc>
          <w:tcPr>
            <w:tcW w:w="27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7430" w:type="dxa"/>
            <w:gridSpan w:val="2"/>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Cross-Reference Table does not constitute part of the Indenture and shall not have any bearing on the interpretation of any of its terms or provisions.</w:t>
            </w:r>
          </w:p>
        </w:tc>
      </w:tr>
    </w:tbl>
    <w:p>
      <w:pPr>
        <w:pStyle w:val="TextBody"/>
        <w:bidi w:val="0"/>
        <w:spacing w:before="0" w:after="0"/>
        <w:jc w:val="center"/>
        <w:rPr>
          <w:caps w:val="false"/>
          <w:smallCaps w:val="false"/>
          <w:color w:val="000000"/>
        </w:rPr>
      </w:pPr>
      <w:r>
        <w:rPr>
          <w:caps w:val="false"/>
          <w:smallCaps w:val="false"/>
          <w:color w:val="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TABLE OF CONTENTS (2)</w:t>
      </w:r>
    </w:p>
    <w:p>
      <w:pPr>
        <w:pStyle w:val="TextBody"/>
        <w:bidi w:val="0"/>
        <w:spacing w:before="0" w:after="0"/>
        <w:jc w:val="center"/>
        <w:rPr>
          <w:caps w:val="false"/>
          <w:smallCaps w:val="false"/>
          <w:color w:val="000000"/>
        </w:rPr>
      </w:pPr>
      <w:r>
        <w:rPr>
          <w:caps w:val="false"/>
          <w:smallCaps w:val="false"/>
          <w:color w:val="000000"/>
        </w:rPr>
        <w:t> </w:t>
      </w:r>
    </w:p>
    <w:tbl>
      <w:tblPr>
        <w:tblW w:w="9772" w:type="dxa"/>
        <w:jc w:val="left"/>
        <w:tblInd w:w="0" w:type="dxa"/>
        <w:tblLayout w:type="fixed"/>
        <w:tblCellMar>
          <w:top w:w="0" w:type="dxa"/>
          <w:left w:w="0" w:type="dxa"/>
          <w:bottom w:w="0" w:type="dxa"/>
          <w:right w:w="0" w:type="dxa"/>
        </w:tblCellMar>
      </w:tblPr>
      <w:tblGrid>
        <w:gridCol w:w="99"/>
        <w:gridCol w:w="1640"/>
        <w:gridCol w:w="79"/>
        <w:gridCol w:w="7499"/>
        <w:gridCol w:w="455"/>
      </w:tblGrid>
      <w:tr>
        <w:trPr/>
        <w:tc>
          <w:tcPr>
            <w:tcW w:w="9317" w:type="dxa"/>
            <w:gridSpan w:val="4"/>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317" w:type="dxa"/>
            <w:gridSpan w:val="4"/>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I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1.01</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Definitions of Terms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17" w:type="dxa"/>
            <w:gridSpan w:val="4"/>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II ISSUE, DESCRIPTION, TERMS, EXECUTION, REGISTRATION AND EXCHANGE OF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2.01</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Designation and Terms of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2.02</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 of Securities and Trustee’s Certificate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2.03</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Denominations: Provisions for Payment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2.04</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Execution and Authentications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2.05</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Registration of Transfer and Exchange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2.06</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Temporary Securities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2.07</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Mutilated, Destroyed, Lost or Stolen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2.08</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Cancellation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2.09</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Benefits of Indenture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2.10</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Authenticating Agent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2.11</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Global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317" w:type="dxa"/>
            <w:gridSpan w:val="4"/>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III REDEMPTION OF SECURITIES AND SINKING FUND PROVISIONS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3.01</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Redemption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3.02</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Notice of Redemption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3.03</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Payment Upon Redemption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3.04</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Sinking Fund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3.05</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Satisfaction of Sinking Fund Payments with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3.06</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Redemption of Securities for Sinking Fund</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317" w:type="dxa"/>
            <w:gridSpan w:val="4"/>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IV 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4.01</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Payment of Principal, Premium and Interest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4.02</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Maintenance of Office or Agency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4.03</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Paying Agents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4.04</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Appointment to Fill Vacancy in Office of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4.05</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Compliance with Consolidation Provisions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317" w:type="dxa"/>
            <w:gridSpan w:val="4"/>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V SECURITYHOLDERS’ LISTS AND REPORTS BY THE COMPANY AND THE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5.01</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Company to Furnish Trustee Names and Addresses of Securityholders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5.02</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Preservation of Information; Communications with Securityholders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5.03</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Reports by the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5.04</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Reports by the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317" w:type="dxa"/>
            <w:gridSpan w:val="4"/>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VI REMEDIES OF THE TRUSTEE AND SECURITYHOLDERS ON EVENT OF DEFAULT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6.01</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Events of Default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6.02</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Collection of Indebtedness and Suits for Enforcement by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6.03</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Application of Moneys Collected</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6.04</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Limitation on Suits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6.05</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Rights and Remedies Cumulative; Delay or Omission Not Waiver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6.06</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Control by Securityholders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6.07</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Undertaking to Pay Costs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17" w:type="dxa"/>
            <w:gridSpan w:val="4"/>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VII CONCERNING THE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7.01</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Certain Duties and Responsibilities of Trustee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7.02</w:t>
            </w:r>
          </w:p>
        </w:tc>
        <w:tc>
          <w:tcPr>
            <w:tcW w:w="79"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Certain Rights of Trustee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7.03</w:t>
            </w:r>
          </w:p>
        </w:tc>
        <w:tc>
          <w:tcPr>
            <w:tcW w:w="79"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4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Trustee Not Responsible for Recitals or Issuance of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jc w:val="left"/>
        <w:rPr>
          <w:caps w:val="false"/>
          <w:smallCaps w:val="false"/>
          <w:color w:val="000000"/>
        </w:rPr>
      </w:pPr>
      <w:r>
        <w:rPr>
          <w:caps w:val="false"/>
          <w:smallCaps w:val="false"/>
          <w:color w:val="000000"/>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63"/>
        <w:gridCol w:w="1878"/>
        <w:gridCol w:w="88"/>
        <w:gridCol w:w="7700"/>
        <w:gridCol w:w="276"/>
      </w:tblGrid>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7.04</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May Hold Securities</w:t>
            </w:r>
          </w:p>
        </w:tc>
        <w:tc>
          <w:tcPr>
            <w:tcW w:w="276" w:type="dxa"/>
            <w:tcBorders/>
            <w:shd w:fill="CCEEFF" w:val="clear"/>
            <w:vAlign w:val="center"/>
          </w:tcPr>
          <w:p>
            <w:pPr>
              <w:pStyle w:val="TableContents"/>
              <w:bidi w:val="0"/>
              <w:spacing w:before="0" w:after="283"/>
              <w:jc w:val="right"/>
              <w:rPr/>
            </w:pPr>
            <w:r>
              <w:rPr/>
              <w:t>22</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7.05</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Moneys Held in Trust</w:t>
            </w:r>
          </w:p>
        </w:tc>
        <w:tc>
          <w:tcPr>
            <w:tcW w:w="276" w:type="dxa"/>
            <w:tcBorders/>
            <w:shd w:fill="FFFFFF" w:val="clear"/>
            <w:vAlign w:val="center"/>
          </w:tcPr>
          <w:p>
            <w:pPr>
              <w:pStyle w:val="TableContents"/>
              <w:bidi w:val="0"/>
              <w:spacing w:before="0" w:after="283"/>
              <w:jc w:val="right"/>
              <w:rPr/>
            </w:pPr>
            <w:r>
              <w:rPr/>
              <w:t>22</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7.06</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Compensation and Reimbursement</w:t>
            </w:r>
          </w:p>
        </w:tc>
        <w:tc>
          <w:tcPr>
            <w:tcW w:w="276" w:type="dxa"/>
            <w:tcBorders/>
            <w:shd w:fill="CCEEFF" w:val="clear"/>
            <w:vAlign w:val="center"/>
          </w:tcPr>
          <w:p>
            <w:pPr>
              <w:pStyle w:val="TableContents"/>
              <w:bidi w:val="0"/>
              <w:spacing w:before="0" w:after="283"/>
              <w:jc w:val="right"/>
              <w:rPr/>
            </w:pPr>
            <w:r>
              <w:rPr/>
              <w:t>22</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7.07</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Reliance on Officers’ Certificate</w:t>
            </w:r>
          </w:p>
        </w:tc>
        <w:tc>
          <w:tcPr>
            <w:tcW w:w="276" w:type="dxa"/>
            <w:tcBorders/>
            <w:shd w:fill="FFFFFF" w:val="clear"/>
            <w:vAlign w:val="center"/>
          </w:tcPr>
          <w:p>
            <w:pPr>
              <w:pStyle w:val="TableContents"/>
              <w:bidi w:val="0"/>
              <w:spacing w:before="0" w:after="283"/>
              <w:jc w:val="right"/>
              <w:rPr/>
            </w:pPr>
            <w:r>
              <w:rPr/>
              <w:t>23</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7.08</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Disqualification; Conflicting Interests</w:t>
            </w:r>
          </w:p>
        </w:tc>
        <w:tc>
          <w:tcPr>
            <w:tcW w:w="276" w:type="dxa"/>
            <w:tcBorders/>
            <w:shd w:fill="CCEEFF" w:val="clear"/>
            <w:vAlign w:val="center"/>
          </w:tcPr>
          <w:p>
            <w:pPr>
              <w:pStyle w:val="TableContents"/>
              <w:bidi w:val="0"/>
              <w:spacing w:before="0" w:after="283"/>
              <w:jc w:val="right"/>
              <w:rPr/>
            </w:pPr>
            <w:r>
              <w:rPr/>
              <w:t>23</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7.09</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Corporate Trustee Required; Eligibility</w:t>
            </w:r>
          </w:p>
        </w:tc>
        <w:tc>
          <w:tcPr>
            <w:tcW w:w="276" w:type="dxa"/>
            <w:tcBorders/>
            <w:shd w:fill="FFFFFF" w:val="clear"/>
            <w:vAlign w:val="center"/>
          </w:tcPr>
          <w:p>
            <w:pPr>
              <w:pStyle w:val="TableContents"/>
              <w:bidi w:val="0"/>
              <w:spacing w:before="0" w:after="283"/>
              <w:jc w:val="right"/>
              <w:rPr/>
            </w:pPr>
            <w:r>
              <w:rPr/>
              <w:t>23</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7.10</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Resignation and Removal; Appointment of Successor</w:t>
            </w:r>
          </w:p>
        </w:tc>
        <w:tc>
          <w:tcPr>
            <w:tcW w:w="276" w:type="dxa"/>
            <w:tcBorders/>
            <w:shd w:fill="CCEEFF" w:val="clear"/>
            <w:vAlign w:val="center"/>
          </w:tcPr>
          <w:p>
            <w:pPr>
              <w:pStyle w:val="TableContents"/>
              <w:bidi w:val="0"/>
              <w:spacing w:before="0" w:after="283"/>
              <w:jc w:val="right"/>
              <w:rPr/>
            </w:pPr>
            <w:r>
              <w:rPr/>
              <w:t>23</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7.11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Acceptance of Appointment By Successor</w:t>
            </w:r>
          </w:p>
        </w:tc>
        <w:tc>
          <w:tcPr>
            <w:tcW w:w="276" w:type="dxa"/>
            <w:tcBorders/>
            <w:shd w:fill="FFFFFF" w:val="clear"/>
            <w:vAlign w:val="center"/>
          </w:tcPr>
          <w:p>
            <w:pPr>
              <w:pStyle w:val="TableContents"/>
              <w:bidi w:val="0"/>
              <w:spacing w:before="0" w:after="283"/>
              <w:jc w:val="right"/>
              <w:rPr/>
            </w:pPr>
            <w:r>
              <w:rPr/>
              <w:t>24</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7.12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Merger, Conversion, Consolidation or Succession to Business</w:t>
            </w:r>
          </w:p>
        </w:tc>
        <w:tc>
          <w:tcPr>
            <w:tcW w:w="276" w:type="dxa"/>
            <w:tcBorders/>
            <w:shd w:fill="CCEEFF" w:val="clear"/>
            <w:vAlign w:val="center"/>
          </w:tcPr>
          <w:p>
            <w:pPr>
              <w:pStyle w:val="TableContents"/>
              <w:bidi w:val="0"/>
              <w:spacing w:before="0" w:after="283"/>
              <w:jc w:val="right"/>
              <w:rPr/>
            </w:pPr>
            <w:r>
              <w:rPr/>
              <w:t>25</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7.13</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Preferential Collection of Claims Against the Company</w:t>
            </w:r>
          </w:p>
        </w:tc>
        <w:tc>
          <w:tcPr>
            <w:tcW w:w="276" w:type="dxa"/>
            <w:tcBorders/>
            <w:shd w:fill="FFFFFF" w:val="clear"/>
            <w:vAlign w:val="center"/>
          </w:tcPr>
          <w:p>
            <w:pPr>
              <w:pStyle w:val="TableContents"/>
              <w:bidi w:val="0"/>
              <w:spacing w:before="0" w:after="283"/>
              <w:jc w:val="right"/>
              <w:rPr/>
            </w:pPr>
            <w:r>
              <w:rPr/>
              <w:t>25</w:t>
            </w:r>
          </w:p>
        </w:tc>
      </w:tr>
      <w:tr>
        <w:trPr/>
        <w:tc>
          <w:tcPr>
            <w:tcW w:w="9929" w:type="dxa"/>
            <w:gridSpan w:val="4"/>
            <w:tcBorders/>
            <w:shd w:fill="CCEEFF" w:val="clear"/>
            <w:vAlign w:val="center"/>
          </w:tcPr>
          <w:p>
            <w:pPr>
              <w:pStyle w:val="TableContents"/>
              <w:bidi w:val="0"/>
              <w:spacing w:before="0" w:after="283"/>
              <w:jc w:val="left"/>
              <w:rPr>
                <w:sz w:val="20"/>
              </w:rPr>
            </w:pPr>
            <w:r>
              <w:rPr>
                <w:sz w:val="20"/>
              </w:rPr>
              <w:t>ARTICLE VIII CONCERNING THE SECURITYHOLDERS</w:t>
            </w:r>
          </w:p>
        </w:tc>
        <w:tc>
          <w:tcPr>
            <w:tcW w:w="276" w:type="dxa"/>
            <w:tcBorders/>
            <w:shd w:fill="CCEEFF" w:val="clear"/>
            <w:vAlign w:val="center"/>
          </w:tcPr>
          <w:p>
            <w:pPr>
              <w:pStyle w:val="TableContents"/>
              <w:bidi w:val="0"/>
              <w:spacing w:before="0" w:after="283"/>
              <w:jc w:val="right"/>
              <w:rPr/>
            </w:pPr>
            <w:r>
              <w:rPr/>
              <w:t>26</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8.01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Evidence of Action by Securityholders</w:t>
            </w:r>
          </w:p>
        </w:tc>
        <w:tc>
          <w:tcPr>
            <w:tcW w:w="276" w:type="dxa"/>
            <w:tcBorders/>
            <w:shd w:fill="FFFFFF" w:val="clear"/>
            <w:vAlign w:val="center"/>
          </w:tcPr>
          <w:p>
            <w:pPr>
              <w:pStyle w:val="TableContents"/>
              <w:bidi w:val="0"/>
              <w:spacing w:before="0" w:after="283"/>
              <w:jc w:val="right"/>
              <w:rPr/>
            </w:pPr>
            <w:r>
              <w:rPr/>
              <w:t>26</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8.02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Proof of Execution by Securityholders</w:t>
            </w:r>
          </w:p>
        </w:tc>
        <w:tc>
          <w:tcPr>
            <w:tcW w:w="276" w:type="dxa"/>
            <w:tcBorders/>
            <w:shd w:fill="CCEEFF" w:val="clear"/>
            <w:vAlign w:val="center"/>
          </w:tcPr>
          <w:p>
            <w:pPr>
              <w:pStyle w:val="TableContents"/>
              <w:bidi w:val="0"/>
              <w:spacing w:before="0" w:after="283"/>
              <w:jc w:val="right"/>
              <w:rPr/>
            </w:pPr>
            <w:r>
              <w:rPr/>
              <w:t>26</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8.03</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Who May be Deemed Owners</w:t>
            </w:r>
          </w:p>
        </w:tc>
        <w:tc>
          <w:tcPr>
            <w:tcW w:w="276" w:type="dxa"/>
            <w:tcBorders/>
            <w:shd w:fill="FFFFFF" w:val="clear"/>
            <w:vAlign w:val="center"/>
          </w:tcPr>
          <w:p>
            <w:pPr>
              <w:pStyle w:val="TableContents"/>
              <w:bidi w:val="0"/>
              <w:spacing w:before="0" w:after="283"/>
              <w:jc w:val="right"/>
              <w:rPr/>
            </w:pPr>
            <w:r>
              <w:rPr/>
              <w:t>26</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8.04</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Certain Securities Owned by Company Disregarded</w:t>
            </w:r>
          </w:p>
        </w:tc>
        <w:tc>
          <w:tcPr>
            <w:tcW w:w="276" w:type="dxa"/>
            <w:tcBorders/>
            <w:shd w:fill="CCEEFF" w:val="clear"/>
            <w:vAlign w:val="center"/>
          </w:tcPr>
          <w:p>
            <w:pPr>
              <w:pStyle w:val="TableContents"/>
              <w:bidi w:val="0"/>
              <w:spacing w:before="0" w:after="283"/>
              <w:jc w:val="right"/>
              <w:rPr/>
            </w:pPr>
            <w:r>
              <w:rPr/>
              <w:t>26</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8.05</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Actions Binding on Future Securityholders</w:t>
            </w:r>
          </w:p>
        </w:tc>
        <w:tc>
          <w:tcPr>
            <w:tcW w:w="276" w:type="dxa"/>
            <w:tcBorders/>
            <w:shd w:fill="FFFFFF" w:val="clear"/>
            <w:vAlign w:val="center"/>
          </w:tcPr>
          <w:p>
            <w:pPr>
              <w:pStyle w:val="TableContents"/>
              <w:bidi w:val="0"/>
              <w:spacing w:before="0" w:after="283"/>
              <w:jc w:val="right"/>
              <w:rPr/>
            </w:pPr>
            <w:r>
              <w:rPr/>
              <w:t>27</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8.06</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Purposes for Which Meetings May Be Called</w:t>
            </w:r>
          </w:p>
        </w:tc>
        <w:tc>
          <w:tcPr>
            <w:tcW w:w="276" w:type="dxa"/>
            <w:tcBorders/>
            <w:shd w:fill="CCEEFF" w:val="clear"/>
            <w:vAlign w:val="center"/>
          </w:tcPr>
          <w:p>
            <w:pPr>
              <w:pStyle w:val="TableContents"/>
              <w:bidi w:val="0"/>
              <w:spacing w:before="0" w:after="283"/>
              <w:jc w:val="right"/>
              <w:rPr/>
            </w:pPr>
            <w:r>
              <w:rPr/>
              <w:t>27</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8.07</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Call Notice and Place of Meetings</w:t>
            </w:r>
          </w:p>
        </w:tc>
        <w:tc>
          <w:tcPr>
            <w:tcW w:w="276" w:type="dxa"/>
            <w:tcBorders/>
            <w:shd w:fill="FFFFFF" w:val="clear"/>
            <w:vAlign w:val="center"/>
          </w:tcPr>
          <w:p>
            <w:pPr>
              <w:pStyle w:val="TableContents"/>
              <w:bidi w:val="0"/>
              <w:spacing w:before="0" w:after="283"/>
              <w:jc w:val="right"/>
              <w:rPr/>
            </w:pPr>
            <w:r>
              <w:rPr/>
              <w:t>27</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8.08</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Persons Entitled To Vote at Meetings</w:t>
            </w:r>
          </w:p>
        </w:tc>
        <w:tc>
          <w:tcPr>
            <w:tcW w:w="276" w:type="dxa"/>
            <w:tcBorders/>
            <w:shd w:fill="CCEEFF" w:val="clear"/>
            <w:vAlign w:val="center"/>
          </w:tcPr>
          <w:p>
            <w:pPr>
              <w:pStyle w:val="TableContents"/>
              <w:bidi w:val="0"/>
              <w:spacing w:before="0" w:after="283"/>
              <w:jc w:val="right"/>
              <w:rPr/>
            </w:pPr>
            <w:r>
              <w:rPr/>
              <w:t>27</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8.09</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Quorum; Action</w:t>
            </w:r>
          </w:p>
        </w:tc>
        <w:tc>
          <w:tcPr>
            <w:tcW w:w="276" w:type="dxa"/>
            <w:tcBorders/>
            <w:shd w:fill="FFFFFF" w:val="clear"/>
            <w:vAlign w:val="center"/>
          </w:tcPr>
          <w:p>
            <w:pPr>
              <w:pStyle w:val="TableContents"/>
              <w:bidi w:val="0"/>
              <w:spacing w:before="0" w:after="283"/>
              <w:jc w:val="right"/>
              <w:rPr/>
            </w:pPr>
            <w:r>
              <w:rPr/>
              <w:t>28</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8.10</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Determination of Voting Rights; Conduct and Adjournment of Meetings</w:t>
            </w:r>
          </w:p>
        </w:tc>
        <w:tc>
          <w:tcPr>
            <w:tcW w:w="276" w:type="dxa"/>
            <w:tcBorders/>
            <w:shd w:fill="CCEEFF" w:val="clear"/>
            <w:vAlign w:val="center"/>
          </w:tcPr>
          <w:p>
            <w:pPr>
              <w:pStyle w:val="TableContents"/>
              <w:bidi w:val="0"/>
              <w:spacing w:before="0" w:after="283"/>
              <w:jc w:val="right"/>
              <w:rPr/>
            </w:pPr>
            <w:r>
              <w:rPr/>
              <w:t>28</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8.11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Counting Votes and Recording Action of Meetings</w:t>
            </w:r>
          </w:p>
        </w:tc>
        <w:tc>
          <w:tcPr>
            <w:tcW w:w="276" w:type="dxa"/>
            <w:tcBorders/>
            <w:shd w:fill="FFFFFF" w:val="clear"/>
            <w:vAlign w:val="center"/>
          </w:tcPr>
          <w:p>
            <w:pPr>
              <w:pStyle w:val="TableContents"/>
              <w:bidi w:val="0"/>
              <w:spacing w:before="0" w:after="283"/>
              <w:jc w:val="right"/>
              <w:rPr/>
            </w:pPr>
            <w:r>
              <w:rPr/>
              <w:t>29</w:t>
            </w:r>
          </w:p>
        </w:tc>
      </w:tr>
      <w:tr>
        <w:trPr/>
        <w:tc>
          <w:tcPr>
            <w:tcW w:w="9929" w:type="dxa"/>
            <w:gridSpan w:val="4"/>
            <w:tcBorders/>
            <w:shd w:fill="CCEEFF" w:val="clear"/>
            <w:vAlign w:val="center"/>
          </w:tcPr>
          <w:p>
            <w:pPr>
              <w:pStyle w:val="TableContents"/>
              <w:bidi w:val="0"/>
              <w:spacing w:before="0" w:after="283"/>
              <w:jc w:val="left"/>
              <w:rPr>
                <w:sz w:val="20"/>
              </w:rPr>
            </w:pPr>
            <w:r>
              <w:rPr>
                <w:sz w:val="20"/>
              </w:rPr>
              <w:t>ARTICLE IX SUPPLEMENTAL INDENTURES</w:t>
            </w:r>
          </w:p>
        </w:tc>
        <w:tc>
          <w:tcPr>
            <w:tcW w:w="276" w:type="dxa"/>
            <w:tcBorders/>
            <w:shd w:fill="CCEEFF" w:val="clear"/>
            <w:vAlign w:val="center"/>
          </w:tcPr>
          <w:p>
            <w:pPr>
              <w:pStyle w:val="TableContents"/>
              <w:bidi w:val="0"/>
              <w:spacing w:before="0" w:after="283"/>
              <w:jc w:val="right"/>
              <w:rPr/>
            </w:pPr>
            <w:r>
              <w:rPr/>
              <w:t>29</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9.01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Supplemental Indentures Without the Consent of Securityholders</w:t>
            </w:r>
          </w:p>
        </w:tc>
        <w:tc>
          <w:tcPr>
            <w:tcW w:w="276" w:type="dxa"/>
            <w:tcBorders/>
            <w:shd w:fill="FFFFFF" w:val="clear"/>
            <w:vAlign w:val="center"/>
          </w:tcPr>
          <w:p>
            <w:pPr>
              <w:pStyle w:val="TableContents"/>
              <w:bidi w:val="0"/>
              <w:spacing w:before="0" w:after="283"/>
              <w:jc w:val="right"/>
              <w:rPr/>
            </w:pPr>
            <w:r>
              <w:rPr/>
              <w:t>29</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9.02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Supplemental Indentures With Consent of Securityholders</w:t>
            </w:r>
          </w:p>
        </w:tc>
        <w:tc>
          <w:tcPr>
            <w:tcW w:w="276" w:type="dxa"/>
            <w:tcBorders/>
            <w:shd w:fill="CCEEFF" w:val="clear"/>
            <w:vAlign w:val="center"/>
          </w:tcPr>
          <w:p>
            <w:pPr>
              <w:pStyle w:val="TableContents"/>
              <w:bidi w:val="0"/>
              <w:spacing w:before="0" w:after="283"/>
              <w:jc w:val="right"/>
              <w:rPr/>
            </w:pPr>
            <w:r>
              <w:rPr/>
              <w:t>30</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9.03</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Effect of Supplemental Indentures</w:t>
            </w:r>
          </w:p>
        </w:tc>
        <w:tc>
          <w:tcPr>
            <w:tcW w:w="276" w:type="dxa"/>
            <w:tcBorders/>
            <w:shd w:fill="FFFFFF" w:val="clear"/>
            <w:vAlign w:val="center"/>
          </w:tcPr>
          <w:p>
            <w:pPr>
              <w:pStyle w:val="TableContents"/>
              <w:bidi w:val="0"/>
              <w:spacing w:before="0" w:after="283"/>
              <w:jc w:val="right"/>
              <w:rPr/>
            </w:pPr>
            <w:r>
              <w:rPr/>
              <w:t>30</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9.04</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Securities Affected by Supplemental Indentures</w:t>
            </w:r>
          </w:p>
        </w:tc>
        <w:tc>
          <w:tcPr>
            <w:tcW w:w="276" w:type="dxa"/>
            <w:tcBorders/>
            <w:shd w:fill="CCEEFF" w:val="clear"/>
            <w:vAlign w:val="center"/>
          </w:tcPr>
          <w:p>
            <w:pPr>
              <w:pStyle w:val="TableContents"/>
              <w:bidi w:val="0"/>
              <w:spacing w:before="0" w:after="283"/>
              <w:jc w:val="right"/>
              <w:rPr/>
            </w:pPr>
            <w:r>
              <w:rPr/>
              <w:t>31</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9.05</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Execution of Supplemental Indentures</w:t>
            </w:r>
          </w:p>
        </w:tc>
        <w:tc>
          <w:tcPr>
            <w:tcW w:w="276" w:type="dxa"/>
            <w:tcBorders/>
            <w:shd w:fill="FFFFFF" w:val="clear"/>
            <w:vAlign w:val="center"/>
          </w:tcPr>
          <w:p>
            <w:pPr>
              <w:pStyle w:val="TableContents"/>
              <w:bidi w:val="0"/>
              <w:spacing w:before="0" w:after="283"/>
              <w:jc w:val="right"/>
              <w:rPr/>
            </w:pPr>
            <w:r>
              <w:rPr/>
              <w:t>31</w:t>
            </w:r>
          </w:p>
        </w:tc>
      </w:tr>
      <w:tr>
        <w:trPr/>
        <w:tc>
          <w:tcPr>
            <w:tcW w:w="9929" w:type="dxa"/>
            <w:gridSpan w:val="4"/>
            <w:tcBorders/>
            <w:shd w:fill="CCEEFF" w:val="clear"/>
            <w:vAlign w:val="center"/>
          </w:tcPr>
          <w:p>
            <w:pPr>
              <w:pStyle w:val="TableContents"/>
              <w:bidi w:val="0"/>
              <w:spacing w:before="0" w:after="283"/>
              <w:jc w:val="left"/>
              <w:rPr>
                <w:sz w:val="20"/>
              </w:rPr>
            </w:pPr>
            <w:r>
              <w:rPr>
                <w:sz w:val="20"/>
              </w:rPr>
              <w:t>ARTICLE X SUCCESSOR ENTITY</w:t>
            </w:r>
          </w:p>
        </w:tc>
        <w:tc>
          <w:tcPr>
            <w:tcW w:w="276" w:type="dxa"/>
            <w:tcBorders/>
            <w:shd w:fill="CCEEFF" w:val="clear"/>
            <w:vAlign w:val="center"/>
          </w:tcPr>
          <w:p>
            <w:pPr>
              <w:pStyle w:val="TableContents"/>
              <w:bidi w:val="0"/>
              <w:spacing w:before="0" w:after="283"/>
              <w:jc w:val="right"/>
              <w:rPr/>
            </w:pPr>
            <w:r>
              <w:rPr/>
              <w:t>31</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10.01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Company May Consolidate, Etc</w:t>
            </w:r>
          </w:p>
        </w:tc>
        <w:tc>
          <w:tcPr>
            <w:tcW w:w="276" w:type="dxa"/>
            <w:tcBorders/>
            <w:shd w:fill="FFFFFF" w:val="clear"/>
            <w:vAlign w:val="center"/>
          </w:tcPr>
          <w:p>
            <w:pPr>
              <w:pStyle w:val="TableContents"/>
              <w:bidi w:val="0"/>
              <w:spacing w:before="0" w:after="283"/>
              <w:jc w:val="right"/>
              <w:rPr/>
            </w:pPr>
            <w:r>
              <w:rPr/>
              <w:t>31</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10.02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Successor Entity Substituted</w:t>
            </w:r>
          </w:p>
        </w:tc>
        <w:tc>
          <w:tcPr>
            <w:tcW w:w="276" w:type="dxa"/>
            <w:tcBorders/>
            <w:shd w:fill="CCEEFF" w:val="clear"/>
            <w:vAlign w:val="center"/>
          </w:tcPr>
          <w:p>
            <w:pPr>
              <w:pStyle w:val="TableContents"/>
              <w:bidi w:val="0"/>
              <w:spacing w:before="0" w:after="283"/>
              <w:jc w:val="right"/>
              <w:rPr/>
            </w:pPr>
            <w:r>
              <w:rPr/>
              <w:t>32</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10.03</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Evidence of Consolidation, Etc. to Trustee</w:t>
            </w:r>
          </w:p>
        </w:tc>
        <w:tc>
          <w:tcPr>
            <w:tcW w:w="276" w:type="dxa"/>
            <w:tcBorders/>
            <w:shd w:fill="FFFFFF" w:val="clear"/>
            <w:vAlign w:val="center"/>
          </w:tcPr>
          <w:p>
            <w:pPr>
              <w:pStyle w:val="TableContents"/>
              <w:bidi w:val="0"/>
              <w:spacing w:before="0" w:after="283"/>
              <w:jc w:val="right"/>
              <w:rPr/>
            </w:pPr>
            <w:r>
              <w:rPr/>
              <w:t>32</w:t>
            </w:r>
          </w:p>
        </w:tc>
      </w:tr>
      <w:tr>
        <w:trPr/>
        <w:tc>
          <w:tcPr>
            <w:tcW w:w="9929" w:type="dxa"/>
            <w:gridSpan w:val="4"/>
            <w:tcBorders/>
            <w:shd w:fill="CCEEFF" w:val="clear"/>
            <w:vAlign w:val="center"/>
          </w:tcPr>
          <w:p>
            <w:pPr>
              <w:pStyle w:val="TableContents"/>
              <w:bidi w:val="0"/>
              <w:spacing w:before="0" w:after="283"/>
              <w:jc w:val="left"/>
              <w:rPr>
                <w:sz w:val="20"/>
              </w:rPr>
            </w:pPr>
            <w:r>
              <w:rPr>
                <w:sz w:val="20"/>
              </w:rPr>
              <w:t>ARTICLE XI SATISFACTION AND DISCHARGE</w:t>
            </w:r>
          </w:p>
        </w:tc>
        <w:tc>
          <w:tcPr>
            <w:tcW w:w="276" w:type="dxa"/>
            <w:tcBorders/>
            <w:shd w:fill="CCEEFF" w:val="clear"/>
            <w:vAlign w:val="center"/>
          </w:tcPr>
          <w:p>
            <w:pPr>
              <w:pStyle w:val="TableContents"/>
              <w:bidi w:val="0"/>
              <w:spacing w:before="0" w:after="283"/>
              <w:jc w:val="right"/>
              <w:rPr/>
            </w:pPr>
            <w:r>
              <w:rPr/>
              <w:t>32</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11.01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Satisfaction and Discharge of Indenture</w:t>
            </w:r>
          </w:p>
        </w:tc>
        <w:tc>
          <w:tcPr>
            <w:tcW w:w="276" w:type="dxa"/>
            <w:tcBorders/>
            <w:shd w:fill="FFFFFF" w:val="clear"/>
            <w:vAlign w:val="center"/>
          </w:tcPr>
          <w:p>
            <w:pPr>
              <w:pStyle w:val="TableContents"/>
              <w:bidi w:val="0"/>
              <w:spacing w:before="0" w:after="283"/>
              <w:jc w:val="right"/>
              <w:rPr/>
            </w:pPr>
            <w:r>
              <w:rPr/>
              <w:t>32</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11.02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Discharge of Obligations</w:t>
            </w:r>
          </w:p>
        </w:tc>
        <w:tc>
          <w:tcPr>
            <w:tcW w:w="276" w:type="dxa"/>
            <w:tcBorders/>
            <w:shd w:fill="CCEEFF" w:val="clear"/>
            <w:vAlign w:val="center"/>
          </w:tcPr>
          <w:p>
            <w:pPr>
              <w:pStyle w:val="TableContents"/>
              <w:bidi w:val="0"/>
              <w:spacing w:before="0" w:after="283"/>
              <w:jc w:val="right"/>
              <w:rPr/>
            </w:pPr>
            <w:r>
              <w:rPr/>
              <w:t>33</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11.03</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Deposited Moneys to be Held in Trust</w:t>
            </w:r>
          </w:p>
        </w:tc>
        <w:tc>
          <w:tcPr>
            <w:tcW w:w="276" w:type="dxa"/>
            <w:tcBorders/>
            <w:shd w:fill="FFFFFF" w:val="clear"/>
            <w:vAlign w:val="center"/>
          </w:tcPr>
          <w:p>
            <w:pPr>
              <w:pStyle w:val="TableContents"/>
              <w:bidi w:val="0"/>
              <w:spacing w:before="0" w:after="283"/>
              <w:jc w:val="right"/>
              <w:rPr/>
            </w:pPr>
            <w:r>
              <w:rPr/>
              <w:t>33</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11.04</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Payment of Moneys Held by Paying Agents</w:t>
            </w:r>
          </w:p>
        </w:tc>
        <w:tc>
          <w:tcPr>
            <w:tcW w:w="276" w:type="dxa"/>
            <w:tcBorders/>
            <w:shd w:fill="CCEEFF" w:val="clear"/>
            <w:vAlign w:val="center"/>
          </w:tcPr>
          <w:p>
            <w:pPr>
              <w:pStyle w:val="TableContents"/>
              <w:bidi w:val="0"/>
              <w:spacing w:before="0" w:after="283"/>
              <w:jc w:val="right"/>
              <w:rPr/>
            </w:pPr>
            <w:r>
              <w:rPr/>
              <w:t>33</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11.05</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Repayment to Company</w:t>
            </w:r>
          </w:p>
        </w:tc>
        <w:tc>
          <w:tcPr>
            <w:tcW w:w="276" w:type="dxa"/>
            <w:tcBorders/>
            <w:shd w:fill="FFFFFF" w:val="clear"/>
            <w:vAlign w:val="center"/>
          </w:tcPr>
          <w:p>
            <w:pPr>
              <w:pStyle w:val="TableContents"/>
              <w:bidi w:val="0"/>
              <w:spacing w:before="0" w:after="283"/>
              <w:jc w:val="right"/>
              <w:rPr/>
            </w:pPr>
            <w:r>
              <w:rPr/>
              <w:t>33</w:t>
            </w:r>
          </w:p>
        </w:tc>
      </w:tr>
      <w:tr>
        <w:trPr/>
        <w:tc>
          <w:tcPr>
            <w:tcW w:w="9929" w:type="dxa"/>
            <w:gridSpan w:val="4"/>
            <w:tcBorders/>
            <w:shd w:fill="CCEEFF" w:val="clear"/>
            <w:vAlign w:val="center"/>
          </w:tcPr>
          <w:p>
            <w:pPr>
              <w:pStyle w:val="TableContents"/>
              <w:bidi w:val="0"/>
              <w:spacing w:before="0" w:after="283"/>
              <w:jc w:val="left"/>
              <w:rPr>
                <w:sz w:val="20"/>
              </w:rPr>
            </w:pPr>
            <w:r>
              <w:rPr>
                <w:sz w:val="20"/>
              </w:rPr>
              <w:t>ARTICLE XII IMMUNITY OF INCORPORATORS, STOCKHOLDERS, OFFICERS AND DIRECTORS</w:t>
            </w:r>
          </w:p>
        </w:tc>
        <w:tc>
          <w:tcPr>
            <w:tcW w:w="276" w:type="dxa"/>
            <w:tcBorders/>
            <w:shd w:fill="CCEEFF" w:val="clear"/>
            <w:vAlign w:val="center"/>
          </w:tcPr>
          <w:p>
            <w:pPr>
              <w:pStyle w:val="TableContents"/>
              <w:bidi w:val="0"/>
              <w:spacing w:before="0" w:after="283"/>
              <w:jc w:val="right"/>
              <w:rPr/>
            </w:pPr>
            <w:r>
              <w:rPr/>
              <w:t>33</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12.01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No Recourse</w:t>
            </w:r>
          </w:p>
        </w:tc>
        <w:tc>
          <w:tcPr>
            <w:tcW w:w="276" w:type="dxa"/>
            <w:tcBorders/>
            <w:shd w:fill="FFFFFF" w:val="clear"/>
            <w:vAlign w:val="center"/>
          </w:tcPr>
          <w:p>
            <w:pPr>
              <w:pStyle w:val="TableContents"/>
              <w:bidi w:val="0"/>
              <w:spacing w:before="0" w:after="283"/>
              <w:jc w:val="right"/>
              <w:rPr/>
            </w:pPr>
            <w:r>
              <w:rPr/>
              <w:t>33</w:t>
            </w:r>
          </w:p>
        </w:tc>
      </w:tr>
      <w:tr>
        <w:trPr/>
        <w:tc>
          <w:tcPr>
            <w:tcW w:w="9929" w:type="dxa"/>
            <w:gridSpan w:val="4"/>
            <w:tcBorders/>
            <w:shd w:fill="CCEEFF" w:val="clear"/>
            <w:vAlign w:val="center"/>
          </w:tcPr>
          <w:p>
            <w:pPr>
              <w:pStyle w:val="TableContents"/>
              <w:bidi w:val="0"/>
              <w:spacing w:before="0" w:after="283"/>
              <w:jc w:val="left"/>
              <w:rPr>
                <w:sz w:val="20"/>
              </w:rPr>
            </w:pPr>
            <w:r>
              <w:rPr>
                <w:sz w:val="20"/>
              </w:rPr>
              <w:t>ARTICLE XIII MISCELLANEOUS PROVISIONS</w:t>
            </w:r>
          </w:p>
        </w:tc>
        <w:tc>
          <w:tcPr>
            <w:tcW w:w="276" w:type="dxa"/>
            <w:tcBorders/>
            <w:shd w:fill="CCEEFF" w:val="clear"/>
            <w:vAlign w:val="center"/>
          </w:tcPr>
          <w:p>
            <w:pPr>
              <w:pStyle w:val="TableContents"/>
              <w:bidi w:val="0"/>
              <w:spacing w:before="0" w:after="283"/>
              <w:jc w:val="right"/>
              <w:rPr/>
            </w:pPr>
            <w:r>
              <w:rPr/>
              <w:t>34</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13.01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Effect on Successors and Assigns</w:t>
            </w:r>
          </w:p>
        </w:tc>
        <w:tc>
          <w:tcPr>
            <w:tcW w:w="276" w:type="dxa"/>
            <w:tcBorders/>
            <w:shd w:fill="FFFFFF" w:val="clear"/>
            <w:vAlign w:val="center"/>
          </w:tcPr>
          <w:p>
            <w:pPr>
              <w:pStyle w:val="TableContents"/>
              <w:bidi w:val="0"/>
              <w:spacing w:before="0" w:after="283"/>
              <w:jc w:val="right"/>
              <w:rPr/>
            </w:pPr>
            <w:r>
              <w:rPr/>
              <w:t>34</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13.02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Actions by Successor</w:t>
            </w:r>
          </w:p>
        </w:tc>
        <w:tc>
          <w:tcPr>
            <w:tcW w:w="276" w:type="dxa"/>
            <w:tcBorders/>
            <w:shd w:fill="CCEEFF" w:val="clear"/>
            <w:vAlign w:val="center"/>
          </w:tcPr>
          <w:p>
            <w:pPr>
              <w:pStyle w:val="TableContents"/>
              <w:bidi w:val="0"/>
              <w:spacing w:before="0" w:after="283"/>
              <w:jc w:val="right"/>
              <w:rPr/>
            </w:pPr>
            <w:r>
              <w:rPr/>
              <w:t>34</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13.03</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Surrender of Company Powers</w:t>
            </w:r>
          </w:p>
        </w:tc>
        <w:tc>
          <w:tcPr>
            <w:tcW w:w="276" w:type="dxa"/>
            <w:tcBorders/>
            <w:shd w:fill="FFFFFF" w:val="clear"/>
            <w:vAlign w:val="center"/>
          </w:tcPr>
          <w:p>
            <w:pPr>
              <w:pStyle w:val="TableContents"/>
              <w:bidi w:val="0"/>
              <w:spacing w:before="0" w:after="283"/>
              <w:jc w:val="right"/>
              <w:rPr/>
            </w:pPr>
            <w:r>
              <w:rPr/>
              <w:t>34</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13.04</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Notices</w:t>
            </w:r>
          </w:p>
        </w:tc>
        <w:tc>
          <w:tcPr>
            <w:tcW w:w="276" w:type="dxa"/>
            <w:tcBorders/>
            <w:shd w:fill="CCEEFF" w:val="clear"/>
            <w:vAlign w:val="center"/>
          </w:tcPr>
          <w:p>
            <w:pPr>
              <w:pStyle w:val="TableContents"/>
              <w:bidi w:val="0"/>
              <w:spacing w:before="0" w:after="283"/>
              <w:jc w:val="right"/>
              <w:rPr/>
            </w:pPr>
            <w:r>
              <w:rPr/>
              <w:t>34</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13.05</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Governing Law</w:t>
            </w:r>
          </w:p>
        </w:tc>
        <w:tc>
          <w:tcPr>
            <w:tcW w:w="276" w:type="dxa"/>
            <w:tcBorders/>
            <w:shd w:fill="FFFFFF" w:val="clear"/>
            <w:vAlign w:val="center"/>
          </w:tcPr>
          <w:p>
            <w:pPr>
              <w:pStyle w:val="TableContents"/>
              <w:bidi w:val="0"/>
              <w:spacing w:before="0" w:after="283"/>
              <w:jc w:val="right"/>
              <w:rPr/>
            </w:pPr>
            <w:r>
              <w:rPr/>
              <w:t>34</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13.06</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Treatment of Securities as Debt</w:t>
            </w:r>
          </w:p>
        </w:tc>
        <w:tc>
          <w:tcPr>
            <w:tcW w:w="276" w:type="dxa"/>
            <w:tcBorders/>
            <w:shd w:fill="CCEEFF" w:val="clear"/>
            <w:vAlign w:val="center"/>
          </w:tcPr>
          <w:p>
            <w:pPr>
              <w:pStyle w:val="TableContents"/>
              <w:bidi w:val="0"/>
              <w:spacing w:before="0" w:after="283"/>
              <w:jc w:val="right"/>
              <w:rPr/>
            </w:pPr>
            <w:r>
              <w:rPr/>
              <w:t>34</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13.07</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Compliance Certificates and Opinions</w:t>
            </w:r>
          </w:p>
        </w:tc>
        <w:tc>
          <w:tcPr>
            <w:tcW w:w="276" w:type="dxa"/>
            <w:tcBorders/>
            <w:shd w:fill="FFFFFF" w:val="clear"/>
            <w:vAlign w:val="center"/>
          </w:tcPr>
          <w:p>
            <w:pPr>
              <w:pStyle w:val="TableContents"/>
              <w:bidi w:val="0"/>
              <w:spacing w:before="0" w:after="283"/>
              <w:jc w:val="right"/>
              <w:rPr/>
            </w:pPr>
            <w:r>
              <w:rPr/>
              <w:t>35</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13.08</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Payments on Business Days</w:t>
            </w:r>
          </w:p>
        </w:tc>
        <w:tc>
          <w:tcPr>
            <w:tcW w:w="276" w:type="dxa"/>
            <w:tcBorders/>
            <w:shd w:fill="CCEEFF" w:val="clear"/>
            <w:vAlign w:val="center"/>
          </w:tcPr>
          <w:p>
            <w:pPr>
              <w:pStyle w:val="TableContents"/>
              <w:bidi w:val="0"/>
              <w:spacing w:before="0" w:after="283"/>
              <w:jc w:val="right"/>
              <w:rPr/>
            </w:pPr>
            <w:r>
              <w:rPr/>
              <w:t>35</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13.09</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Conflict with Trust Indenture Act</w:t>
            </w:r>
          </w:p>
        </w:tc>
        <w:tc>
          <w:tcPr>
            <w:tcW w:w="276" w:type="dxa"/>
            <w:tcBorders/>
            <w:shd w:fill="FFFFFF" w:val="clear"/>
            <w:vAlign w:val="center"/>
          </w:tcPr>
          <w:p>
            <w:pPr>
              <w:pStyle w:val="TableContents"/>
              <w:bidi w:val="0"/>
              <w:spacing w:before="0" w:after="283"/>
              <w:jc w:val="right"/>
              <w:rPr/>
            </w:pPr>
            <w:r>
              <w:rPr/>
              <w:t>35</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13.10</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Counterparts</w:t>
            </w:r>
          </w:p>
        </w:tc>
        <w:tc>
          <w:tcPr>
            <w:tcW w:w="276" w:type="dxa"/>
            <w:tcBorders/>
            <w:shd w:fill="CCEEFF" w:val="clear"/>
            <w:vAlign w:val="center"/>
          </w:tcPr>
          <w:p>
            <w:pPr>
              <w:pStyle w:val="TableContents"/>
              <w:bidi w:val="0"/>
              <w:spacing w:before="0" w:after="283"/>
              <w:jc w:val="right"/>
              <w:rPr/>
            </w:pPr>
            <w:r>
              <w:rPr/>
              <w:t>35</w:t>
            </w:r>
          </w:p>
        </w:tc>
      </w:tr>
      <w:tr>
        <w:trPr/>
        <w:tc>
          <w:tcPr>
            <w:tcW w:w="263" w:type="dxa"/>
            <w:tcBorders/>
            <w:shd w:fill="FFFFFF" w:val="clear"/>
            <w:vAlign w:val="center"/>
          </w:tcPr>
          <w:p>
            <w:pPr>
              <w:pStyle w:val="TableContents"/>
              <w:bidi w:val="0"/>
              <w:spacing w:before="0" w:after="283"/>
              <w:jc w:val="left"/>
              <w:rPr/>
            </w:pPr>
            <w:r>
              <w:rPr/>
              <w:t> </w:t>
            </w:r>
          </w:p>
        </w:tc>
        <w:tc>
          <w:tcPr>
            <w:tcW w:w="1878" w:type="dxa"/>
            <w:tcBorders/>
            <w:shd w:fill="FFFFFF" w:val="clear"/>
            <w:vAlign w:val="center"/>
          </w:tcPr>
          <w:p>
            <w:pPr>
              <w:pStyle w:val="TableContents"/>
              <w:bidi w:val="0"/>
              <w:spacing w:before="0" w:after="283"/>
              <w:jc w:val="left"/>
              <w:rPr>
                <w:sz w:val="20"/>
              </w:rPr>
            </w:pPr>
            <w:r>
              <w:rPr>
                <w:sz w:val="20"/>
              </w:rPr>
              <w:t>SECTION 13.11</w:t>
            </w:r>
          </w:p>
        </w:tc>
        <w:tc>
          <w:tcPr>
            <w:tcW w:w="88" w:type="dxa"/>
            <w:tcBorders/>
            <w:shd w:fill="FFFFFF" w:val="clear"/>
            <w:vAlign w:val="center"/>
          </w:tcPr>
          <w:p>
            <w:pPr>
              <w:pStyle w:val="TableContents"/>
              <w:bidi w:val="0"/>
              <w:spacing w:before="0" w:after="283"/>
              <w:jc w:val="left"/>
              <w:rPr/>
            </w:pPr>
            <w:r>
              <w:rPr/>
              <w:t> </w:t>
            </w:r>
          </w:p>
        </w:tc>
        <w:tc>
          <w:tcPr>
            <w:tcW w:w="7700" w:type="dxa"/>
            <w:tcBorders/>
            <w:shd w:fill="FFFFFF" w:val="clear"/>
            <w:vAlign w:val="center"/>
          </w:tcPr>
          <w:p>
            <w:pPr>
              <w:pStyle w:val="TableContents"/>
              <w:bidi w:val="0"/>
              <w:spacing w:before="0" w:after="283"/>
              <w:jc w:val="left"/>
              <w:rPr>
                <w:sz w:val="20"/>
              </w:rPr>
            </w:pPr>
            <w:r>
              <w:rPr>
                <w:sz w:val="20"/>
              </w:rPr>
              <w:t>Separability</w:t>
            </w:r>
          </w:p>
        </w:tc>
        <w:tc>
          <w:tcPr>
            <w:tcW w:w="276" w:type="dxa"/>
            <w:tcBorders/>
            <w:shd w:fill="FFFFFF" w:val="clear"/>
            <w:vAlign w:val="center"/>
          </w:tcPr>
          <w:p>
            <w:pPr>
              <w:pStyle w:val="TableContents"/>
              <w:bidi w:val="0"/>
              <w:spacing w:before="0" w:after="283"/>
              <w:jc w:val="right"/>
              <w:rPr/>
            </w:pPr>
            <w:r>
              <w:rPr/>
              <w:t>35</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13.12</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Assignment</w:t>
            </w:r>
          </w:p>
        </w:tc>
        <w:tc>
          <w:tcPr>
            <w:tcW w:w="276" w:type="dxa"/>
            <w:tcBorders/>
            <w:shd w:fill="CCEEFF" w:val="clear"/>
            <w:vAlign w:val="center"/>
          </w:tcPr>
          <w:p>
            <w:pPr>
              <w:pStyle w:val="TableContents"/>
              <w:bidi w:val="0"/>
              <w:spacing w:before="0" w:after="283"/>
              <w:jc w:val="right"/>
              <w:rPr/>
            </w:pPr>
            <w:r>
              <w:rPr/>
              <w:t>35</w:t>
            </w:r>
          </w:p>
        </w:tc>
      </w:tr>
      <w:tr>
        <w:trPr/>
        <w:tc>
          <w:tcPr>
            <w:tcW w:w="9929" w:type="dxa"/>
            <w:gridSpan w:val="4"/>
            <w:tcBorders/>
            <w:shd w:fill="FFFFFF" w:val="clear"/>
            <w:vAlign w:val="center"/>
          </w:tcPr>
          <w:p>
            <w:pPr>
              <w:pStyle w:val="TableContents"/>
              <w:bidi w:val="0"/>
              <w:spacing w:before="0" w:after="283"/>
              <w:jc w:val="left"/>
              <w:rPr>
                <w:sz w:val="20"/>
              </w:rPr>
            </w:pPr>
            <w:r>
              <w:rPr>
                <w:sz w:val="20"/>
              </w:rPr>
              <w:t>ARTICLE XIV SUBORDINATION OF SECURITIES</w:t>
            </w:r>
          </w:p>
        </w:tc>
        <w:tc>
          <w:tcPr>
            <w:tcW w:w="276" w:type="dxa"/>
            <w:tcBorders/>
            <w:shd w:fill="FFFFFF" w:val="clear"/>
            <w:vAlign w:val="center"/>
          </w:tcPr>
          <w:p>
            <w:pPr>
              <w:pStyle w:val="TableContents"/>
              <w:bidi w:val="0"/>
              <w:spacing w:before="0" w:after="283"/>
              <w:jc w:val="right"/>
              <w:rPr/>
            </w:pPr>
            <w:r>
              <w:rPr/>
              <w:t>36</w:t>
            </w:r>
          </w:p>
        </w:tc>
      </w:tr>
      <w:tr>
        <w:trPr/>
        <w:tc>
          <w:tcPr>
            <w:tcW w:w="263" w:type="dxa"/>
            <w:tcBorders/>
            <w:shd w:fill="CCEEFF" w:val="clear"/>
            <w:vAlign w:val="center"/>
          </w:tcPr>
          <w:p>
            <w:pPr>
              <w:pStyle w:val="TableContents"/>
              <w:bidi w:val="0"/>
              <w:spacing w:before="0" w:after="283"/>
              <w:jc w:val="left"/>
              <w:rPr/>
            </w:pPr>
            <w:r>
              <w:rPr/>
              <w:t> </w:t>
            </w:r>
          </w:p>
        </w:tc>
        <w:tc>
          <w:tcPr>
            <w:tcW w:w="1878" w:type="dxa"/>
            <w:tcBorders/>
            <w:shd w:fill="CCEEFF" w:val="clear"/>
            <w:vAlign w:val="center"/>
          </w:tcPr>
          <w:p>
            <w:pPr>
              <w:pStyle w:val="TableContents"/>
              <w:bidi w:val="0"/>
              <w:spacing w:before="0" w:after="283"/>
              <w:jc w:val="left"/>
              <w:rPr>
                <w:sz w:val="20"/>
              </w:rPr>
            </w:pPr>
            <w:r>
              <w:rPr>
                <w:sz w:val="20"/>
              </w:rPr>
              <w:t>SECTION 14.01</w:t>
            </w:r>
          </w:p>
        </w:tc>
        <w:tc>
          <w:tcPr>
            <w:tcW w:w="88" w:type="dxa"/>
            <w:tcBorders/>
            <w:shd w:fill="CCEEFF" w:val="clear"/>
            <w:vAlign w:val="center"/>
          </w:tcPr>
          <w:p>
            <w:pPr>
              <w:pStyle w:val="TableContents"/>
              <w:bidi w:val="0"/>
              <w:spacing w:before="0" w:after="283"/>
              <w:jc w:val="left"/>
              <w:rPr/>
            </w:pPr>
            <w:r>
              <w:rPr/>
              <w:t> </w:t>
            </w:r>
          </w:p>
        </w:tc>
        <w:tc>
          <w:tcPr>
            <w:tcW w:w="7700" w:type="dxa"/>
            <w:tcBorders/>
            <w:shd w:fill="CCEEFF" w:val="clear"/>
            <w:vAlign w:val="center"/>
          </w:tcPr>
          <w:p>
            <w:pPr>
              <w:pStyle w:val="TableContents"/>
              <w:bidi w:val="0"/>
              <w:spacing w:before="0" w:after="283"/>
              <w:jc w:val="left"/>
              <w:rPr>
                <w:sz w:val="20"/>
              </w:rPr>
            </w:pPr>
            <w:r>
              <w:rPr>
                <w:sz w:val="20"/>
              </w:rPr>
              <w:t>Subordination Terms</w:t>
            </w:r>
          </w:p>
        </w:tc>
        <w:tc>
          <w:tcPr>
            <w:tcW w:w="276" w:type="dxa"/>
            <w:tcBorders/>
            <w:shd w:fill="CCEEFF" w:val="clear"/>
            <w:vAlign w:val="center"/>
          </w:tcPr>
          <w:p>
            <w:pPr>
              <w:pStyle w:val="TableContents"/>
              <w:bidi w:val="0"/>
              <w:spacing w:before="0" w:after="283"/>
              <w:jc w:val="right"/>
              <w:rPr/>
            </w:pPr>
            <w:r>
              <w:rPr/>
              <w:t>36</w:t>
            </w:r>
          </w:p>
        </w:tc>
      </w:tr>
      <w:tr>
        <w:trPr/>
        <w:tc>
          <w:tcPr>
            <w:tcW w:w="263" w:type="dxa"/>
            <w:tcBorders/>
            <w:shd w:fill="FFFFFF" w:val="clear"/>
            <w:vAlign w:val="center"/>
          </w:tcPr>
          <w:p>
            <w:pPr>
              <w:pStyle w:val="TableContents"/>
              <w:bidi w:val="0"/>
              <w:spacing w:before="0" w:after="283"/>
              <w:jc w:val="left"/>
              <w:rPr>
                <w:sz w:val="20"/>
              </w:rPr>
            </w:pPr>
            <w:r>
              <w:rPr>
                <w:sz w:val="20"/>
              </w:rPr>
              <w:t>(2)</w:t>
            </w:r>
          </w:p>
        </w:tc>
        <w:tc>
          <w:tcPr>
            <w:tcW w:w="9666" w:type="dxa"/>
            <w:gridSpan w:val="3"/>
            <w:tcBorders/>
            <w:shd w:fill="FFFFFF" w:val="clear"/>
            <w:vAlign w:val="center"/>
          </w:tcPr>
          <w:p>
            <w:pPr>
              <w:pStyle w:val="TableContents"/>
              <w:bidi w:val="0"/>
              <w:spacing w:before="0" w:after="283"/>
              <w:jc w:val="both"/>
              <w:rPr>
                <w:sz w:val="20"/>
              </w:rPr>
            </w:pPr>
            <w:r>
              <w:rPr>
                <w:sz w:val="20"/>
              </w:rPr>
              <w:t>This Table of Contents does not constitute part of the Indenture and shall not have any bearing on the interpretation of any of its terms and provisions.</w:t>
            </w:r>
          </w:p>
        </w:tc>
        <w:tc>
          <w:tcPr>
            <w:tcW w:w="27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INDENTURE, dated as of [  ], by and between Microbot Medical Inc., a Delaware corporation (the “Company”), and [  ], as trustee (the “Trustee”):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all things necessary to make this Indenture a valid agreement of the Company, in accordance with its terms, have been done.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NOW, THEREFORE, in consideration of the premises and the purchase of the Securities by the holders thereof, it is mutually covenanted and agreed as follows for the equal and ratable benefit of the holders of Securities:</w:t>
      </w:r>
    </w:p>
    <w:p>
      <w:pPr>
        <w:pStyle w:val="TextBody"/>
        <w:bidi w:val="0"/>
        <w:spacing w:before="0" w:after="0"/>
        <w:jc w:val="center"/>
        <w:rPr>
          <w:caps/>
          <w:color w:val="000000"/>
        </w:rPr>
      </w:pPr>
      <w:r>
        <w:rPr>
          <w:caps/>
          <w:color w:val="000000"/>
        </w:rPr>
        <w:t> </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I</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DEFINITIONS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1.01 Definitions of Terms.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Authenticating Agent” means an authenticating agent with respect to all or any of the series of Securities appointed with respect to all or any series of the Securities by the Trustee pursuant to Section 2.10.</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Bankruptcy Law” means Title 11, U.S. Code, or any similar federal or state law for the relief of debtors.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Board of Directors” means the Board of Directors of the Company or any duly authorized committee of such Board.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Board Resolution” means a copy of a resolution certified by the Secretary or an Assistant Secretary of the Company to have been duly adopted by the Board of Directors and to be in full force and effect on the date of such certification.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Certificate” means a certificate signed by the principal executive officer, the principal financial officer or the principal accounting officer of the Company. The Certificate need not comply with the provisions of Section 13.07.</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Commission” means the Securities and Exchange Commission.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Custodian” means any receiver, trustee, assignee, liquidator, or similar official under any Bankruptcy Law.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Default” means an event which is, or after notice or lapse of time, or both, would constitute an Event of Default.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Event of Default” means, with respect to Securities of a particular series, any event specified in Section 6.01, continued for the period of time, if any, therein designated.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Exchange Act” means the Securities Exchange Act of 1934, as amended.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herein,” “hereof” and “hereunder,”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Indenture” means this instrument as originally executed or as it may from time to time be supplemented or amended by one or more indentures supplemental hereto entered into in accordance with the terms 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Opinion of Counsel” means a written opinion of counsel, who may be counsel to the Company (and may include directors or employees of the Company) and which opinion is acceptable to the Trustee which acceptance shall not be unreasonably withheld.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Person” means any individual, corporation, limited liability company, partnership, joint-venture, association, joint-stock company, trust, estate, unincorporated organization or government or any agency or political subdivision thereof.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Securities” means the debt Securities authenticated and delivered under this Indenture.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Security Register” has the meaning specified in Section 2.05.</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Security Registrar” has the meaning specified in Section 2.05.</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Securityholder,” “holder of Securities,” “registered holder,” or other similar term, means the Person or Persons in whose name or names a particular Security shall be registered in the Security Register.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II</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ISSUE, DESCRIPTION, TERMS, EXECUTION,</w:t>
        <w:br/>
        <w:t>REGISTRATION AND EXCHANGE OF SECURITIES</w:t>
      </w:r>
    </w:p>
    <w:p>
      <w:pPr>
        <w:pStyle w:val="TextBody"/>
        <w:bidi w:val="0"/>
        <w:spacing w:before="0" w:after="0"/>
        <w:jc w:val="center"/>
        <w:rPr>
          <w:caps/>
          <w:color w:val="000000"/>
        </w:rPr>
      </w:pPr>
      <w:r>
        <w:rPr>
          <w:caps/>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2.01 Designation and Terms of Securities.</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tc>
      </w:tr>
    </w:tbl>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title of the Security of the series (which shall distinguish the Securities of the series from all other Securities);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date or dates on which the principal of the Securities of the series is payable and the place(s) of payment;</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rate or rates at which the Securities of the series shall bear interest or the manner of calculation of such rate or rates, if any;</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right, if any, to extend the interest payment periods or to defer the payment of interest and the duration of such extension;</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period or periods within which, the price or prices at which and the terms and conditions upon which, Securities of the series may be redeemed, in whole or in part, at the option of the Company;</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tc>
      </w:tr>
    </w:tbl>
    <w:p>
      <w:pPr>
        <w:pStyle w:val="TextBody"/>
        <w:bidi w:val="0"/>
        <w:spacing w:before="0" w:after="0"/>
        <w:jc w:val="left"/>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form of the Securities of the series including the form of the Certificate of Authentication for such series;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other than denominations of one thousand U.S. dollars ($1,000) or any integral multiple thereof, the denominations in which the Securities of the series shall be issuable;</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whether the Securities are issuable as a Global Security and, in such case, the identity of the Depositary for such series;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whether the Securities will be convertible into shares of common stock or other securities of the Company and, if so, the terms and conditions upon which such Securities will be so convertible, including the conversion price and the conversion period;</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other than the principal amount thereof, the portion of the principal amount of Securities of the series which shall be payable upon declaration of acceleration of the maturity thereof pursuant to Section 6.01;</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82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additional or different Events of Default or restrictive covenants provided for with respect to the Securities of the series; and</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30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tc>
        <w:tc>
          <w:tcPr>
            <w:tcW w:w="982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subordination terms of the Securities of the series.</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 Securities of any one series shall be substantially identical except as to denomination and except as may otherwise be provided in or pursuant to any such Board Resolution or in any indentures supplemental 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2.02 Form of Securities and Trustee’s Certificate.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2.03 Denominations: Provisions for Payment.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88"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4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2.04 Execution and Authentications.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2.05 Registration of Transfer and Exchange.</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tc>
      </w:tr>
    </w:tbl>
    <w:p>
      <w:pPr>
        <w:pStyle w:val="TextBody"/>
        <w:bidi w:val="0"/>
        <w:spacing w:before="0" w:after="0"/>
        <w:jc w:val="left"/>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6"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6"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6"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6"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2.06 Temporary Securities.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2.07 Mutilated, Destroyed, Lost or Stolen Securities.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2.08 Cancellation.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2.09 Benefits of Indenture.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2.10 Authenticating Agent.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2.11 Global Securities</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4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7"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994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tc>
      </w:tr>
    </w:tbl>
    <w:p>
      <w:pPr>
        <w:pStyle w:val="TextBody"/>
        <w:bidi w:val="0"/>
        <w:spacing w:before="0" w:after="0"/>
        <w:jc w:val="center"/>
        <w:rPr>
          <w:caps/>
          <w:color w:val="000000"/>
        </w:rPr>
      </w:pPr>
      <w:r>
        <w:rPr>
          <w:caps/>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left"/>
        <w:rPr>
          <w:caps/>
          <w:color w:val="000000"/>
        </w:rPr>
      </w:pPr>
      <w:r>
        <w:rPr>
          <w:caps/>
          <w:color w:val="000000"/>
        </w:rPr>
        <w:t> </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III</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REDEMPTION OF SECURITIES AND</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SINKING FUND PROVISIONS</w:t>
      </w:r>
    </w:p>
    <w:p>
      <w:pPr>
        <w:pStyle w:val="TextBody"/>
        <w:bidi w:val="0"/>
        <w:spacing w:before="0" w:after="0"/>
        <w:jc w:val="center"/>
        <w:rPr>
          <w:caps/>
          <w:color w:val="000000"/>
        </w:rPr>
      </w:pPr>
      <w:r>
        <w:rPr>
          <w:caps/>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3.01 Redemption.</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3.02 Notice of Redemption.</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7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tc>
      </w:tr>
    </w:tbl>
    <w:p>
      <w:pPr>
        <w:pStyle w:val="TextBody"/>
        <w:bidi w:val="0"/>
        <w:spacing w:before="0" w:after="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3.03 Payment Upon Redemption.</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40"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3.04 Sinking Fund.</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3.05 Satisfaction of Sinking Fund Payments with Securities.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3.06 Redemption of Securities for Sinking Fund.</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firstLine="72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IV</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COVENANTS</w:t>
      </w:r>
    </w:p>
    <w:p>
      <w:pPr>
        <w:pStyle w:val="TextBody"/>
        <w:bidi w:val="0"/>
        <w:spacing w:before="0" w:after="0"/>
        <w:jc w:val="center"/>
        <w:rPr>
          <w:caps/>
          <w:color w:val="000000"/>
        </w:rPr>
      </w:pPr>
      <w:r>
        <w:rPr>
          <w:caps/>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4.01 Payment of Principal, Premium and Interest.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will duly and punctually pay or cause to be paid the principal of (and premium, if any) and interest on the Securities of that series at the time and place and in the manner provided herein and established with respect to such Securities.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4.02 Maintenance of Office or Agency.</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4.03 Paying Agents.</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tc>
      </w:tr>
    </w:tbl>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2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2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that it will, at any time during the continuance of any failure referred to in the preceding paragraph (a)(2) above, upon the written request of the Trustee, forthwith pay to the Trustee all sums so held in trust by such paying agent; and</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23"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that it will perform all other duties of paying agent as set forth in this Indenture.</w:t>
            </w:r>
          </w:p>
        </w:tc>
      </w:tr>
    </w:tbl>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tc>
      </w:tr>
    </w:tbl>
    <w:p>
      <w:pPr>
        <w:pStyle w:val="TextBody"/>
        <w:bidi w:val="0"/>
        <w:spacing w:before="0" w:after="0"/>
        <w:jc w:val="left"/>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4.04 Appointment to Fill Vacancy in Office of Trustee.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4.05 Compliance with Consolidation Provisions.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V</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SECURITYHOLDERS’ LISTS AND REPORTS BY THE COMPANY AND THE TRUSTEE</w:t>
      </w:r>
    </w:p>
    <w:p>
      <w:pPr>
        <w:pStyle w:val="TextBody"/>
        <w:bidi w:val="0"/>
        <w:spacing w:before="0" w:after="0"/>
        <w:jc w:val="center"/>
        <w:rPr>
          <w:caps/>
          <w:color w:val="000000"/>
        </w:rPr>
      </w:pPr>
      <w:r>
        <w:rPr>
          <w:caps/>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5.01 Company to Furnish Trustee Names and Addresses of Securityholders.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5.02 Preservation of Information; Communications with Securityholders.</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Trustee may destroy any list furnished to it as provided in Section 5.01 upon receipt of a new list so furnished.</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3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Securityholders may communicate as provided in Section 312(b) of the Trust Indenture Act with other Securityholders with respect to their rights under this Indenture or under the Securities.</w:t>
            </w:r>
          </w:p>
        </w:tc>
      </w:tr>
    </w:tbl>
    <w:p>
      <w:pPr>
        <w:pStyle w:val="TextBody"/>
        <w:bidi w:val="0"/>
        <w:spacing w:before="0" w:after="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5.03 Reports by the Company.</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8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4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8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4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189"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41"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bl>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5.04 Reports by the Trustee.</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20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28"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tc>
      </w:tr>
      <w:tr>
        <w:trPr/>
        <w:tc>
          <w:tcPr>
            <w:tcW w:w="75"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202"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c>
          <w:tcPr>
            <w:tcW w:w="9928" w:type="dxa"/>
            <w:tcBorders/>
            <w:vAlign w:val="center"/>
          </w:tcPr>
          <w:p>
            <w:pPr>
              <w:pStyle w:val="TableContents"/>
              <w:bidi w:val="0"/>
              <w:spacing w:before="0" w:after="283"/>
              <w:jc w:val="both"/>
              <w:rPr>
                <w:caps w:val="false"/>
                <w:smallCaps w:val="false"/>
                <w:color w:val="000000"/>
              </w:rPr>
            </w:pPr>
            <w:r>
              <w:rPr>
                <w:caps w:val="false"/>
                <w:smallCaps w:val="false"/>
                <w:color w:val="000000"/>
              </w:rPr>
              <w:t> </w:t>
            </w:r>
          </w:p>
        </w:tc>
      </w:tr>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tc>
      </w:tr>
    </w:tbl>
    <w:p>
      <w:pPr>
        <w:pStyle w:val="TextBody"/>
        <w:bidi w:val="0"/>
        <w:spacing w:before="0" w:after="0"/>
        <w:jc w:val="center"/>
        <w:rPr>
          <w:caps/>
          <w:color w:val="000000"/>
        </w:rPr>
      </w:pPr>
      <w:r>
        <w:rPr>
          <w:caps/>
          <w:color w:val="000000"/>
        </w:rPr>
        <w:t> </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ARTICLE VI</w:t>
      </w:r>
    </w:p>
    <w:p>
      <w:pPr>
        <w:pStyle w:val="TextBody"/>
        <w:bidi w:val="0"/>
        <w:spacing w:before="0" w:after="0"/>
        <w:jc w:val="center"/>
        <w:rPr>
          <w:rFonts w:ascii="Times New Roman;Times;Serif" w:hAnsi="Times New Roman;Times;Serif"/>
          <w:b w:val="false"/>
          <w:i w:val="false"/>
          <w:caps/>
          <w:color w:val="000000"/>
          <w:sz w:val="20"/>
        </w:rPr>
      </w:pPr>
      <w:r>
        <w:rPr>
          <w:rFonts w:ascii="Times New Roman;Times;Serif" w:hAnsi="Times New Roman;Times;Serif"/>
          <w:b w:val="false"/>
          <w:i w:val="false"/>
          <w:caps/>
          <w:color w:val="000000"/>
          <w:sz w:val="20"/>
        </w:rPr>
        <w:t>REMEDIES OF THE TRUSTEE AND SECURITYHOLDERS ON EVENT OF DEFAULT</w:t>
      </w:r>
    </w:p>
    <w:p>
      <w:pPr>
        <w:pStyle w:val="TextBody"/>
        <w:bidi w:val="0"/>
        <w:spacing w:before="0" w:after="0"/>
        <w:jc w:val="center"/>
        <w:rPr>
          <w:caps/>
          <w:color w:val="000000"/>
        </w:rPr>
      </w:pPr>
      <w:r>
        <w:rPr>
          <w:caps/>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6.01 Events of Default.</w:t>
      </w:r>
    </w:p>
    <w:p>
      <w:pPr>
        <w:pStyle w:val="TextBody"/>
        <w:bidi w:val="0"/>
        <w:spacing w:before="0" w:after="0"/>
        <w:jc w:val="both"/>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Whenever used herein with respect to Securities of a particular series, “Event of Default” means any one or more of the following events that has occurred and is continuing:</w:t>
            </w:r>
          </w:p>
        </w:tc>
      </w:tr>
    </w:tbl>
    <w:p>
      <w:pPr>
        <w:pStyle w:val="TextBody"/>
        <w:bidi w:val="0"/>
        <w:spacing w:before="0" w:after="0"/>
        <w:jc w:val="left"/>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tc>
      </w:tr>
    </w:tbl>
    <w:p>
      <w:pPr>
        <w:pStyle w:val="TextBody"/>
        <w:bidi w:val="0"/>
        <w:spacing w:before="0" w:after="0"/>
        <w:jc w:val="both"/>
        <w:rPr>
          <w:caps w:val="false"/>
          <w:smallCaps w:val="false"/>
          <w:color w:val="000000"/>
        </w:rPr>
      </w:pPr>
      <w:r>
        <w:rPr>
          <w:caps w:val="false"/>
          <w:smallCaps w:val="false"/>
          <w:color w:val="000000"/>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89"/>
        <w:gridCol w:w="9881"/>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8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Collection of Indebtedness and Suits for Enforcement by Trustee.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9"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Application of Moneys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1"/>
        <w:gridCol w:w="93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w:t>
            </w:r>
          </w:p>
        </w:tc>
        <w:tc>
          <w:tcPr>
            <w:tcW w:w="93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payment of costs and expenses of collection and of all amounts payable to the Trustee under Section 7.06;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caps w:val="false"/>
                <w:smallCaps w:val="false"/>
              </w:rPr>
            </w:pPr>
            <w:r>
              <w:rPr>
                <w:caps w:val="false"/>
                <w:smallCaps w:val="false"/>
              </w:rPr>
              <w:t> </w:t>
            </w:r>
          </w:p>
        </w:tc>
        <w:tc>
          <w:tcPr>
            <w:tcW w:w="93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w:t>
            </w:r>
          </w:p>
        </w:tc>
        <w:tc>
          <w:tcPr>
            <w:tcW w:w="93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payment of all Senior Indebtedness of the Company if and to the extent required by Article XIV;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caps w:val="false"/>
                <w:smallCaps w:val="false"/>
              </w:rPr>
            </w:pPr>
            <w:r>
              <w:rPr>
                <w:caps w:val="false"/>
                <w:smallCaps w:val="false"/>
              </w:rPr>
              <w:t> </w:t>
            </w:r>
          </w:p>
        </w:tc>
        <w:tc>
          <w:tcPr>
            <w:tcW w:w="93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w:t>
            </w:r>
          </w:p>
        </w:tc>
        <w:tc>
          <w:tcPr>
            <w:tcW w:w="93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Limitation 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Rights and Remedies Cumulative; Delay or Omission Not Waiver.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6" w:type="dxa"/>
            <w:tcBorders/>
            <w:vAlign w:val="center"/>
          </w:tcPr>
          <w:p>
            <w:pPr>
              <w:pStyle w:val="TableContents"/>
              <w:bidi w:val="0"/>
              <w:spacing w:before="0" w:after="283"/>
              <w:jc w:val="both"/>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Control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Undertaking to Pay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TRUSTEE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Certain Duties and Responsibilities of Trustee.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204"/>
        <w:gridCol w:w="220"/>
        <w:gridCol w:w="9574"/>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8"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8"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9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979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5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5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5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5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9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liable for any error of judgment made in good faith by a Responsible Officer or Responsible Officers of the Trustee, unless it shall be proved that the Trustee, was negligent in ascertaining the pertinent facts;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tc>
      </w:tr>
    </w:tbl>
    <w:p>
      <w:pPr>
        <w:pStyle w:val="TextBody"/>
        <w:bidi w:val="0"/>
        <w:spacing w:before="0" w:after="283"/>
        <w:jc w:val="left"/>
        <w:rPr/>
      </w:pPr>
      <w: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Certain Rights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consult with counsel and the written advice of such counsel or any Opinion of Counsel shall be full and complete authorization and protection in respect of any action taken or suffered or omitted hereunder in good faith and in reliance thereon;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Trustee Not Responsible for Recitals or Issuance of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May Hold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Moneys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Compensation and Reimbursement.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Reliance on Officers’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Disqualification; Conflicting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Corporate Trustee Required;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Resignation and Removal; Appointment of Successor.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215"/>
        <w:gridCol w:w="9760"/>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any time any one of the following shall occur:</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7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caps w:val="false"/>
                <w:smallCaps w:val="false"/>
              </w:rPr>
            </w:pPr>
            <w:r>
              <w:rPr>
                <w:caps w:val="false"/>
                <w:smallCaps w:val="false"/>
              </w:rPr>
              <w:t> </w:t>
            </w:r>
          </w:p>
        </w:tc>
        <w:tc>
          <w:tcPr>
            <w:tcW w:w="97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90"/>
        <w:gridCol w:w="9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Acceptance of Appointment By Successor.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Merger, Conversion, Consolidation or Succession to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Preferential Collection of Claims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SECURITYHOLDERS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Evidence of Action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Proof of Execution by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Who May be Deemed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Certain Securities Owned by Company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Actions Binding on Future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Purposes for Which Meetings May Be Called.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Article VIII, the Trustee may, during the pendency of a Default or an Event of Default, call a meeting of holders of any series of Securities in accordance with its standard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Call Notice and Place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Persons Entitled To Vote at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Quorum;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passed or decisions taken at any meeting of holders of Securities duly held in accordance with this Section shall be binding on all the holders of Securities of such series, whether or not present or represented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Determination of Voting Rights; Conduct and Adjournment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5" w:type="dxa"/>
            <w:tcBorders/>
            <w:vAlign w:val="center"/>
          </w:tcPr>
          <w:p>
            <w:pPr>
              <w:pStyle w:val="TableContents"/>
              <w:bidi w:val="0"/>
              <w:spacing w:before="0" w:after="283"/>
              <w:jc w:val="both"/>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Counting Votes and Recording Action of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SUPPLEMENTAL INDENTURES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Supplemental Indentures Without the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Article 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uncertificated Securities in addition to or in place of certificated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2" w:type="dxa"/>
            <w:tcBorders/>
            <w:vAlign w:val="center"/>
          </w:tcPr>
          <w:p>
            <w:pPr>
              <w:pStyle w:val="TableContents"/>
              <w:bidi w:val="0"/>
              <w:spacing w:before="0" w:after="283"/>
              <w:jc w:val="both"/>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rights of any Securityholder in any material respect;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 requirements of the Commission in order to effect or maintain the qualification of this Indenture under the Trust Indenture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Supplemental Indentures With Consent of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Effect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Securities Affected by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Execution of 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SUCCESSOR ENTITY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Company May Consolidate,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Successor Entity Substituted.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Evidence of Consolidation, Etc. to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Satisfaction and Discharge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Discharge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Deposited Moneys to be Held in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Payment of Moneys Held by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Repayment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IMMUNITY OF INCORPORATORS, STOCKHOLDERS, OFFICERS AND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No Recourse.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XIII</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 PROVISIONS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Effect on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contained by or on behalf of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Actions by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Surrender of Company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Microbot Medical Inc., Attn: [ ], 25 Recreation Park Drive, Unit 108, Hingham, MA 02043.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deemed to be a contract made under the internal laws of the State of New York, and for all purposes shall be construed in accordance with the laws of said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 Treatment of Securities as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 Compliance Certificates and Opinions.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 Payments on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13.09 Conflict with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Sections 310 to 317, inclusive, of the Trust Indenture Act, such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13.10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13.11 Separability.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13.12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XIV</w:t>
        <w:br/>
        <w:t>SUBORDINATION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Subordination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by the Company of the principal of, premium, if any, and interest on any series of Securities issued hereunder shall be subordinated to the extent set forth in an indenture supplemental hereto relating to the Securities of such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75"/>
        <w:gridCol w:w="1101"/>
        <w:gridCol w:w="13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caps w:val="false"/>
                <w:smallCaps w:val="false"/>
              </w:rPr>
            </w:pPr>
            <w:r>
              <w:rPr>
                <w:caps w:val="false"/>
                <w:smallCaps w:val="false"/>
              </w:rPr>
              <w:t> </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6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caps w:val="false"/>
                <w:smallCaps w:val="false"/>
              </w:rPr>
            </w:pPr>
            <w:r>
              <w:rPr>
                <w:caps w:val="false"/>
                <w:smallCaps w:val="false"/>
              </w:rPr>
              <w:t> </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6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6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54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ex5-1.htm"/>
      <w:bookmarkStart w:id="23" w:name="ksex5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195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3619500" cy="723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Writer’s Direct Dial: 516-663-6600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Writer’s Direct Fax: 516-663-6601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50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 Grove Street, Suite 388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Braintree, Massachusetts 02184</w:t>
      </w:r>
    </w:p>
    <w:p>
      <w:pPr>
        <w:pStyle w:val="TextBody"/>
        <w:bidi w:val="0"/>
        <w:spacing w:before="0" w:after="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305"/>
        <w:gridCol w:w="551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 Statement on Form S-3 Filed by Microbot Medical Inc.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Microbot Medical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to be filed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Under the Registration Statement, the Company may offer and sell from time to time, on a delayed or continuous basis pursuant to the provisions of Rule 415 under the Securities Act as set forth in the prospectus contained in the Registration Statement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and as may be set forth in one or more supplements to the Base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(i) shares of common stock of the Company, $0.01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(ii) shares of preferred stock of the Company, in one or more series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(iii) the Company’s debt securities, in one or more series, consisting of notes, debentures, bonds and other evidences of indebtedness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which Debt Securities may be senior Debt Securities (the “</w:t>
      </w:r>
      <w:r>
        <w:rPr>
          <w:rFonts w:ascii="Times New Roman;Times;Serif" w:hAnsi="Times New Roman;Times;Serif"/>
          <w:b w:val="false"/>
          <w:i w:val="false"/>
          <w:caps w:val="false"/>
          <w:smallCaps w:val="false"/>
          <w:sz w:val="20"/>
          <w:u w:val="single"/>
        </w:rPr>
        <w:t>Senior Debt Securities</w:t>
      </w:r>
      <w:r>
        <w:rPr>
          <w:rFonts w:ascii="Times New Roman;Times;Serif" w:hAnsi="Times New Roman;Times;Serif"/>
          <w:b w:val="false"/>
          <w:i w:val="false"/>
          <w:caps w:val="false"/>
          <w:smallCaps w:val="false"/>
          <w:sz w:val="20"/>
        </w:rPr>
        <w:t>”) and/or subordinated Debt Securities (the “</w:t>
      </w:r>
      <w:r>
        <w:rPr>
          <w:rFonts w:ascii="Times New Roman;Times;Serif" w:hAnsi="Times New Roman;Times;Serif"/>
          <w:b w:val="false"/>
          <w:i w:val="false"/>
          <w:caps w:val="false"/>
          <w:smallCaps w:val="false"/>
          <w:sz w:val="20"/>
          <w:u w:val="single"/>
        </w:rPr>
        <w:t>Subordinated Debt Securities</w:t>
      </w:r>
      <w:r>
        <w:rPr>
          <w:rFonts w:ascii="Times New Roman;Times;Serif" w:hAnsi="Times New Roman;Times;Serif"/>
          <w:b w:val="false"/>
          <w:i w:val="false"/>
          <w:caps w:val="false"/>
          <w:smallCaps w:val="false"/>
          <w:sz w:val="20"/>
        </w:rPr>
        <w:t>”); (iv)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Common Stock, Preferred Stock and/or Debt Securities; (v) rights to purchase Common Stock, Preferred Stock and/or Debt Securities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(vi) units comprised of Common Stock, Debt Securities and/or Warrants to purchase shares of Common Stock, Preferred Stock and/or Debt Securities in any combination of the foregoing (the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and (vii) any combination of the Common Stock, Preferred Stock, Warrants, Debt Securities, Rights and/or the Units (collectively referred to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and sometimes individually as a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The maximum public offering price of the Securities being registered is $75,000,000. The Securities may be offered separately or as part of units with other Securities, in separate series, in amounts, at prices, and on terms to be set forth in the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your permission, all assumptions herein have been made without any independent investigation or verification on our part except to the extent otherwise expressly stated, and we express no opinion with respect to the accuracy of such assumptions or items relied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(i) investigated such questions of law, (ii) examined originals or certified, conformed or reproduction copies of such agreements, instruments, documents and records of the Company, such certificates of public officials and such other documents, and (iii) received such information from officers and representatives of the Company and others, in each case, as we have deemed necessary or appropriate for purposes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all such investigations and examinations, we have assumed the legal capacity of all natural persons, the genuineness of all signatures, the authenticity of original and certified documents and the conformity to original or certified documents of all copies submitted to us as conformed or reproduction copies. </w:t>
      </w:r>
      <w:r>
        <w:rPr>
          <w:rFonts w:ascii="Times New Roman;Times;Serif" w:hAnsi="Times New Roman;Times;Serif"/>
          <w:b w:val="false"/>
          <w:i w:val="false"/>
          <w:caps w:val="false"/>
          <w:smallCaps w:val="false"/>
          <w:sz w:val="20"/>
          <w:shd w:fill="FFFFFF" w:val="clear"/>
        </w:rPr>
        <w:t>We have assumed further that any Securities that are issued and delivered, and the issuance thereof, will comply with all requirements and restrictions, if any, applicable to the Company, whether imposed by any agreement or instrument to which the Company is a party or by which it is bound or any court or governmental or regulatory body having jurisdiction over the Company or otherwise.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Common Stock (including any such shares of Common Stock comprising a Unit) will be duly authorized, validly issued, fully paid and non-assessable when: (i) the Board of Directors (or a duly authorized committee thereof) has taken all necessary corporate action to approve the issuance of the Common Stock in accordance with the Company’s certificate of incorporation,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and applicable law, which corporate action shall remain in full force and effect, without amendment or modification, at all times at which such Common Stock is offered and sold by the Company; and (ii) (A) the Common Stock is issued in uncertificated form and delivered in accordance with DWAC through the facilities of the Depository Trust Company, or (B) the certificates representing the Common Stock shall have been duly executed, countersigned, registered and duly delivered to the purchasers thereof, in each case against payment of the agreed consideration therefor in accordance with the applicable underwriting, purchase or similar agreement or upon exchange in accordance with the terms of any other Security, or upon exercise or conversion of any other Security in accordance with the terms thereof, that has been duly authorized, issued, paid for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series of Preferred Stock (including any such Preferred Stock comprising a Unit) will be duly authorized, validly issued, fully paid and non-assessable when: (i) the Board of Directors of the Company (or a duly authorized committee thereof) has taken all necessary corporate action to approve the issuance of such Preferred Stock and to establish the terms and conditions thereof in accordance with the Certificate of Incorporation and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which corporate action shall remain in full force and effect, without amendment or modification, at all times at which such Preferred Stock is offered and sold by the Company; (ii) the certificate of designations to the Certificate of Incorporation establishing the designations, preferences and rights of the series of Preferred Stock being issued and delivered have been duly filed with the Delaware Secretary of State; and (iii) (A) the Preferred Stock is issued in uncertificated form and delivered in accordance with DWAC through the facilities of the Depository Trust Company, or (B) the certificates representing such series of Preferred Stock shall have been duly executed, countersigned, registered and duly sold and delivered to the purchasers thereof, in each case against payment of the agreed consideration thereof in accordance with the applicable underwriting, purchase or similar agreement or upon exchange or conversion in accordance with the terms of any other Security, or upon exercise of any other Security in accordance with the terms thereof, that has been duly authorized, issued, paid for and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series of Debt Securities (including any such Debt Securities comprising a Unit) will constitute a valid and binding obligation of the Company, enforceable against the Company in accordance with their terms, when (i) the Board of Directors of the Company (or a duly authorized committee thereof) has taken all necessary corporate action to approve the issuance of such Debt Securities and to establish the terms and conditions thereof in accordance with the indenture pursuant to which the Debt Securities are to be issued, which is substantially in the form of the indenture filed as Exhibit 4.4 (with respect to Senior Debt Securities) or Exhibit 4.5 (with respect to Subordinate Debt Securities) to the Registration Statement (in either case, as applicable,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and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which corporate action shall remain in full force and effect, without amendment or modification, at all times at which the Debt Securities of such series are offered and sold by the Company; (ii) the Indenture and any necessary supplemental indenture to the Indenture (each, a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shall have been duly authorized, executed and delivered by the Company and the trustee to be named in the Prospectus Supplement relating to the offering of the Debt Securities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(iii) the Trustee is eligible under the Trust Indenture Act of 1939, as amended, to act in such capacity under the Indenture and has been duly appointed and a Statement of Eligibility of Trustee on Form T-1 has been filed in compliance with the Securities Act and the rules and regulations promulgated thereunder; (iv) the Debt Securities of such series shall have been issued in the form and containing the terms described in the Registration Statement, any applicable Prospectus Supplements, the Indenture, any applicable Supplemental Indenture and the corporate action; and (v) the Debt Securities of such series shall have been duly authenticated, executed, sold and delivered in accordance with the Indenture and any applicable Supplemental Indenture against payment of the agreed consideration therefor in accordance with the applicable underwriting, purchase or similar agreement or upon exchange in accordance with the terms of any other Security, or upon exercise of any other Security in accordance with the terms thereof, that has been duly authorized, issued, paid for and delivered.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Each series of Warrants (including any Warrants comprising a Unit) will constitute the valid and binding obligations of the Company, enforceable against the Company in accordance with their terms, when: (i) such Warrants shall have been duly authorized, executed and delivered by the Company; (ii) the Board of Directors of the Company (or a duly authorized committee thereof) shall have taken all necessary corporate action to approve the issuance of such Warrants and to establish the terms and conditions thereof in accordance with the Certificate of Incorporation and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which action shall remain in full force and effect, without amendment or modification, at all times at which such Warrants are offered and sold by the Company; and (iii) such Warrants shall have been duly executed and authenticated or countersigned as provided in the applicable warrant agreement relating thereto and duly sold and delivered to the purchasers thereof against payment of the agreed consideration therefor in accordance with the applicable underwriting, purchase or similar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Each series of Rights (including any Rights comprising a Unit) will constitute the valid and binding obligations of the Company, enforceable against the Company in accordance with their terms, when: (i) such Rights shall have been duly authorized, executed and delivered by the Company; (ii) the Board of Directors of the Company (or a duly authorized committee thereof) shall have taken all necessary corporate action to approve the issuance of such Rights and to establish the terms and conditions thereof in accordance with the Certificate of Incorporation and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which action shall remain in full force and effect, without amendment or modification, at all times at which such Rights are offered and sold by the Company; and (iii) such Rights shall have been duly executed and authenticated or countersigned as provided in the applicable rights agreement relating thereto and duly sold and delivered to the purchasers thereof against payment of the agreed consideration therefor in accordance with the applicable underwriting, purchase or similar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Each series of Units will constitute the valid and binding obligations of the Company, enforceable against the Company in accordance with their terms, when: (i) such Units shall have been duly authorized, executed and delivered by the Company; (ii) the Board of Directors of the Company (or a duly authorized committee thereof) shall have taken all necessary corporate action to approve the issuance of such Units and to establish the terms and conditions thereof in accordance with the Certificate of Incorporation and so as not to violate any applicable law, rule or regulation or result in a default under or breach of any agreement or instrument binding upon the Company and so as to comply with any applicable requirement or restriction imposed by any court or governmental body having jurisdiction over the Company, which action shall remain in full force and effect, without amendment or modification, at all times at which such Rights are offered and sold by the Company; and (iii) such Units shall have been duly executed and authenticated or countersigned as provided in the applicable rights agreement relating thereto and duly sold and delivered to the purchasers thereof against payment of the agreed consideration therefor in accordance with the applicable underwriting, purchase or similar agreement.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limited to the applicable (i) federal law of the United States, (ii) the law of the State of New York and (iii) the General Corporation Law of the State of Delaware, each as in effect on the date on which the Commission declares the Registration Statement effective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and no opinion is expressed with respect to such laws as subsequently amended, or any other laws, or any effect that such amended or other laws may have on the opinions expressed herein. The foregoing opinions are limited to matters stated herein, and no opinion is implied or may be inferred beyond the matters expressly stated herein. The foregoing opinions are given as of the Effective Date, and we undertake no obligation to advise you of any changes in applicable laws after the Effective Date or of any facts that might change the opinions expressed herein that we may become aware of after the Effective Date. Our opinions are also subject to the following exceptions, limitations and qualifications: (i) the effect of applicable bankruptcy, insolvency, reorganization, moratorium, fraudulent transfer or similar laws relating to or affecting creditors’ rights and remedies; and (ii) the effect of general principles of equity, whether raised in an action at law or in equity (including the possible unavailability of specific performance or injunctive relief), concepts of materiality, reasonableness, good faith and fair dealing, and the discretion of the court before which any proceeding therefor may be brought.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assume that, at or prior to the time of delivery of any such Security: (i) the Registration Statement (and any post-effective amendment thereof) shall have been declared effective and such effectiveness shall not have been terminated or rescinded; (ii) any necessary Prospectus Supplement with respect to such Security shall have been timely filed with the Commission and any required exhibits shall have been timely filed with the Commission in an amendment to the Registration Statement; (iii) the Indenture (and any Supplemental Indenture) has been duly authorized, executed and delivered by the Trustee and is a valid and binding obligation of the Trustee; (iv) the Indenture has become duly qualified under the Trust Indenture Act of 1939, as amended; (v) none of the terms of any Security to be established subsequent to the date hereof, nor the issuance and delivery of such Security, nor the compliance by the Company with the terms of such Security will violate any applicable law or will result in a violation of any provision of any instrument or agreement then binding upon the Company or any restriction imposed by any court or governmental body having jurisdiction over the Company; and (vi) a sufficient number of shares of Common Stock or Preferred Stock, as the case may be, will be authorized and available for issuance and the consideration thereof will not be less than the par value of the shares of Common Stock or Preferred Stock, as the case may be.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intended solely for the benefit of the Company, and may not be relied upon for any other purpose or by any other person or entity without our prior written consent, except that we consent to the filing of this opinion as Exhibit 5.1 to the Registration Statement and to the reference to us under the heading “Legal Matters” in the Base Prospectus, and each related Prospectus Supplement. In giving this consent, we do not admit that we are experts within the meaning of Section 11 of the Securities Act, or within the category of persons whose consent is required under Section 7 of said Act.</w:t>
      </w:r>
    </w:p>
    <w:p>
      <w:pPr>
        <w:pStyle w:val="TextBody"/>
        <w:bidi w:val="0"/>
        <w:spacing w:before="0" w:after="0"/>
        <w:jc w:val="center"/>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Ruskin Moscou Faltischek, P.C.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RUSKIN MOSCOU FALTISCHEK, P.C.</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caps w:val="false"/>
          <w:smallCaps w:val="false"/>
        </w:rPr>
      </w:pPr>
      <w:bookmarkStart w:id="24" w:name="ex23-2.htm"/>
      <w:bookmarkStart w:id="25" w:name="ksex232"/>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31, 2023 relating to the financial statements of Microbot Medical Inc. appearing in the Annual Report on Form 10-K of Microbot Medical Inc. for the year ended December 31, 2022.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right"/>
        <w:rPr/>
      </w:pPr>
      <w:bookmarkStart w:id="26" w:name="ex107.htm"/>
      <w:bookmarkStart w:id="27" w:name="ksex107"/>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75"/>
        <w:gridCol w:w="60"/>
        <w:gridCol w:w="1735"/>
        <w:gridCol w:w="60"/>
        <w:gridCol w:w="1099"/>
        <w:gridCol w:w="60"/>
        <w:gridCol w:w="200"/>
        <w:gridCol w:w="720"/>
        <w:gridCol w:w="95"/>
        <w:gridCol w:w="60"/>
        <w:gridCol w:w="197"/>
        <w:gridCol w:w="708"/>
        <w:gridCol w:w="95"/>
        <w:gridCol w:w="60"/>
        <w:gridCol w:w="140"/>
        <w:gridCol w:w="1100"/>
        <w:gridCol w:w="95"/>
        <w:gridCol w:w="60"/>
        <w:gridCol w:w="60"/>
        <w:gridCol w:w="1160"/>
        <w:gridCol w:w="60"/>
        <w:gridCol w:w="60"/>
        <w:gridCol w:w="182"/>
        <w:gridCol w:w="888"/>
        <w:gridCol w:w="76"/>
      </w:tblGrid>
      <w:tr>
        <w:trPr/>
        <w:tc>
          <w:tcPr>
            <w:tcW w:w="1175"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pPr>
            <w:r>
              <w:rPr/>
              <w:t> </w:t>
            </w:r>
          </w:p>
        </w:tc>
        <w:tc>
          <w:tcPr>
            <w:tcW w:w="1735"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Title</w:t>
            </w:r>
          </w:p>
        </w:tc>
        <w:tc>
          <w:tcPr>
            <w:tcW w:w="60" w:type="dxa"/>
            <w:tcBorders/>
            <w:tcMar>
              <w:bottom w:w="0" w:type="dxa"/>
            </w:tcMar>
            <w:vAlign w:val="center"/>
          </w:tcPr>
          <w:p>
            <w:pPr>
              <w:pStyle w:val="TableContents"/>
              <w:bidi w:val="0"/>
              <w:spacing w:before="0" w:after="283"/>
              <w:jc w:val="left"/>
              <w:rPr/>
            </w:pPr>
            <w:r>
              <w:rPr/>
              <w:t> </w:t>
            </w:r>
          </w:p>
        </w:tc>
        <w:tc>
          <w:tcPr>
            <w:tcW w:w="1099" w:type="dxa"/>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Calculation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Carry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Rule</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Fee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c>
          <w:tcPr>
            <w:tcW w:w="76"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center"/>
              <w:rPr/>
            </w:pPr>
            <w:r>
              <w:rPr/>
              <w:t>Common Stock, $0.01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pPr>
            <w:r>
              <w:rPr/>
              <w:t>Rule 457(o)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center"/>
              <w:rPr/>
            </w:pPr>
            <w:r>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center"/>
              <w:rPr/>
            </w:pPr>
            <w:r>
              <w:rPr/>
              <w:t>Preferred Stock, $0.01 par value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9" w:type="dxa"/>
            <w:tcBorders/>
            <w:shd w:fill="FFFFFF" w:val="clear"/>
            <w:tcMar>
              <w:bottom w:w="0" w:type="dxa"/>
            </w:tcMar>
            <w:vAlign w:val="center"/>
          </w:tcPr>
          <w:p>
            <w:pPr>
              <w:pStyle w:val="TableContents"/>
              <w:bidi w:val="0"/>
              <w:spacing w:before="0" w:after="283"/>
              <w:jc w:val="center"/>
              <w:rPr/>
            </w:pPr>
            <w:r>
              <w:rPr/>
              <w:t>Rule 457(o)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center"/>
              <w:rPr/>
            </w:pPr>
            <w:r>
              <w:rPr/>
              <w:t>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pPr>
            <w:r>
              <w:rPr/>
              <w:t>Rule 457(o)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center"/>
              <w:rPr/>
            </w:pPr>
            <w:r>
              <w:rPr/>
              <w:t>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center"/>
              <w:rPr/>
            </w:pPr>
            <w:r>
              <w:rPr/>
              <w:t>Debt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9" w:type="dxa"/>
            <w:tcBorders/>
            <w:shd w:fill="FFFFFF" w:val="clear"/>
            <w:tcMar>
              <w:bottom w:w="0" w:type="dxa"/>
            </w:tcMar>
            <w:vAlign w:val="center"/>
          </w:tcPr>
          <w:p>
            <w:pPr>
              <w:pStyle w:val="TableContents"/>
              <w:bidi w:val="0"/>
              <w:spacing w:before="0" w:after="283"/>
              <w:jc w:val="center"/>
              <w:rPr/>
            </w:pPr>
            <w:r>
              <w:rPr/>
              <w:t>Rule 457(o)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center"/>
              <w:rPr/>
            </w:pPr>
            <w:r>
              <w:rPr/>
              <w:t>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pPr>
            <w:r>
              <w:rPr/>
              <w:t>Rule 457(o)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88" w:type="dxa"/>
            <w:tcBorders/>
            <w:shd w:fill="CCEEFF" w:val="clear"/>
            <w:tcMar>
              <w:bottom w:w="0" w:type="dxa"/>
            </w:tcMar>
            <w:vAlign w:val="center"/>
          </w:tcPr>
          <w:p>
            <w:pPr>
              <w:pStyle w:val="TableContents"/>
              <w:bidi w:val="0"/>
              <w:spacing w:before="0" w:after="283"/>
              <w:jc w:val="righ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center"/>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center"/>
              <w:rPr/>
            </w:pPr>
            <w:r>
              <w:rPr/>
              <w:t>Units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9" w:type="dxa"/>
            <w:tcBorders/>
            <w:shd w:fill="FFFFFF" w:val="clear"/>
            <w:tcMar>
              <w:bottom w:w="0" w:type="dxa"/>
            </w:tcMar>
            <w:vAlign w:val="center"/>
          </w:tcPr>
          <w:p>
            <w:pPr>
              <w:pStyle w:val="TableContents"/>
              <w:bidi w:val="0"/>
              <w:spacing w:before="0" w:after="283"/>
              <w:jc w:val="center"/>
              <w:rPr/>
            </w:pPr>
            <w:r>
              <w:rPr/>
              <w:t>Rule 457(o)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Unallocated</w:t>
              <w:br/>
              <w:t>(Universal)</w:t>
              <w:br/>
              <w:t>Shelf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center"/>
              <w:rPr/>
            </w:pPr>
            <w:r>
              <w:rPr/>
              <w:t>Rule 457(o)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720"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75,000,000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0.00014760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888" w:type="dxa"/>
            <w:tcBorders/>
            <w:shd w:fill="CCEEFF" w:val="clear"/>
            <w:tcMar>
              <w:bottom w:w="0" w:type="dxa"/>
            </w:tcMar>
            <w:vAlign w:val="center"/>
          </w:tcPr>
          <w:p>
            <w:pPr>
              <w:pStyle w:val="TableContents"/>
              <w:bidi w:val="0"/>
              <w:spacing w:before="0" w:after="283"/>
              <w:jc w:val="right"/>
              <w:rPr/>
            </w:pPr>
            <w:r>
              <w:rPr/>
              <w:t>11,070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109" w:type="dxa"/>
            <w:gridSpan w:val="8"/>
            <w:tcBorders/>
            <w:shd w:fill="FFFFFF" w:val="clear"/>
            <w:tcMar>
              <w:bottom w:w="0" w:type="dxa"/>
            </w:tcMar>
            <w:vAlign w:val="center"/>
          </w:tcPr>
          <w:p>
            <w:pPr>
              <w:pStyle w:val="TableContents"/>
              <w:bidi w:val="0"/>
              <w:spacing w:before="0" w:after="283"/>
              <w:jc w:val="center"/>
              <w:rPr/>
            </w:pPr>
            <w:r>
              <w:rPr/>
              <w:t>Total Offering Amounts</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75,000,000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88" w:type="dxa"/>
            <w:tcBorders/>
            <w:shd w:fill="FFFFFF" w:val="clear"/>
            <w:tcMar>
              <w:bottom w:w="0" w:type="dxa"/>
            </w:tcMar>
            <w:vAlign w:val="center"/>
          </w:tcPr>
          <w:p>
            <w:pPr>
              <w:pStyle w:val="TableContents"/>
              <w:bidi w:val="0"/>
              <w:spacing w:before="0" w:after="283"/>
              <w:jc w:val="right"/>
              <w:rPr/>
            </w:pPr>
            <w:r>
              <w:rPr/>
              <w:t>11,070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5109" w:type="dxa"/>
            <w:gridSpan w:val="8"/>
            <w:tcBorders/>
            <w:shd w:fill="CCEEFF" w:val="clear"/>
            <w:tcMar>
              <w:bottom w:w="0" w:type="dxa"/>
            </w:tcMar>
            <w:vAlign w:val="center"/>
          </w:tcPr>
          <w:p>
            <w:pPr>
              <w:pStyle w:val="TableContents"/>
              <w:bidi w:val="0"/>
              <w:spacing w:before="0" w:after="283"/>
              <w:jc w:val="center"/>
              <w:rPr/>
            </w:pPr>
            <w:r>
              <w:rPr/>
              <w:t>Total Fee Offsets</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888" w:type="dxa"/>
            <w:tcBorders/>
            <w:shd w:fill="CCEEFF" w:val="clear"/>
            <w:tcMar>
              <w:bottom w:w="0" w:type="dxa"/>
            </w:tcMar>
            <w:vAlign w:val="center"/>
          </w:tcPr>
          <w:p>
            <w:pPr>
              <w:pStyle w:val="TableContents"/>
              <w:bidi w:val="0"/>
              <w:spacing w:before="0" w:after="283"/>
              <w:jc w:val="right"/>
              <w:rPr/>
            </w:pPr>
            <w:r>
              <w:rPr/>
              <w:t>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5109" w:type="dxa"/>
            <w:gridSpan w:val="8"/>
            <w:tcBorders/>
            <w:shd w:fill="FFFFFF" w:val="clear"/>
            <w:tcMar>
              <w:bottom w:w="0" w:type="dxa"/>
            </w:tcMar>
            <w:vAlign w:val="center"/>
          </w:tcPr>
          <w:p>
            <w:pPr>
              <w:pStyle w:val="TableContents"/>
              <w:bidi w:val="0"/>
              <w:spacing w:before="0" w:after="283"/>
              <w:jc w:val="center"/>
              <w:rPr/>
            </w:pPr>
            <w:r>
              <w:rPr/>
              <w:t>Net Fee Due</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p>
        </w:tc>
        <w:tc>
          <w:tcPr>
            <w:tcW w:w="888" w:type="dxa"/>
            <w:tcBorders/>
            <w:shd w:fill="FFFFFF" w:val="clear"/>
            <w:tcMar>
              <w:bottom w:w="0" w:type="dxa"/>
            </w:tcMar>
            <w:vAlign w:val="center"/>
          </w:tcPr>
          <w:p>
            <w:pPr>
              <w:pStyle w:val="TableContents"/>
              <w:bidi w:val="0"/>
              <w:spacing w:before="0" w:after="283"/>
              <w:jc w:val="right"/>
              <w:rPr/>
            </w:pPr>
            <w:r>
              <w:rPr/>
              <w:t>11,070</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pursuant to Rule 457(o) under the Securities Act of 1933, as amended, based on the proposed maximum aggregate offering price.</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being registered hereunder such indeterminate number of shares of common stock and preferred stock, such indeterminate principal amount of debt securities, such indeterminate number of warrants and rights to purchase common stock, preferred stock or debt securities, and such indeterminate number of units, as shall have an aggregate initial offering price not to exceed $75,000,000. If any debt securities are issued at an original issue discount, then the offering price of such debt securities shall be in such greater principal amount as shall result in an aggregate initial offering price not to exceed $75,000,000,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rights or pursuant to the anti-dilution provisions of any such securities. In addition, pursuant to Rule 416 under the Securities Act of 1933, as amended, the shares being registered hereunder include such indeterminate number of shares of common stock and preferred stock as may be issuable with respect to the shares being registered hereunder as a result of stock splits, stock dividends or similar transactions.</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49315223010223/form10-k.htm" TargetMode="External"/><Relationship Id="rId4" Type="http://schemas.openxmlformats.org/officeDocument/2006/relationships/hyperlink" Target="https://www.sec.gov/Archives/edgar/data/883975/000149315223017966/form10-q.htm" TargetMode="External"/><Relationship Id="rId5" Type="http://schemas.openxmlformats.org/officeDocument/2006/relationships/hyperlink" Target="https://www.sec.gov/Archives/edgar/data/883975/000149315223028081/form10-q.htm" TargetMode="External"/><Relationship Id="rId6" Type="http://schemas.openxmlformats.org/officeDocument/2006/relationships/hyperlink" Target="https://www.sec.gov/ix?doc=/Archives/edgar/data/883975/000149315223002202/form8-k.htm" TargetMode="External"/><Relationship Id="rId7" Type="http://schemas.openxmlformats.org/officeDocument/2006/relationships/hyperlink" Target="https://www.sec.gov/ix?doc=/Archives/edgar/data/883975/000149315223018050/form8-k.htm" TargetMode="External"/><Relationship Id="rId8" Type="http://schemas.openxmlformats.org/officeDocument/2006/relationships/hyperlink" Target="https://www.sec.gov/ix?doc=/Archives/edgar/data/883975/000149315223018456/form8-k.htm" TargetMode="External"/><Relationship Id="rId9" Type="http://schemas.openxmlformats.org/officeDocument/2006/relationships/hyperlink" Target="https://www.sec.gov/ix?doc=/Archives/edgar/data/883975/000149315223018718/form8-k.htm" TargetMode="External"/><Relationship Id="rId10" Type="http://schemas.openxmlformats.org/officeDocument/2006/relationships/hyperlink" Target="https://www.sec.gov/ix?doc=/Archives/edgar/data/883975/000149315223018932/form8-k.htm" TargetMode="External"/><Relationship Id="rId11" Type="http://schemas.openxmlformats.org/officeDocument/2006/relationships/hyperlink" Target="https://www.sec.gov/ix?doc=/Archives/edgar/data/883975/000149315223019000/form8-k.htm" TargetMode="External"/><Relationship Id="rId12" Type="http://schemas.openxmlformats.org/officeDocument/2006/relationships/hyperlink" Target="https://www.sec.gov/ix?doc=/Archives/edgar/data/883975/000149315223019537/form8-k.htm" TargetMode="External"/><Relationship Id="rId13" Type="http://schemas.openxmlformats.org/officeDocument/2006/relationships/hyperlink" Target="https://www.sec.gov/ix?doc=/Archives/edgar/data/883975/000149315223019871/form8-k.htm" TargetMode="External"/><Relationship Id="rId14" Type="http://schemas.openxmlformats.org/officeDocument/2006/relationships/hyperlink" Target="https://www.sec.gov/ix?doc=/Archives/edgar/data/883975/000149315223020309/form8-k.htm" TargetMode="External"/><Relationship Id="rId15" Type="http://schemas.openxmlformats.org/officeDocument/2006/relationships/hyperlink" Target="https://www.sec.gov/ix?doc=/Archives/edgar/data/883975/000149315223021553/form8-k.htm" TargetMode="External"/><Relationship Id="rId16" Type="http://schemas.openxmlformats.org/officeDocument/2006/relationships/hyperlink" Target="https://www.sec.gov/ix?doc=/Archives/edgar/data/883975/000149315223022078/form8-k.htm" TargetMode="External"/><Relationship Id="rId17" Type="http://schemas.openxmlformats.org/officeDocument/2006/relationships/hyperlink" Target="https://www.sec.gov/ix?doc=/Archives/edgar/data/883975/000149315223022844/form8-k.htm" TargetMode="External"/><Relationship Id="rId18" Type="http://schemas.openxmlformats.org/officeDocument/2006/relationships/hyperlink" Target="https://www.sec.gov/ix?doc=/Archives/edgar/data/883975/000149315223031689/form8-k.htm" TargetMode="External"/><Relationship Id="rId19" Type="http://schemas.openxmlformats.org/officeDocument/2006/relationships/hyperlink" Target="https://www.sec.gov/ix?doc=/Archives/edgar/data/883975/000149315223037454/form8-k.htm" TargetMode="External"/><Relationship Id="rId20" Type="http://schemas.openxmlformats.org/officeDocument/2006/relationships/hyperlink" Target="https://www.sec.gov/ix?doc=/Archives/edgar/data/883975/000149315223037676/form8-k.htm" TargetMode="External"/><Relationship Id="rId21" Type="http://schemas.openxmlformats.org/officeDocument/2006/relationships/hyperlink" Target="https://www.sec.gov/ix?doc=/Archives/edgar/data/883975/000149315223038050/form8-k.htm" TargetMode="External"/><Relationship Id="rId22" Type="http://schemas.openxmlformats.org/officeDocument/2006/relationships/hyperlink" Target="https://www.sec.gov/ix?doc=/Archives/edgar/data/883975/000149315223038792/form8-k.htm" TargetMode="External"/><Relationship Id="rId23" Type="http://schemas.openxmlformats.org/officeDocument/2006/relationships/hyperlink" Target="https://www.sec.gov/ix?doc=/Archives/edgar/data/883975/000149315223039509/form8-k.htm" TargetMode="External"/><Relationship Id="rId24" Type="http://schemas.openxmlformats.org/officeDocument/2006/relationships/hyperlink" Target="https://www.sec.gov/ix?doc=/Archives/edgar/data/883975/000149315223039834/form8-k.htm" TargetMode="External"/><Relationship Id="rId25" Type="http://schemas.openxmlformats.org/officeDocument/2006/relationships/hyperlink" Target="https://www.sec.gov/ix?doc=/Archives/edgar/data/883975/000149315223040331/form8-k.htm" TargetMode="External"/><Relationship Id="rId26" Type="http://schemas.openxmlformats.org/officeDocument/2006/relationships/hyperlink" Target="https://www.sec.gov/Archives/edgar/data/883975/000149315223033004/formdef14a.htm" TargetMode="External"/><Relationship Id="rId27" Type="http://schemas.openxmlformats.org/officeDocument/2006/relationships/hyperlink" Target="https://www.sec.gov/Archives/edgar/data/883975/000149315223010223/form10-k.htm" TargetMode="External"/><Relationship Id="rId28" Type="http://schemas.openxmlformats.org/officeDocument/2006/relationships/hyperlink" Target="https://www.sec.gov/Archives/edgar/data/883975/000095013407005808/f27726exv3w1.htm" TargetMode="External"/><Relationship Id="rId29" Type="http://schemas.openxmlformats.org/officeDocument/2006/relationships/hyperlink" Target="https://www.sec.gov/Archives/edgar/data/883975/000119312516779729/d296933dex31.htm" TargetMode="External"/><Relationship Id="rId30" Type="http://schemas.openxmlformats.org/officeDocument/2006/relationships/hyperlink" Target="https://www.sec.gov/Archives/edgar/data/883975/000149315218012872/ex3-1.htm" TargetMode="External"/><Relationship Id="rId31" Type="http://schemas.openxmlformats.org/officeDocument/2006/relationships/hyperlink" Target="https://www.sec.gov/Archives/edgar/data/883975/000149315219013998/ex3-1.htm" TargetMode="External"/><Relationship Id="rId32" Type="http://schemas.openxmlformats.org/officeDocument/2006/relationships/hyperlink" Target="https://www.sec.gov/Archives/edgar/data/883975/000129993316002374/exhibit1.htm" TargetMode="External"/><Relationship Id="rId33" Type="http://schemas.openxmlformats.org/officeDocument/2006/relationships/hyperlink" Target="https://www.sec.gov/Archives/edgar/data/883975/000149315221010347/ex3-1.htm" TargetMode="External"/><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74822</Words>
  <Characters>381561</Characters>
  <CharactersWithSpaces>456960</CharactersWithSpaces>
  <Paragraphs>5924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