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w w:val="98"/>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5424170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4745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74599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520"/>
            <w:col w:w="876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ALPHA CAPITAL ANSTALT</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LETTSTRASSE 32, 9490</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VADUZ</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Microbot Medical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MBOT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11/28/2016</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 w:right="740" w:hanging="4"/>
        <w:spacing w:after="0" w:line="238" w:lineRule="auto"/>
        <w:tabs>
          <w:tab w:leader="none" w:pos="14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44"/>
        <w:spacing w:after="0"/>
        <w:tabs>
          <w:tab w:leader="none" w:pos="1823" w:val="left"/>
          <w:tab w:leader="none" w:pos="21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4"/>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6" w:lineRule="exact"/>
        <w:rPr>
          <w:sz w:val="24"/>
          <w:szCs w:val="24"/>
          <w:color w:val="auto"/>
        </w:rPr>
      </w:pPr>
    </w:p>
    <w:p>
      <w:pPr>
        <w:sectPr>
          <w:pgSz w:w="11900" w:h="16838" w:orient="portrait"/>
          <w:cols w:equalWidth="0" w:num="3">
            <w:col w:w="3340" w:space="720"/>
            <w:col w:w="3276" w:space="720"/>
            <w:col w:w="3464"/>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920" w:type="dxa"/>
            <w:vAlign w:val="bottom"/>
            <w:gridSpan w:val="9"/>
            <w:vMerge w:val="restart"/>
          </w:tcPr>
          <w:p>
            <w:pPr>
              <w:jc w:val="center"/>
              <w:ind w:right="297"/>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20" w:type="dxa"/>
            <w:vAlign w:val="bottom"/>
            <w:gridSpan w:val="9"/>
            <w:vMerge w:val="continue"/>
          </w:tcPr>
          <w:p>
            <w:pPr>
              <w:spacing w:after="0"/>
              <w:rPr>
                <w:sz w:val="12"/>
                <w:szCs w:val="12"/>
                <w:color w:val="auto"/>
              </w:rPr>
            </w:pPr>
          </w:p>
        </w:tc>
        <w:tc>
          <w:tcPr>
            <w:tcW w:w="36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40" w:type="dxa"/>
            <w:vAlign w:val="bottom"/>
            <w:gridSpan w:val="6"/>
            <w:vMerge w:val="restart"/>
          </w:tcPr>
          <w:p>
            <w:pPr>
              <w:ind w:left="4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LICHTENSTEIN N2</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60" w:type="dxa"/>
            <w:vAlign w:val="bottom"/>
            <w:tcBorders>
              <w:bottom w:val="single" w:sz="8" w:color="9A9A9A"/>
            </w:tcBorders>
            <w:gridSpan w:val="2"/>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Pr>
          <w:p>
            <w:pPr>
              <w:ind w:left="6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12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5"/>
          </w:tcPr>
          <w:p>
            <w:pPr>
              <w:jc w:val="center"/>
              <w:ind w:left="63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4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 Disposed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0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Of (D) (Instr. 3, 4 and 5)</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6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Code (Instr.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11/28/2016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J</w:t>
            </w:r>
          </w:p>
        </w:tc>
        <w:tc>
          <w:tcPr>
            <w:tcW w:w="3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20"/>
              <w:spacing w:after="0" w:line="309" w:lineRule="exact"/>
              <w:rPr>
                <w:sz w:val="20"/>
                <w:szCs w:val="20"/>
                <w:color w:val="auto"/>
              </w:rPr>
            </w:pPr>
            <w:r>
              <w:rPr>
                <w:rFonts w:ascii="Arial" w:cs="Arial" w:eastAsia="Arial" w:hAnsi="Arial"/>
                <w:sz w:val="33"/>
                <w:szCs w:val="33"/>
                <w:color w:val="0000FF"/>
                <w:w w:val="76"/>
                <w:vertAlign w:val="subscript"/>
              </w:rPr>
              <w:t>9,753,549</w:t>
            </w:r>
            <w:r>
              <w:rPr>
                <w:rFonts w:ascii="Arial" w:cs="Arial" w:eastAsia="Arial" w:hAnsi="Arial"/>
                <w:sz w:val="11"/>
                <w:szCs w:val="11"/>
                <w:color w:val="008000"/>
                <w:w w:val="76"/>
              </w:rPr>
              <w:t>(1)(2)(3)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0.00</w:t>
            </w:r>
            <w:r>
              <w:rPr>
                <w:rFonts w:ascii="Arial" w:cs="Arial" w:eastAsia="Arial" w:hAnsi="Arial"/>
                <w:sz w:val="21"/>
                <w:szCs w:val="21"/>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100"/>
              <w:spacing w:after="0" w:line="309" w:lineRule="exact"/>
              <w:rPr>
                <w:sz w:val="20"/>
                <w:szCs w:val="20"/>
                <w:color w:val="auto"/>
              </w:rPr>
            </w:pPr>
            <w:r>
              <w:rPr>
                <w:rFonts w:ascii="Arial" w:cs="Arial" w:eastAsia="Arial" w:hAnsi="Arial"/>
                <w:sz w:val="33"/>
                <w:szCs w:val="33"/>
                <w:color w:val="0000FF"/>
                <w:w w:val="85"/>
                <w:vertAlign w:val="subscript"/>
              </w:rPr>
              <w:t>9,753,549</w:t>
            </w:r>
            <w:r>
              <w:rPr>
                <w:rFonts w:ascii="Arial" w:cs="Arial" w:eastAsia="Arial" w:hAnsi="Arial"/>
                <w:sz w:val="11"/>
                <w:szCs w:val="11"/>
                <w:color w:val="008000"/>
                <w:w w:val="85"/>
              </w:rPr>
              <w:t>(1)(2)(3)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11/28/2016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J</w:t>
            </w:r>
          </w:p>
        </w:tc>
        <w:tc>
          <w:tcPr>
            <w:tcW w:w="3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20"/>
              <w:spacing w:after="0" w:line="309" w:lineRule="exact"/>
              <w:rPr>
                <w:sz w:val="20"/>
                <w:szCs w:val="20"/>
                <w:color w:val="auto"/>
              </w:rPr>
            </w:pPr>
            <w:r>
              <w:rPr>
                <w:rFonts w:ascii="Arial" w:cs="Arial" w:eastAsia="Arial" w:hAnsi="Arial"/>
                <w:sz w:val="33"/>
                <w:szCs w:val="33"/>
                <w:color w:val="0000FF"/>
                <w:w w:val="76"/>
                <w:vertAlign w:val="subscript"/>
              </w:rPr>
              <w:t>7,977,092</w:t>
            </w:r>
            <w:r>
              <w:rPr>
                <w:rFonts w:ascii="Arial" w:cs="Arial" w:eastAsia="Arial" w:hAnsi="Arial"/>
                <w:sz w:val="11"/>
                <w:szCs w:val="11"/>
                <w:color w:val="008000"/>
                <w:w w:val="76"/>
              </w:rPr>
              <w:t>(1)(2)(3)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0.00</w:t>
            </w:r>
            <w:r>
              <w:rPr>
                <w:rFonts w:ascii="Arial" w:cs="Arial" w:eastAsia="Arial" w:hAnsi="Arial"/>
                <w:sz w:val="21"/>
                <w:szCs w:val="21"/>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100"/>
              <w:spacing w:after="0" w:line="309" w:lineRule="exact"/>
              <w:rPr>
                <w:sz w:val="20"/>
                <w:szCs w:val="20"/>
                <w:color w:val="auto"/>
              </w:rPr>
            </w:pPr>
            <w:r>
              <w:rPr>
                <w:rFonts w:ascii="Arial" w:cs="Arial" w:eastAsia="Arial" w:hAnsi="Arial"/>
                <w:sz w:val="33"/>
                <w:szCs w:val="33"/>
                <w:color w:val="0000FF"/>
                <w:w w:val="85"/>
                <w:vertAlign w:val="subscript"/>
              </w:rPr>
              <w:t>1,776,457</w:t>
            </w:r>
            <w:r>
              <w:rPr>
                <w:rFonts w:ascii="Arial" w:cs="Arial" w:eastAsia="Arial" w:hAnsi="Arial"/>
                <w:sz w:val="11"/>
                <w:szCs w:val="11"/>
                <w:color w:val="008000"/>
                <w:w w:val="85"/>
              </w:rPr>
              <w:t>(1)(2)(3)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4"/>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20" w:type="dxa"/>
            <w:vAlign w:val="bottom"/>
            <w:gridSpan w:val="13"/>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36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Convertible</w:t>
            </w:r>
          </w:p>
        </w:tc>
        <w:tc>
          <w:tcPr>
            <w:tcW w:w="8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0.64</w:t>
            </w:r>
          </w:p>
        </w:tc>
        <w:tc>
          <w:tcPr>
            <w:tcW w:w="1020" w:type="dxa"/>
            <w:vAlign w:val="bottom"/>
            <w:vMerge w:val="restart"/>
          </w:tcPr>
          <w:p>
            <w:pPr>
              <w:jc w:val="right"/>
              <w:ind w:right="175"/>
              <w:spacing w:after="0"/>
              <w:rPr>
                <w:sz w:val="20"/>
                <w:szCs w:val="20"/>
                <w:color w:val="auto"/>
              </w:rPr>
            </w:pPr>
            <w:r>
              <w:rPr>
                <w:rFonts w:ascii="Arial" w:cs="Arial" w:eastAsia="Arial" w:hAnsi="Arial"/>
                <w:sz w:val="13"/>
                <w:szCs w:val="13"/>
                <w:color w:val="0000FF"/>
              </w:rPr>
              <w:t>11/28/2016</w:t>
            </w:r>
          </w:p>
        </w:tc>
        <w:tc>
          <w:tcPr>
            <w:tcW w:w="1080" w:type="dxa"/>
            <w:vAlign w:val="bottom"/>
            <w:vMerge w:val="restart"/>
          </w:tcPr>
          <w:p>
            <w:pPr>
              <w:ind w:left="480"/>
              <w:spacing w:after="0"/>
              <w:rPr>
                <w:sz w:val="20"/>
                <w:szCs w:val="20"/>
                <w:color w:val="auto"/>
              </w:rPr>
            </w:pPr>
            <w:r>
              <w:rPr>
                <w:rFonts w:ascii="Arial" w:cs="Arial" w:eastAsia="Arial" w:hAnsi="Arial"/>
                <w:sz w:val="11"/>
                <w:szCs w:val="11"/>
                <w:color w:val="008000"/>
              </w:rPr>
              <w:t>(2)</w:t>
            </w:r>
          </w:p>
        </w:tc>
        <w:tc>
          <w:tcPr>
            <w:tcW w:w="4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J</w:t>
            </w:r>
          </w:p>
        </w:tc>
        <w:tc>
          <w:tcPr>
            <w:tcW w:w="32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color w:val="0000FF"/>
                <w:w w:val="82"/>
              </w:rPr>
              <w:t>1,776,457</w:t>
            </w:r>
            <w:r>
              <w:rPr>
                <w:rFonts w:ascii="Arial" w:cs="Arial" w:eastAsia="Arial" w:hAnsi="Arial"/>
                <w:sz w:val="21"/>
                <w:szCs w:val="21"/>
                <w:color w:val="008000"/>
                <w:w w:val="82"/>
                <w:vertAlign w:val="superscript"/>
              </w:rPr>
              <w:t>(2)(3)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63"/>
              <w:spacing w:after="0"/>
              <w:rPr>
                <w:sz w:val="20"/>
                <w:szCs w:val="20"/>
                <w:color w:val="auto"/>
              </w:rPr>
            </w:pPr>
            <w:r>
              <w:rPr>
                <w:rFonts w:ascii="Arial" w:cs="Arial" w:eastAsia="Arial" w:hAnsi="Arial"/>
                <w:sz w:val="11"/>
                <w:szCs w:val="11"/>
                <w:color w:val="008000"/>
              </w:rPr>
              <w:t>(2)</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160"/>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6"/>
                <w:szCs w:val="16"/>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color w:val="0000FF"/>
                <w:w w:val="89"/>
              </w:rPr>
              <w:t>1,776,457</w:t>
            </w:r>
            <w:r>
              <w:rPr>
                <w:rFonts w:ascii="Arial" w:cs="Arial" w:eastAsia="Arial" w:hAnsi="Arial"/>
                <w:sz w:val="21"/>
                <w:szCs w:val="21"/>
                <w:color w:val="008000"/>
                <w:w w:val="89"/>
                <w:vertAlign w:val="superscript"/>
              </w:rPr>
              <w:t>(2)(3)</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Debenture</w:t>
            </w:r>
          </w:p>
        </w:tc>
        <w:tc>
          <w:tcPr>
            <w:tcW w:w="8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68" w:lineRule="auto"/>
        <w:tabs>
          <w:tab w:leader="none" w:pos="16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a merger agreement effective as of November 28, 2016 reported in a Form 8-K filed by the Issuer on November 29, 2016, Alpha Capital Anstalt ("Alpha") was issued 9,753,549 shares of common stock, which immediately following the merger were surrendered by Alpha to the Issuer pursuant to the terms of a Right to Shares Agreement. The Right to Shares Agreement contains a 4.99% "blocker" provision designed to prevent Alpha from being a beneficial owner of more than 4.99% of the Issuer's Common Stock. Therefore, Alpha is no longer an affiliate of the Issuer.</w:t>
      </w:r>
    </w:p>
    <w:p>
      <w:pPr>
        <w:spacing w:after="0" w:line="15" w:lineRule="exact"/>
        <w:rPr>
          <w:rFonts w:ascii="Arial" w:cs="Arial" w:eastAsia="Arial" w:hAnsi="Arial"/>
          <w:sz w:val="12"/>
          <w:szCs w:val="12"/>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merger on November 28, 2016, Alpha exchanged a non-convertible note for a convertible debenture containing a 4.99% "blocker" provision.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number of shares owned by Alpha does not include any shares issued to Lane Ventures, Inc., a consultant of the Issuer. Alpha disclaims beneficial ownership of any of the shares issued to Lane Ventures, Inc.</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Konrad Ackermann Director</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11/30/2016</w:t>
            </w:r>
          </w:p>
        </w:tc>
        <w:tc>
          <w:tcPr>
            <w:tcW w:w="0" w:type="dxa"/>
            <w:vAlign w:val="bottom"/>
          </w:tcPr>
          <w:p>
            <w:pPr>
              <w:spacing w:after="0"/>
              <w:rPr>
                <w:sz w:val="1"/>
                <w:szCs w:val="1"/>
                <w:color w:val="auto"/>
              </w:rPr>
            </w:pPr>
          </w:p>
        </w:tc>
      </w:tr>
      <w:tr>
        <w:trPr>
          <w:trHeight w:val="88"/>
        </w:trPr>
        <w:tc>
          <w:tcPr>
            <w:tcW w:w="1660" w:type="dxa"/>
            <w:vAlign w:val="bottom"/>
            <w:vMerge w:val="restart"/>
          </w:tcPr>
          <w:p>
            <w:pPr>
              <w:spacing w:after="0" w:line="186" w:lineRule="exact"/>
              <w:rPr>
                <w:sz w:val="20"/>
                <w:szCs w:val="20"/>
                <w:color w:val="auto"/>
              </w:rPr>
            </w:pPr>
            <w:r>
              <w:rPr>
                <w:rFonts w:ascii="Arial" w:cs="Arial" w:eastAsia="Arial" w:hAnsi="Arial"/>
                <w:sz w:val="17"/>
                <w:szCs w:val="17"/>
                <w:color w:val="0000FF"/>
                <w:w w:val="92"/>
              </w:rPr>
              <w:t>of Alpha Capital Anstalt</w:t>
            </w:r>
          </w:p>
        </w:tc>
        <w:tc>
          <w:tcPr>
            <w:tcW w:w="6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40358"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2019-12-24T05:05:50Z</dcterms:created>
  <dcterms:modified xsi:type="dcterms:W3CDTF">2019-12-24T05:05:50Z</dcterms:modified>
</cp:coreProperties>
</file>