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0"/>
          <w:szCs w:val="20"/>
          <w:color w:val="auto"/>
        </w:rPr>
      </w:pPr>
    </w:p>
    <w:p>
      <w:pPr>
        <w:ind w:left="1380"/>
        <w:spacing w:after="0"/>
        <w:tabs>
          <w:tab w:leader="none" w:pos="4980" w:val="left"/>
        </w:tabs>
        <w:rPr>
          <w:sz w:val="20"/>
          <w:szCs w:val="20"/>
          <w:color w:val="auto"/>
        </w:rPr>
      </w:pPr>
      <w:r>
        <w:rPr>
          <w:rFonts w:ascii="Arial" w:cs="Arial" w:eastAsia="Arial" w:hAnsi="Arial"/>
          <w:sz w:val="18"/>
          <w:szCs w:val="18"/>
          <w:b w:val="1"/>
          <w:bCs w:val="1"/>
          <w:color w:val="auto"/>
        </w:rPr>
        <w:t>For the quarter ended: September 30, 2006</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0-19871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3840" w:type="dxa"/>
            <w:vAlign w:val="bottom"/>
          </w:tcPr>
          <w:p>
            <w:pPr>
              <w:spacing w:after="0"/>
              <w:rPr>
                <w:sz w:val="24"/>
                <w:szCs w:val="24"/>
                <w:color w:val="auto"/>
              </w:rPr>
            </w:pPr>
          </w:p>
        </w:tc>
        <w:tc>
          <w:tcPr>
            <w:tcW w:w="3760" w:type="dxa"/>
            <w:vAlign w:val="bottom"/>
            <w:tcBorders>
              <w:bottom w:val="single" w:sz="8" w:color="auto"/>
            </w:tcBorders>
            <w:gridSpan w:val="5"/>
          </w:tcPr>
          <w:p>
            <w:pPr>
              <w:jc w:val="center"/>
              <w:spacing w:after="0"/>
              <w:rPr>
                <w:sz w:val="20"/>
                <w:szCs w:val="20"/>
                <w:color w:val="auto"/>
              </w:rPr>
            </w:pPr>
            <w:r>
              <w:rPr>
                <w:rFonts w:ascii="Arial" w:cs="Arial" w:eastAsia="Arial" w:hAnsi="Arial"/>
                <w:sz w:val="43"/>
                <w:szCs w:val="43"/>
                <w:b w:val="1"/>
                <w:bCs w:val="1"/>
                <w:color w:val="auto"/>
              </w:rPr>
              <w:t>STEMCELLS, INC.</w:t>
            </w: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26"/>
        </w:trPr>
        <w:tc>
          <w:tcPr>
            <w:tcW w:w="38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4"/>
                <w:szCs w:val="24"/>
                <w:color w:val="auto"/>
              </w:rPr>
            </w:pPr>
          </w:p>
        </w:tc>
      </w:tr>
      <w:tr>
        <w:trPr>
          <w:trHeight w:val="432"/>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5"/>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217"/>
        </w:trPr>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PALO ALTO, CA 94304</w:t>
            </w:r>
          </w:p>
        </w:tc>
        <w:tc>
          <w:tcPr>
            <w:tcW w:w="132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r>
      <w:tr>
        <w:trPr>
          <w:trHeight w:val="224"/>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260"/>
        <w:spacing w:after="0" w:line="207"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October 30, 2006, there were 77,809,096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740" w:type="dxa"/>
            <w:vAlign w:val="bottom"/>
            <w:gridSpan w:val="10"/>
            <w:vMerge w:val="restart"/>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6"/>
        </w:trPr>
        <w:tc>
          <w:tcPr>
            <w:tcW w:w="2900" w:type="dxa"/>
            <w:vAlign w:val="bottom"/>
            <w:tcBorders>
              <w:bottom w:val="single" w:sz="8" w:color="0000EE"/>
            </w:tcBorders>
            <w:gridSpan w:val="12"/>
            <w:vMerge w:val="continue"/>
          </w:tcPr>
          <w:p>
            <w:pPr>
              <w:spacing w:after="0"/>
              <w:rPr>
                <w:sz w:val="13"/>
                <w:szCs w:val="13"/>
                <w:color w:val="auto"/>
              </w:rPr>
            </w:pPr>
          </w:p>
        </w:tc>
        <w:tc>
          <w:tcPr>
            <w:tcW w:w="6740" w:type="dxa"/>
            <w:vAlign w:val="bottom"/>
            <w:gridSpan w:val="10"/>
            <w:vMerge w:val="continue"/>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64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2006 and December 31, 2005</w:t>
              </w:r>
            </w:hyperlink>
          </w:p>
        </w:tc>
        <w:tc>
          <w:tcPr>
            <w:tcW w:w="3060" w:type="dxa"/>
            <w:vAlign w:val="bottom"/>
            <w:gridSpan w:val="4"/>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for the three and nine months ended September 30, 2006 and 2005</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2006 and 2005</w:t>
              </w:r>
            </w:hyperlink>
          </w:p>
        </w:tc>
        <w:tc>
          <w:tcPr>
            <w:tcW w:w="940" w:type="dxa"/>
            <w:vAlign w:val="bottom"/>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600" w:type="dxa"/>
            <w:vAlign w:val="bottom"/>
            <w:gridSpan w:val="2"/>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4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620" w:type="dxa"/>
            <w:vAlign w:val="bottom"/>
            <w:gridSpan w:val="3"/>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7300" w:type="dxa"/>
            <w:vAlign w:val="bottom"/>
            <w:gridSpan w:val="13"/>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4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060" w:type="dxa"/>
            <w:vAlign w:val="bottom"/>
            <w:gridSpan w:val="12"/>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8040" w:type="dxa"/>
            <w:vAlign w:val="bottom"/>
            <w:gridSpan w:val="16"/>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4720" w:type="dxa"/>
            <w:vAlign w:val="bottom"/>
            <w:gridSpan w:val="6"/>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4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4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Submission of Matters to a Vote of Security-Holders</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5. Other Information</w:t>
              </w:r>
            </w:hyperlink>
          </w:p>
        </w:tc>
        <w:tc>
          <w:tcPr>
            <w:tcW w:w="2460" w:type="dxa"/>
            <w:vAlign w:val="bottom"/>
            <w:tcBorders>
              <w:top w:val="single" w:sz="8" w:color="0000EE"/>
            </w:tcBorders>
            <w:gridSpan w:val="8"/>
          </w:tcPr>
          <w:p>
            <w:pPr>
              <w:spacing w:after="0"/>
              <w:rPr>
                <w:sz w:val="17"/>
                <w:szCs w:val="17"/>
                <w:color w:val="auto"/>
              </w:rPr>
            </w:pPr>
          </w:p>
        </w:tc>
        <w:tc>
          <w:tcPr>
            <w:tcW w:w="5300" w:type="dxa"/>
            <w:vAlign w:val="bottom"/>
            <w:gridSpan w:val="7"/>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4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SIGNATURES</w:t>
              </w:r>
            </w:hyperlink>
          </w:p>
        </w:tc>
        <w:tc>
          <w:tcPr>
            <w:tcW w:w="40" w:type="dxa"/>
            <w:vAlign w:val="bottom"/>
            <w:tcBorders>
              <w:top w:val="single" w:sz="8" w:color="0000EE"/>
            </w:tcBorders>
          </w:tcPr>
          <w:p>
            <w:pPr>
              <w:spacing w:after="0"/>
              <w:rPr>
                <w:sz w:val="17"/>
                <w:szCs w:val="17"/>
                <w:color w:val="auto"/>
              </w:rPr>
            </w:pPr>
          </w:p>
        </w:tc>
        <w:tc>
          <w:tcPr>
            <w:tcW w:w="8480" w:type="dxa"/>
            <w:vAlign w:val="bottom"/>
            <w:gridSpan w:val="17"/>
          </w:tcPr>
          <w:p>
            <w:pPr>
              <w:spacing w:after="0"/>
              <w:rPr>
                <w:sz w:val="17"/>
                <w:szCs w:val="17"/>
                <w:color w:val="auto"/>
              </w:rPr>
            </w:pPr>
          </w:p>
        </w:tc>
        <w:tc>
          <w:tcPr>
            <w:tcW w:w="174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31.1</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540" w:type="dxa"/>
            <w:vAlign w:val="bottom"/>
            <w:gridSpan w:val="1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color w:val="auto"/>
              </w:rPr>
              <w:t>September 30, 2006</w:t>
            </w:r>
          </w:p>
        </w:tc>
        <w:tc>
          <w:tcPr>
            <w:tcW w:w="30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December 31,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55,440,550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445,368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386,966</w:t>
            </w:r>
          </w:p>
        </w:tc>
        <w:tc>
          <w:tcPr>
            <w:tcW w:w="0" w:type="dxa"/>
            <w:vAlign w:val="bottom"/>
          </w:tcPr>
          <w:p>
            <w:pPr>
              <w:spacing w:after="0"/>
              <w:rPr>
                <w:sz w:val="1"/>
                <w:szCs w:val="1"/>
                <w:color w:val="auto"/>
              </w:rPr>
            </w:pPr>
          </w:p>
        </w:tc>
      </w:tr>
      <w:tr>
        <w:trPr>
          <w:trHeight w:val="224"/>
        </w:trPr>
        <w:tc>
          <w:tcPr>
            <w:tcW w:w="8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56,992,950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3,803,441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2,615,172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2,705,513</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64,453,090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906,830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20,709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Bonds payable, current portion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3,548,061</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Bonds payable, less current maturities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1,177,915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long-term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495,242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wind-down expenses, non-current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5,926,763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6,186,930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revenue, non-current portion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11,543,248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$.01 par value; 125,000,000 shares authorized; 77,803,368 and 65,396,022 shares issued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September 30, 2006 and December 31, 2005, respectively</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778,033</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254,157,840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217,919,336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(198,989,259)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(185,943,565)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(3,036,772)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52,909,842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32,375,584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64,453,090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jc w:val="right"/>
              <w:ind w:right="1100"/>
              <w:spacing w:after="0" w:line="149" w:lineRule="exact"/>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September 30,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Revenue from grants and licensing agreements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91,255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80,406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163,345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3,523,078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2,336,562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9,402,472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1,889,512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1,549,443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4,979,349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Wind-down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297,184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499,186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2,015,384</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5,580,758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4,183,189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14,881,007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11,949,162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(5,562,437)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(4,091,934)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(14,800,601)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(11,785,817)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 and settlement agreement,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3,747,601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735,652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301,255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1,779,016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(8,594)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3,998,241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1,754,907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4,863,209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93,693)</w:t>
            </w: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13,045,694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7,410,812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spacing w:after="0" w:line="201" w:lineRule="exact"/>
              <w:rPr>
                <w:sz w:val="20"/>
                <w:szCs w:val="20"/>
                <w:color w:val="auto"/>
              </w:rPr>
            </w:pPr>
            <w:r>
              <w:rPr>
                <w:rFonts w:ascii="Arial" w:cs="Arial" w:eastAsia="Arial" w:hAnsi="Arial"/>
                <w:sz w:val="18"/>
                <w:szCs w:val="18"/>
                <w:color w:val="auto"/>
                <w:w w:val="92"/>
              </w:rPr>
              <w:t>Weighted average shares used to compute net loss per share basic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77,779,257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64,179,563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73,487,670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63,226,214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jc w:val="right"/>
              <w:ind w:right="9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2006</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($13,045,694)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($7,410,812)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790,949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compensation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1,812,962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fixed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Income from license and settlement agreement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(103,359)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(3,974,883)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Accrued interest receivable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(119,147)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(124,302)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(720,066)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106,271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(621,116)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(670,512)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(428,884)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Deposits received (refunded)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(27,624)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153,339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248,274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(12,077,200)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(9,187,544)</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(1,230,554)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Acquisition of other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(88,375)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(1,318,929)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(776,793)</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123,186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994,896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33,421,534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(54,676)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obligations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(189,169)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(181,667)</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34,295,771</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20,899,642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34,540,908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41,059,532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55,440,550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$ 34,970,584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111,159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Stock issued for licensing agreements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10,000(1)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jc w:val="both"/>
        <w:ind w:left="460" w:right="2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terms of a license agreement with the California Institute of Technology (Cal Tech), annual fees of $5,000 were due on each of two patents to which StemCells holds a license from Cal Tech, payable in cash or stock at the Company’s choice. The Company elected to pay the fees in stock and issued 3,848 unregistered shares to Cal Tech.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September 30, 2006 and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2006, are not necessarily indicative of the results that may be expected for the entire fiscal year ending December 31, 2006.</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2005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2005,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following:</w:t>
      </w:r>
    </w:p>
    <w:p>
      <w:pPr>
        <w:spacing w:after="0" w:line="73"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(Note 4).</w:t>
      </w:r>
    </w:p>
    <w:p>
      <w:pPr>
        <w:spacing w:after="0" w:line="130" w:lineRule="exact"/>
        <w:rPr>
          <w:rFonts w:ascii="Arial" w:cs="Arial" w:eastAsia="Arial" w:hAnsi="Arial"/>
          <w:sz w:val="18"/>
          <w:szCs w:val="18"/>
          <w:b w:val="1"/>
          <w:bCs w:val="1"/>
          <w:color w:val="auto"/>
        </w:rPr>
      </w:pPr>
    </w:p>
    <w:p>
      <w:pPr>
        <w:ind w:left="540" w:right="420" w:hanging="316"/>
        <w:spacing w:after="0" w:line="308" w:lineRule="auto"/>
        <w:tabs>
          <w:tab w:leader="none" w:pos="54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The grant date fair value of share-based awards recognized as compensation expense in accordance with the provisions of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See “Stock-Based Compensation”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 xml:space="preserve">In accordance with Statement of 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has classified the Company’s short-term investments as available-for-sale marketable securities in the accompanying consolidated financial statements. The marketable securities are stated at fair market value, with unrealized gains and losses reported in other comprehensive income. Management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reviews securities with unrealized losses for other than temporary impairment. A decline in the fair value of securities that is deemed other than temporary is charged to earnings when so 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Certain reclassifications of prior year amounts have been made to conform to current year presentation. Patent related expenses of $189,980 and $529,244 for the three and nine-month period ended September 30, 2005 have been reclassified from research and development expense to general and administrative expense on the consolidated statements of operations for that period to conform with current year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 xml:space="preserve">The Company has computed net loss per common share according to the Statement of Financial Accounting Standards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100" w:type="dxa"/>
            <w:vAlign w:val="bottom"/>
            <w:gridSpan w:val="5"/>
          </w:tcPr>
          <w:p>
            <w:pPr>
              <w:jc w:val="center"/>
              <w:ind w:right="600"/>
              <w:spacing w:after="0"/>
              <w:rPr>
                <w:sz w:val="20"/>
                <w:szCs w:val="20"/>
                <w:color w:val="auto"/>
              </w:rPr>
            </w:pPr>
            <w:r>
              <w:rPr>
                <w:rFonts w:ascii="Arial" w:cs="Arial" w:eastAsia="Arial" w:hAnsi="Arial"/>
                <w:sz w:val="14"/>
                <w:szCs w:val="14"/>
                <w:color w:val="auto"/>
                <w:w w:val="91"/>
              </w:rPr>
              <w:t>Three months ended</w:t>
            </w:r>
          </w:p>
        </w:tc>
        <w:tc>
          <w:tcPr>
            <w:tcW w:w="2760" w:type="dxa"/>
            <w:vAlign w:val="bottom"/>
            <w:gridSpan w:val="5"/>
          </w:tcPr>
          <w:p>
            <w:pPr>
              <w:jc w:val="center"/>
              <w:ind w:right="120"/>
              <w:spacing w:after="0"/>
              <w:rPr>
                <w:sz w:val="20"/>
                <w:szCs w:val="20"/>
                <w:color w:val="auto"/>
              </w:rPr>
            </w:pPr>
            <w:r>
              <w:rPr>
                <w:rFonts w:ascii="Arial" w:cs="Arial" w:eastAsia="Arial" w:hAnsi="Arial"/>
                <w:sz w:val="14"/>
                <w:szCs w:val="14"/>
                <w:color w:val="auto"/>
                <w:w w:val="92"/>
              </w:rPr>
              <w:t>Nine months ended</w:t>
            </w:r>
          </w:p>
        </w:tc>
      </w:tr>
      <w:tr>
        <w:trPr>
          <w:trHeight w:val="149"/>
        </w:trPr>
        <w:tc>
          <w:tcPr>
            <w:tcW w:w="5560" w:type="dxa"/>
            <w:vAlign w:val="bottom"/>
          </w:tcPr>
          <w:p>
            <w:pPr>
              <w:spacing w:after="0"/>
              <w:rPr>
                <w:sz w:val="12"/>
                <w:szCs w:val="12"/>
                <w:color w:val="auto"/>
              </w:rPr>
            </w:pPr>
          </w:p>
        </w:tc>
        <w:tc>
          <w:tcPr>
            <w:tcW w:w="1680" w:type="dxa"/>
            <w:vAlign w:val="bottom"/>
            <w:gridSpan w:val="3"/>
          </w:tcPr>
          <w:p>
            <w:pPr>
              <w:jc w:val="center"/>
              <w:ind w:left="739"/>
              <w:spacing w:after="0" w:line="149" w:lineRule="exact"/>
              <w:rPr>
                <w:sz w:val="20"/>
                <w:szCs w:val="20"/>
                <w:color w:val="auto"/>
              </w:rPr>
            </w:pPr>
            <w:r>
              <w:rPr>
                <w:rFonts w:ascii="Arial" w:cs="Arial" w:eastAsia="Arial" w:hAnsi="Arial"/>
                <w:sz w:val="14"/>
                <w:szCs w:val="14"/>
                <w:color w:val="auto"/>
                <w:w w:val="89"/>
              </w:rPr>
              <w:t>September 30,</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60" w:type="dxa"/>
            <w:vAlign w:val="bottom"/>
            <w:gridSpan w:val="3"/>
          </w:tcPr>
          <w:p>
            <w:pPr>
              <w:jc w:val="center"/>
              <w:ind w:left="799"/>
              <w:spacing w:after="0" w:line="149" w:lineRule="exact"/>
              <w:rPr>
                <w:sz w:val="20"/>
                <w:szCs w:val="20"/>
                <w:color w:val="auto"/>
              </w:rPr>
            </w:pPr>
            <w:r>
              <w:rPr>
                <w:rFonts w:ascii="Arial" w:cs="Arial" w:eastAsia="Arial" w:hAnsi="Arial"/>
                <w:sz w:val="14"/>
                <w:szCs w:val="14"/>
                <w:color w:val="auto"/>
                <w:w w:val="91"/>
              </w:rPr>
              <w:t>September 30,</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560" w:type="dxa"/>
            <w:vAlign w:val="bottom"/>
          </w:tcPr>
          <w:p>
            <w:pPr>
              <w:spacing w:after="0"/>
              <w:rPr>
                <w:sz w:val="14"/>
                <w:szCs w:val="14"/>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2006</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2005</w:t>
            </w:r>
          </w:p>
        </w:tc>
        <w:tc>
          <w:tcPr>
            <w:tcW w:w="600" w:type="dxa"/>
            <w:vAlign w:val="bottom"/>
          </w:tcPr>
          <w:p>
            <w:pPr>
              <w:spacing w:after="0"/>
              <w:rPr>
                <w:sz w:val="14"/>
                <w:szCs w:val="1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2006</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($4,863,209)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($93,693)</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($13,045,694)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($7,410,812)</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loss per share</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applicable to common stockholders, basic and diluted.</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77,779,257</w:t>
            </w: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64,179,563</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73,487,670</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63,226,214</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applicable to common stockholders, basic and</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($0.00)</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bl>
    <w:p>
      <w:pPr>
        <w:spacing w:after="0" w:line="94"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ind w:left="340"/>
              <w:spacing w:after="0"/>
              <w:rPr>
                <w:sz w:val="20"/>
                <w:szCs w:val="20"/>
                <w:color w:val="auto"/>
              </w:rPr>
            </w:pPr>
            <w:r>
              <w:rPr>
                <w:rFonts w:ascii="Arial" w:cs="Arial" w:eastAsia="Arial" w:hAnsi="Arial"/>
                <w:sz w:val="14"/>
                <w:szCs w:val="14"/>
                <w:color w:val="auto"/>
              </w:rPr>
              <w:t>Outstanding at September 30,</w:t>
            </w: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2006</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8,989,671</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6,641,401</w:t>
            </w: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Outstanding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1,930,658</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3,341,212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10,920,329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9,982,613</w:t>
            </w: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shareholder approved stock-based compensation plans, pursuant to which it grants stock-based compensation to its employees, and to non-employee directors for Board service. These grants are primarily in the form of options that allow a grantee to purchase a fixed number of shares of the Company’s common stock at a fixed exercise price equal to the market price of the shares at the date of the grant (“qualified stock option grants”). The options may vest on a single date or in tranches over a period of time,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but normally they do not vest unless the grantee is still employed by or a director of the Company on the vesting date. The compensation expense for these grants will be recognized over the requisite service period which is typically the period over which the stock-based compensation awards vest. The Company made no modifications to outstanding options with respect to vesting periods or exercise prices prior to adopting SFAS 123R.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64" w:lineRule="exact"/>
        <w:rPr>
          <w:sz w:val="20"/>
          <w:szCs w:val="20"/>
          <w:color w:val="auto"/>
        </w:rPr>
      </w:pPr>
    </w:p>
    <w:p>
      <w:pPr>
        <w:ind w:right="160" w:firstLine="222"/>
        <w:spacing w:after="0" w:line="270" w:lineRule="auto"/>
        <w:rPr>
          <w:sz w:val="20"/>
          <w:szCs w:val="20"/>
          <w:color w:val="auto"/>
        </w:rPr>
      </w:pPr>
      <w:r>
        <w:rPr>
          <w:rFonts w:ascii="Arial" w:cs="Arial" w:eastAsia="Arial" w:hAnsi="Arial"/>
          <w:sz w:val="17"/>
          <w:szCs w:val="17"/>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Prior periods were not restated to reflect the impact of adopting the new standard and therefore do not include compensation expense related to qualified stock option grants for those periods. In accordance with SFAS 123R, the Company recognized stock option related compensation expense of approximately $696,000 and $1,604,000 for the three and nine month periods ended September 30, 2006. All options granted in the three and nine month period ended September 30, 2006 were qualified stock options and the related compensation expense was recognized on a straight line basis over the vesting period of each grant net of estimated forfeitures. The Company’s estimated forfeiture rates are based on its historical experience within separate groups of employees. The estimated fair value of the options granted during 2006 and prior years was calculated using a Black Scholes Merton option pricing model (Black Scholes model). The following summarizes the assumptions used in the Black Scholes model as applied in the first three quarters of 2006: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color w:val="auto"/>
              </w:rPr>
              <w:t>First Quarter</w:t>
            </w:r>
          </w:p>
        </w:tc>
        <w:tc>
          <w:tcPr>
            <w:tcW w:w="5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Second Quarter</w:t>
            </w:r>
          </w:p>
        </w:tc>
        <w:tc>
          <w:tcPr>
            <w:tcW w:w="5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Third Quarter</w:t>
            </w:r>
          </w:p>
        </w:tc>
      </w:tr>
      <w:tr>
        <w:trPr>
          <w:trHeight w:val="167"/>
        </w:trPr>
        <w:tc>
          <w:tcPr>
            <w:tcW w:w="7080" w:type="dxa"/>
            <w:vAlign w:val="bottom"/>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2006</w:t>
            </w:r>
          </w:p>
        </w:tc>
        <w:tc>
          <w:tcPr>
            <w:tcW w:w="500" w:type="dxa"/>
            <w:vAlign w:val="bottom"/>
          </w:tcPr>
          <w:p>
            <w:pPr>
              <w:spacing w:after="0"/>
              <w:rPr>
                <w:sz w:val="14"/>
                <w:szCs w:val="14"/>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2006</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2006</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r>
              <w:rPr>
                <w:rFonts w:ascii="Arial" w:cs="Arial" w:eastAsia="Arial" w:hAnsi="Arial"/>
                <w:sz w:val="15"/>
                <w:szCs w:val="15"/>
                <w:color w:val="auto"/>
              </w:rPr>
              <w:t>(1)</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4.72%</w:t>
            </w:r>
          </w:p>
        </w:tc>
        <w:tc>
          <w:tcPr>
            <w:tcW w:w="16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5.08%</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4.68%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Volatility</w:t>
            </w:r>
            <w:r>
              <w:rPr>
                <w:rFonts w:ascii="Arial" w:cs="Arial" w:eastAsia="Arial" w:hAnsi="Arial"/>
                <w:sz w:val="15"/>
                <w:szCs w:val="15"/>
                <w:color w:val="auto"/>
              </w:rPr>
              <w:t>(2)</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119.5%</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110.8%</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106.6%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r>
              <w:rPr>
                <w:rFonts w:ascii="Arial" w:cs="Arial" w:eastAsia="Arial" w:hAnsi="Arial"/>
                <w:sz w:val="15"/>
                <w:szCs w:val="15"/>
                <w:color w:val="auto"/>
              </w:rPr>
              <w:t>(3)</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Expected term (years until exercise)</w:t>
            </w:r>
            <w:r>
              <w:rPr>
                <w:rFonts w:ascii="Arial" w:cs="Arial" w:eastAsia="Arial" w:hAnsi="Arial"/>
                <w:sz w:val="15"/>
                <w:szCs w:val="15"/>
                <w:color w:val="auto"/>
              </w:rPr>
              <w:t>(4)</w:t>
            </w: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308"/>
              <w:spacing w:after="0"/>
              <w:rPr>
                <w:sz w:val="20"/>
                <w:szCs w:val="20"/>
                <w:color w:val="auto"/>
              </w:rPr>
            </w:pPr>
            <w:r>
              <w:rPr>
                <w:rFonts w:ascii="Arial" w:cs="Arial" w:eastAsia="Arial" w:hAnsi="Arial"/>
                <w:sz w:val="18"/>
                <w:szCs w:val="18"/>
                <w:color w:val="auto"/>
              </w:rPr>
              <w:t>6.25</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debt securities with maturities close to the expected term of the option.</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21"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paying cash dividends over the expected term of the option.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term is equal to the average of the contractual life of the stock option and its vesting period.</w:t>
      </w:r>
    </w:p>
    <w:p>
      <w:pPr>
        <w:spacing w:after="0" w:line="117" w:lineRule="exact"/>
        <w:rPr>
          <w:sz w:val="20"/>
          <w:szCs w:val="20"/>
          <w:color w:val="auto"/>
        </w:rPr>
      </w:pPr>
    </w:p>
    <w:p>
      <w:pPr>
        <w:ind w:firstLine="215"/>
        <w:spacing w:after="0" w:line="286" w:lineRule="auto"/>
        <w:rPr>
          <w:sz w:val="20"/>
          <w:szCs w:val="20"/>
          <w:color w:val="auto"/>
        </w:rPr>
      </w:pPr>
      <w:r>
        <w:rPr>
          <w:rFonts w:ascii="Arial" w:cs="Arial" w:eastAsia="Arial" w:hAnsi="Arial"/>
          <w:sz w:val="17"/>
          <w:szCs w:val="17"/>
          <w:color w:val="auto"/>
        </w:rPr>
        <w:t>At September 30, 2006, approximately $7,310,000 of unrecognized compensation expense related to stock options is expected to be recognized over a weighted average period of approximately 1.7 years. The resulting effect on net loss and net loss per share attributable to common stockholders is not likely to be representative of the effects in future periods, due to changes in forfeiture rates, additional grants and subsequent periods of vesting.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Prior to January 1, 2006, the Company accounted for its stock-based compensation plans under Accounting Principles Board Opinion No. 25 (APB 25), </w:t>
      </w:r>
      <w:r>
        <w:rPr>
          <w:rFonts w:ascii="Arial" w:cs="Arial" w:eastAsia="Arial" w:hAnsi="Arial"/>
          <w:sz w:val="17"/>
          <w:szCs w:val="17"/>
          <w:i w:val="1"/>
          <w:iCs w:val="1"/>
          <w:color w:val="auto"/>
        </w:rPr>
        <w:t xml:space="preserve">“Accounting for Stock Issued to Employees.” </w:t>
      </w:r>
      <w:r>
        <w:rPr>
          <w:rFonts w:ascii="Arial" w:cs="Arial" w:eastAsia="Arial" w:hAnsi="Arial"/>
          <w:sz w:val="17"/>
          <w:szCs w:val="17"/>
          <w:color w:val="auto"/>
        </w:rPr>
        <w:t>In accordance with APB 25, the Company recognized no compensation expense for 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grants, as the options were granted at fair market price of the underlying shares on the date of the grant. For options issued with an exercise price less than the fair market value of the shares at the date of grant, the Company recognized the difference between the exercise price and fair market value as compensation expense in accordance with APB 25. Prior to January 1, 2006, the Company provided pro forma disclosure amounts in accordance with Statement of Financial Accounting Standards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(SFAS 123) as amended by Statement of Financial Accounting Standards No. 148 </w:t>
      </w:r>
      <w:r>
        <w:rPr>
          <w:rFonts w:ascii="Arial" w:cs="Arial" w:eastAsia="Arial" w:hAnsi="Arial"/>
          <w:sz w:val="17"/>
          <w:szCs w:val="17"/>
          <w:i w:val="1"/>
          <w:iCs w:val="1"/>
          <w:color w:val="auto"/>
        </w:rPr>
        <w:t>“Accounting for Stock-Based Compensation — Transition and Disclosure,”</w:t>
      </w:r>
      <w:r>
        <w:rPr>
          <w:rFonts w:ascii="Arial" w:cs="Arial" w:eastAsia="Arial" w:hAnsi="Arial"/>
          <w:sz w:val="17"/>
          <w:szCs w:val="17"/>
          <w:color w:val="auto"/>
        </w:rPr>
        <w:t xml:space="preserve"> (SFAS 148). As compensation expense was disclosed but not recognized in periods prior to January 1, 2006, no cumulative adjustment for forfeitures was recorded in 2006. The following table illustrates the effect on net loss and net loss per share if the Company had applied the fair value recognition provisions of SFAS 123 to stock-based employee compensation in the prior three and nine-month periods ended September 30, 2005: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780" w:type="dxa"/>
            <w:vAlign w:val="bottom"/>
          </w:tcPr>
          <w:p>
            <w:pPr>
              <w:jc w:val="right"/>
              <w:ind w:right="214"/>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860" w:type="dxa"/>
            <w:vAlign w:val="bottom"/>
          </w:tcPr>
          <w:p>
            <w:pPr>
              <w:jc w:val="right"/>
              <w:ind w:right="282"/>
              <w:spacing w:after="0"/>
              <w:rPr>
                <w:sz w:val="20"/>
                <w:szCs w:val="20"/>
                <w:color w:val="auto"/>
              </w:rPr>
            </w:pPr>
            <w:r>
              <w:rPr>
                <w:rFonts w:ascii="Arial" w:cs="Arial" w:eastAsia="Arial" w:hAnsi="Arial"/>
                <w:sz w:val="14"/>
                <w:szCs w:val="14"/>
                <w:color w:val="auto"/>
              </w:rPr>
              <w:t>Nine months ended</w:t>
            </w:r>
          </w:p>
        </w:tc>
      </w:tr>
      <w:tr>
        <w:trPr>
          <w:trHeight w:val="167"/>
        </w:trPr>
        <w:tc>
          <w:tcPr>
            <w:tcW w:w="7340" w:type="dxa"/>
            <w:vAlign w:val="bottom"/>
          </w:tcPr>
          <w:p>
            <w:pPr>
              <w:spacing w:after="0"/>
              <w:rPr>
                <w:sz w:val="14"/>
                <w:szCs w:val="14"/>
                <w:color w:val="auto"/>
              </w:rPr>
            </w:pPr>
          </w:p>
        </w:tc>
        <w:tc>
          <w:tcPr>
            <w:tcW w:w="1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September 30, 2005</w:t>
            </w:r>
          </w:p>
        </w:tc>
        <w:tc>
          <w:tcPr>
            <w:tcW w:w="440" w:type="dxa"/>
            <w:vAlign w:val="bottom"/>
          </w:tcPr>
          <w:p>
            <w:pPr>
              <w:spacing w:after="0"/>
              <w:rPr>
                <w:sz w:val="14"/>
                <w:szCs w:val="14"/>
                <w:color w:val="auto"/>
              </w:rPr>
            </w:pPr>
          </w:p>
        </w:tc>
        <w:tc>
          <w:tcPr>
            <w:tcW w:w="1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September 30, 2005</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($93,693)</w:t>
            </w:r>
          </w:p>
        </w:tc>
        <w:tc>
          <w:tcPr>
            <w:tcW w:w="230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($7,410,812)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Add: Stock-based employee/director compensation expense included in reported net loss</w:t>
            </w:r>
          </w:p>
        </w:tc>
        <w:tc>
          <w:tcPr>
            <w:tcW w:w="178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60" w:type="dxa"/>
            <w:vAlign w:val="bottom"/>
          </w:tcPr>
          <w:p>
            <w:pPr>
              <w:jc w:val="right"/>
              <w:ind w:right="402"/>
              <w:spacing w:after="0"/>
              <w:rPr>
                <w:sz w:val="20"/>
                <w:szCs w:val="20"/>
                <w:color w:val="auto"/>
              </w:rPr>
            </w:pPr>
            <w:r>
              <w:rPr>
                <w:rFonts w:ascii="Arial" w:cs="Arial" w:eastAsia="Arial" w:hAnsi="Arial"/>
                <w:sz w:val="18"/>
                <w:szCs w:val="18"/>
                <w:color w:val="auto"/>
              </w:rPr>
              <w:t>—</w:t>
            </w:r>
          </w:p>
        </w:tc>
      </w:tr>
      <w:tr>
        <w:trPr>
          <w:trHeight w:val="202"/>
        </w:trPr>
        <w:tc>
          <w:tcPr>
            <w:tcW w:w="7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Deduct: Total stock-based employee/director compensation expense under the fair value based</w:t>
            </w:r>
          </w:p>
        </w:tc>
        <w:tc>
          <w:tcPr>
            <w:tcW w:w="1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method for all awards</w:t>
            </w:r>
          </w:p>
        </w:tc>
        <w:tc>
          <w:tcPr>
            <w:tcW w:w="1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(507,833)</w:t>
            </w:r>
          </w:p>
        </w:tc>
        <w:tc>
          <w:tcPr>
            <w:tcW w:w="230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(746,525)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loss – pro forma</w:t>
            </w:r>
          </w:p>
        </w:tc>
        <w:tc>
          <w:tcPr>
            <w:tcW w:w="1780" w:type="dxa"/>
            <w:vAlign w:val="bottom"/>
          </w:tcPr>
          <w:p>
            <w:pPr>
              <w:jc w:val="right"/>
              <w:ind w:right="334"/>
              <w:spacing w:after="0"/>
              <w:rPr>
                <w:sz w:val="20"/>
                <w:szCs w:val="20"/>
                <w:color w:val="auto"/>
              </w:rPr>
            </w:pPr>
            <w:r>
              <w:rPr>
                <w:rFonts w:ascii="Arial" w:cs="Arial" w:eastAsia="Arial" w:hAnsi="Arial"/>
                <w:sz w:val="18"/>
                <w:szCs w:val="18"/>
                <w:color w:val="auto"/>
              </w:rPr>
              <w:t>($601,526)</w:t>
            </w:r>
          </w:p>
        </w:tc>
        <w:tc>
          <w:tcPr>
            <w:tcW w:w="2300" w:type="dxa"/>
            <w:vAlign w:val="bottom"/>
            <w:gridSpan w:val="2"/>
          </w:tcPr>
          <w:p>
            <w:pPr>
              <w:jc w:val="right"/>
              <w:ind w:right="342"/>
              <w:spacing w:after="0"/>
              <w:rPr>
                <w:sz w:val="20"/>
                <w:szCs w:val="20"/>
                <w:color w:val="auto"/>
              </w:rPr>
            </w:pPr>
            <w:r>
              <w:rPr>
                <w:rFonts w:ascii="Arial" w:cs="Arial" w:eastAsia="Arial" w:hAnsi="Arial"/>
                <w:sz w:val="18"/>
                <w:szCs w:val="18"/>
                <w:color w:val="auto"/>
              </w:rPr>
              <w:t>($8,157,337)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1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($0.00)</w:t>
            </w:r>
          </w:p>
        </w:tc>
        <w:tc>
          <w:tcPr>
            <w:tcW w:w="230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($0.12)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Basic and diluted net loss per share – pro forma</w:t>
            </w:r>
          </w:p>
        </w:tc>
        <w:tc>
          <w:tcPr>
            <w:tcW w:w="1780" w:type="dxa"/>
            <w:vAlign w:val="bottom"/>
          </w:tcPr>
          <w:p>
            <w:pPr>
              <w:jc w:val="right"/>
              <w:ind w:right="334"/>
              <w:spacing w:after="0"/>
              <w:rPr>
                <w:sz w:val="20"/>
                <w:szCs w:val="20"/>
                <w:color w:val="auto"/>
              </w:rPr>
            </w:pPr>
            <w:r>
              <w:rPr>
                <w:rFonts w:ascii="Arial" w:cs="Arial" w:eastAsia="Arial" w:hAnsi="Arial"/>
                <w:sz w:val="18"/>
                <w:szCs w:val="18"/>
                <w:color w:val="auto"/>
              </w:rPr>
              <w:t>($0.01)</w:t>
            </w:r>
          </w:p>
        </w:tc>
        <w:tc>
          <w:tcPr>
            <w:tcW w:w="2300" w:type="dxa"/>
            <w:vAlign w:val="bottom"/>
            <w:gridSpan w:val="2"/>
          </w:tcPr>
          <w:p>
            <w:pPr>
              <w:jc w:val="right"/>
              <w:ind w:right="342"/>
              <w:spacing w:after="0"/>
              <w:rPr>
                <w:sz w:val="20"/>
                <w:szCs w:val="20"/>
                <w:color w:val="auto"/>
              </w:rPr>
            </w:pPr>
            <w:r>
              <w:rPr>
                <w:rFonts w:ascii="Arial" w:cs="Arial" w:eastAsia="Arial" w:hAnsi="Arial"/>
                <w:sz w:val="18"/>
                <w:szCs w:val="18"/>
                <w:color w:val="auto"/>
              </w:rPr>
              <w:t>($0.13)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and diluted loss per share amounts</w:t>
            </w:r>
          </w:p>
        </w:tc>
        <w:tc>
          <w:tcPr>
            <w:tcW w:w="17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64,179,563</w:t>
            </w:r>
          </w:p>
        </w:tc>
        <w:tc>
          <w:tcPr>
            <w:tcW w:w="23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63,226,214</w:t>
            </w:r>
          </w:p>
        </w:tc>
      </w:tr>
    </w:tbl>
    <w:p>
      <w:pPr>
        <w:spacing w:after="0" w:line="94"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 xml:space="preserve">The Company accounts for stock options granted to non-employees in accordance with SFAS 123 and Emerging Issues Task Force (EITF) 96-18 — </w:t>
      </w:r>
      <w:r>
        <w:rPr>
          <w:rFonts w:ascii="Arial" w:cs="Arial" w:eastAsia="Arial" w:hAnsi="Arial"/>
          <w:sz w:val="18"/>
          <w:szCs w:val="18"/>
          <w:i w:val="1"/>
          <w:iCs w:val="1"/>
          <w:color w:val="auto"/>
        </w:rPr>
        <w:t xml:space="preserve">“Accounting For Equity Instruments That Are Issued To Other Than Employees For Acquiring, Or In Conjunction With Selling, Goods Or Services,”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recognizes as expense the estimated fair value of such options as calculated using the Black Scholes model. The fair value is re-measured at each reporting date during the service period and is amortized over the vesting period of each option or the recipient’s contractual arrangement, if shorter. No stock options were issued to non-employees during the three and nine month period ending September 30, 2006, other than options granted to non-employee members of the Board of Directors for service as Board members.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In July 2006, the Company, pursuant to the 2006 Equity Incentive Plan, granted cash-settled Stock Appreciation Rights (SARs) to certain employees. The SARs give the holder the right, upon exercise, to the difference between the price per share of the Company’s common stock at the time of exercise and the exercise price of the SAR. The exercise price of the SARs is equal to the market price of the Company’s common shares at the date of grant. The SARs will vest on the same schedule as the Company’s qualified options issued to employees, i.e., 25% on the first anniversary of the grant date and then 1/48</w:t>
      </w:r>
      <w:r>
        <w:rPr>
          <w:rFonts w:ascii="Arial" w:cs="Arial" w:eastAsia="Arial" w:hAnsi="Arial"/>
          <w:sz w:val="15"/>
          <w:szCs w:val="15"/>
          <w:color w:val="auto"/>
        </w:rPr>
        <w:t>th</w:t>
      </w:r>
      <w:r>
        <w:rPr>
          <w:rFonts w:ascii="Arial" w:cs="Arial" w:eastAsia="Arial" w:hAnsi="Arial"/>
          <w:sz w:val="18"/>
          <w:szCs w:val="18"/>
          <w:color w:val="auto"/>
        </w:rPr>
        <w:t xml:space="preserve"> every month thereafter. The Company will recognize compensation expense for the SARs over the requisite service period which is typically the period over which the awards vest. Since the vesting schedule of the SARs is identical to the vesting schedule of options granted this period, the Company’s fair value calculation of the SARs issued using the Black Scholes model were based on the same assumptions used in calculating compensation expense for stock options granted this period.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fair value of the share-based compensation liability for the cost of the requisite service that has been rendered at the reporting date is re-measured at each reporting date through the date of settlement. The following table presents the activity of the Company’s SARs awards for the nine month periods ended September 30, 2006 and 2005.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1278"/>
              <w:spacing w:after="0"/>
              <w:rPr>
                <w:sz w:val="20"/>
                <w:szCs w:val="20"/>
                <w:color w:val="auto"/>
              </w:rPr>
            </w:pPr>
            <w:r>
              <w:rPr>
                <w:rFonts w:ascii="Arial" w:cs="Arial" w:eastAsia="Arial" w:hAnsi="Arial"/>
                <w:sz w:val="14"/>
                <w:szCs w:val="14"/>
                <w:color w:val="auto"/>
              </w:rPr>
              <w:t>2006</w:t>
            </w: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58"/>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Pr>
          <w:p>
            <w:pPr>
              <w:jc w:val="center"/>
              <w:ind w:left="678"/>
              <w:spacing w:after="0" w:line="123" w:lineRule="exact"/>
              <w:rPr>
                <w:sz w:val="20"/>
                <w:szCs w:val="20"/>
                <w:color w:val="auto"/>
              </w:rPr>
            </w:pPr>
            <w:r>
              <w:rPr>
                <w:rFonts w:ascii="Arial" w:cs="Arial" w:eastAsia="Arial" w:hAnsi="Arial"/>
                <w:sz w:val="14"/>
                <w:szCs w:val="14"/>
                <w:color w:val="auto"/>
                <w:w w:val="91"/>
              </w:rPr>
              <w:t>Weighted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jc w:val="center"/>
              <w:ind w:left="398"/>
              <w:spacing w:after="0" w:line="123"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jc w:val="center"/>
              <w:ind w:left="678"/>
              <w:spacing w:after="0" w:line="149" w:lineRule="exact"/>
              <w:rPr>
                <w:sz w:val="20"/>
                <w:szCs w:val="20"/>
                <w:color w:val="auto"/>
              </w:rPr>
            </w:pPr>
            <w:r>
              <w:rPr>
                <w:rFonts w:ascii="Arial" w:cs="Arial" w:eastAsia="Arial" w:hAnsi="Arial"/>
                <w:sz w:val="14"/>
                <w:szCs w:val="14"/>
                <w:color w:val="auto"/>
                <w:w w:val="92"/>
              </w:rPr>
              <w:t>Average Exercise</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jc w:val="center"/>
              <w:ind w:left="398"/>
              <w:spacing w:after="0" w:line="149" w:lineRule="exact"/>
              <w:rPr>
                <w:sz w:val="20"/>
                <w:szCs w:val="20"/>
                <w:color w:val="auto"/>
              </w:rPr>
            </w:pPr>
            <w:r>
              <w:rPr>
                <w:rFonts w:ascii="Arial" w:cs="Arial" w:eastAsia="Arial" w:hAnsi="Arial"/>
                <w:sz w:val="14"/>
                <w:szCs w:val="14"/>
                <w:color w:val="auto"/>
                <w:w w:val="92"/>
              </w:rPr>
              <w:t>Average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SARs</w:t>
            </w:r>
          </w:p>
        </w:tc>
        <w:tc>
          <w:tcPr>
            <w:tcW w:w="1940" w:type="dxa"/>
            <w:vAlign w:val="bottom"/>
          </w:tcPr>
          <w:p>
            <w:pPr>
              <w:jc w:val="center"/>
              <w:ind w:left="678"/>
              <w:spacing w:after="0" w:line="149" w:lineRule="exact"/>
              <w:rPr>
                <w:sz w:val="20"/>
                <w:szCs w:val="20"/>
                <w:color w:val="auto"/>
              </w:rPr>
            </w:pPr>
            <w:r>
              <w:rPr>
                <w:rFonts w:ascii="Arial" w:cs="Arial" w:eastAsia="Arial" w:hAnsi="Arial"/>
                <w:sz w:val="14"/>
                <w:szCs w:val="14"/>
                <w:color w:val="auto"/>
                <w:w w:val="93"/>
              </w:rPr>
              <w:t>Price</w:t>
            </w:r>
          </w:p>
        </w:tc>
        <w:tc>
          <w:tcPr>
            <w:tcW w:w="500" w:type="dxa"/>
            <w:vAlign w:val="bottom"/>
          </w:tcPr>
          <w:p>
            <w:pPr>
              <w:spacing w:after="0"/>
              <w:rPr>
                <w:sz w:val="12"/>
                <w:szCs w:val="12"/>
                <w:color w:val="auto"/>
              </w:rPr>
            </w:pPr>
          </w:p>
        </w:tc>
        <w:tc>
          <w:tcPr>
            <w:tcW w:w="8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SARs</w:t>
            </w:r>
          </w:p>
        </w:tc>
        <w:tc>
          <w:tcPr>
            <w:tcW w:w="1540" w:type="dxa"/>
            <w:vAlign w:val="bottom"/>
          </w:tcPr>
          <w:p>
            <w:pPr>
              <w:jc w:val="center"/>
              <w:ind w:left="398"/>
              <w:spacing w:after="0" w:line="149" w:lineRule="exact"/>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1278"/>
              <w:spacing w:after="0"/>
              <w:rPr>
                <w:sz w:val="20"/>
                <w:szCs w:val="20"/>
                <w:color w:val="auto"/>
              </w:rPr>
            </w:pPr>
            <w:r>
              <w:rPr>
                <w:rFonts w:ascii="Arial" w:cs="Arial" w:eastAsia="Arial" w:hAnsi="Arial"/>
                <w:sz w:val="14"/>
                <w:szCs w:val="14"/>
                <w:color w:val="auto"/>
              </w:rPr>
              <w:t>2006</w:t>
            </w: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58"/>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1,564,599</w:t>
            </w:r>
          </w:p>
        </w:tc>
        <w:tc>
          <w:tcPr>
            <w:tcW w:w="1940" w:type="dxa"/>
            <w:vAlign w:val="bottom"/>
          </w:tcPr>
          <w:p>
            <w:pPr>
              <w:jc w:val="right"/>
              <w:ind w:right="338"/>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Canceled</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94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1,564,599</w:t>
            </w:r>
          </w:p>
        </w:tc>
        <w:tc>
          <w:tcPr>
            <w:tcW w:w="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SARs exercisable at September 30</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vMerge w:val="restart"/>
          </w:tcPr>
          <w:p>
            <w:pPr>
              <w:jc w:val="right"/>
              <w:ind w:right="338"/>
              <w:spacing w:after="0"/>
              <w:rPr>
                <w:sz w:val="20"/>
                <w:szCs w:val="20"/>
                <w:color w:val="auto"/>
              </w:rPr>
            </w:pPr>
            <w:r>
              <w:rPr>
                <w:rFonts w:ascii="Arial" w:cs="Arial" w:eastAsia="Arial" w:hAnsi="Arial"/>
                <w:sz w:val="18"/>
                <w:szCs w:val="18"/>
                <w:color w:val="auto"/>
              </w:rPr>
              <w:t>—</w:t>
            </w: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vMerge w:val="restart"/>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At September 30, 2006, approximately $2,100,000 of unrecognized compensation expense related to SARs is expected to be recognized over a weighted average period of approximately 2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The Company currently recognizes revenues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is currently evaluating the following recent accounting pronouncements: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June 2006, the FASB issued Interpretation No. 48</w:t>
      </w:r>
      <w:r>
        <w:rPr>
          <w:rFonts w:ascii="Arial" w:cs="Arial" w:eastAsia="Arial" w:hAnsi="Arial"/>
          <w:sz w:val="18"/>
          <w:szCs w:val="18"/>
          <w:i w:val="1"/>
          <w:iCs w:val="1"/>
          <w:color w:val="auto"/>
        </w:rPr>
        <w:t>, “Accounting for Uncertainty in Income Taxes—an Interpretation of FASB Statement No. 109”</w:t>
      </w:r>
      <w:r>
        <w:rPr>
          <w:rFonts w:ascii="Arial" w:cs="Arial" w:eastAsia="Arial" w:hAnsi="Arial"/>
          <w:sz w:val="18"/>
          <w:szCs w:val="18"/>
          <w:color w:val="auto"/>
        </w:rPr>
        <w:t xml:space="preserve"> (“FIN 48”). FIN 48 clarifies the accounting for uncertainty in income taxes recognized in an entity’s financial statements in accordance with SFAS No. 109, “Accounting for Income Taxes,” and prescribes a recognition threshold and measurement attribute for the financial statement recognition and measurement of a tax position taken or expected to be taken in a tax return. Additionally, FIN 48 provides guidance on subsequent derecognition of tax positions, financial statement classification, recognition of interest and penalties, accounting in interim periods, and disclosure and transition requirements. FIN 48 is effective for the Company’s fiscal year beginning January 1, 2007, with early adoption permitted. The Company is currently evaluating the impact, if any, of the adoption of FIN 48 on its consolidated financial statements.</w:t>
      </w:r>
    </w:p>
    <w:p>
      <w:pPr>
        <w:spacing w:after="0" w:line="81"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In September 2006, the FASB issued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defines fair value, establishes a framework for measuring fair value under GAAP, and expands disclosures about fair value measurements. SFAS 157 applies to other accounting pronouncements that require or permit fair value measurements. The new guidance is effective for financial statements issued for fiscal years beginning after November 15, 2007, and for interim periods within those fiscal years. The Company is currently evaluating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SFAS 157; however, it does not believe that its adoption will have a material effect on its consolidated financial statements.</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In September 2006, the Staff of the SEC issued Staff Accounting Bulletin No. 108, </w:t>
      </w:r>
      <w:r>
        <w:rPr>
          <w:rFonts w:ascii="Arial" w:cs="Arial" w:eastAsia="Arial" w:hAnsi="Arial"/>
          <w:sz w:val="17"/>
          <w:szCs w:val="17"/>
          <w:i w:val="1"/>
          <w:iCs w:val="1"/>
          <w:color w:val="auto"/>
        </w:rPr>
        <w:t>“Considering the Effects of Prior Year Misstatements when</w:t>
      </w:r>
      <w:r>
        <w:rPr>
          <w:rFonts w:ascii="Arial" w:cs="Arial" w:eastAsia="Arial" w:hAnsi="Arial"/>
          <w:sz w:val="17"/>
          <w:szCs w:val="17"/>
          <w:color w:val="auto"/>
        </w:rPr>
        <w:t xml:space="preserve"> </w:t>
      </w:r>
      <w:r>
        <w:rPr>
          <w:rFonts w:ascii="Arial" w:cs="Arial" w:eastAsia="Arial" w:hAnsi="Arial"/>
          <w:sz w:val="17"/>
          <w:szCs w:val="17"/>
          <w:i w:val="1"/>
          <w:iCs w:val="1"/>
          <w:color w:val="auto"/>
        </w:rPr>
        <w:t>Quantifying Misstatements in Current Year Financial Statements” (</w:t>
      </w:r>
      <w:r>
        <w:rPr>
          <w:rFonts w:ascii="Arial" w:cs="Arial" w:eastAsia="Arial" w:hAnsi="Arial"/>
          <w:sz w:val="17"/>
          <w:szCs w:val="17"/>
          <w:color w:val="auto"/>
        </w:rPr>
        <w:t>SAB No.108)</w:t>
      </w:r>
      <w:r>
        <w:rPr>
          <w:rFonts w:ascii="Arial" w:cs="Arial" w:eastAsia="Arial" w:hAnsi="Arial"/>
          <w:sz w:val="17"/>
          <w:szCs w:val="17"/>
          <w:i w:val="1"/>
          <w:iCs w:val="1"/>
          <w:color w:val="auto"/>
        </w:rPr>
        <w:t xml:space="preserve">. </w:t>
      </w:r>
      <w:r>
        <w:rPr>
          <w:rFonts w:ascii="Arial" w:cs="Arial" w:eastAsia="Arial" w:hAnsi="Arial"/>
          <w:sz w:val="17"/>
          <w:szCs w:val="17"/>
          <w:color w:val="auto"/>
        </w:rPr>
        <w:t>SAB No. 108 provides guidance on the consideration of the effects of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misstatements in quantifying current year misstatements for the purpose of determining whether the current year’s financial statements are materially misstated. SAB No. 108 is effective for the Company’s fiscal year beginning January 1, 2007. The Company is currently evaluating the requirements of SAB No. 108; however, it does not believe that its adoption will have a material effect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RENEURON LICENSE AND SETTLEMENT AGREEMENT</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An amendment to the agreement was entered on April 3, 2006, a copy of which was attached as Exhibit 10.1 to the Company’s Quarterly Report on Form 10-Q for the quarter ended March 31, 2006. On June 29, 2006, ReNeuron issued additional shares of common stock, of which StemCells was entitled to 439,071 shares because of the anti-dilution provisions within the agreement and net of shares due to Neurospheres Ltd., an Alberta corporation from which StemCells has licensed some of the patent rights that are the subject of the agreement with ReNeuron. The Company recorded approximately $103,000 as other income for the additional shares. The fair market value of the Company’s holdings in ReNeuron common stock as of December 31, 2005 (8,835,766 shares) and September 30, 2006 (9,274,837 shares) was approximately $3,721,000 and $1,042,000 respectively. Changes in market value as a result of changes in market price per share or the exchange rate between the US dollar and the British pound are accounted for under “other comprehensive loss” if deemed temporary, as in this case, and are not recorded as “other income or loss” until the shares are disposed of and a gain or loss realized. The unrealized loss as of September 30, 2006, is approximately $3,037,000. A decline in the fair value of securities that is deemed other than temporary would be charged to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 bonds’ maturities, ranging currently from 8.1% to 9.5%. The outstanding principal at September 30, 2006 was approximately $1,416,000. The bonds contain certain restrictive covenants, which limit among other things, the payment of cash dividends and the sale of the related assets.</w:t>
      </w:r>
    </w:p>
    <w:p>
      <w:pPr>
        <w:spacing w:after="0" w:line="50"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2005 and September 30, 2006, the Company had deferred rent liability for this facility of approximately $1,208,000 and $1,231,000 respectively; the deferred rent liability is presented as part of the wind-down accrual.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59"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As of February 1, 2001, the Company entered into a 5-year lease for 40,000 square feet of an approximately 68,000 square foot facility located in the Stanford Research Park in Palo Alto, CA. The facility includes space for animals, laboratories and offices. On December 19, 2002 the Company negotiated an amendment to the lease, which resulted in reducing the average annual rent over the remaining term of the lease from approximately $3.7 million to</w:t>
      </w:r>
    </w:p>
    <w:p>
      <w:pPr>
        <w:spacing w:after="0"/>
        <w:rPr>
          <w:sz w:val="20"/>
          <w:szCs w:val="20"/>
          <w:color w:val="auto"/>
        </w:rPr>
      </w:pPr>
      <w:r>
        <w:rPr>
          <w:rFonts w:ascii="Arial" w:cs="Arial" w:eastAsia="Arial" w:hAnsi="Arial"/>
          <w:sz w:val="16"/>
          <w:szCs w:val="16"/>
          <w:color w:val="auto"/>
        </w:rPr>
        <w:t>$2.0 million. As part of the amendment the Company issued a letter of credit on January 2, 2003 for $503,079, which was an addition to the letter of credit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$275,000 issued at commencement of the lease, to serve as a deposit for the duration of the lease. The Company negotiated an amendment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lease effective April 1, 2005, which extends the term of the lease through March 31, 2010, includes an immediate reduction in the rent per square foot,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provides for an expansion of the leased premises by approximately 28,000 additional square feet effective July 1, 2006. In addition, the Company sublet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some of the additional space for the period from April 1, 2005 through June 30, 2006. The average annual rent due from the Company under its lease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commencing April 1, 2005 to March 31, 2010 is approximately $2 million before subtenant income. The lease has escalating rent payments, which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is recognizing on a straight-line basis. At September 30, 2006, the Company had deferred rent liability for this facility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$1,007,000. At September 30, 2006 the Company has a space-sharing agreement covering in total approximately 11,000 square feet of this facility.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receives the amount of base rent plus the proportionate share of the operating expenses that it pays for such space over the term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RELOCATION TO CALIFORNIA FROM RHODE ISLAND</w:t>
      </w:r>
    </w:p>
    <w:p>
      <w:pPr>
        <w:spacing w:after="0" w:line="12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the Company’s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2005 the reserve was approximately $6,098,000. For the three and nine-month period ended September 30, 2006, the Company incurred approximately $368,000 and $950,000 respectively in operating expenses, which was recorded against the reserve. After evaluating the afore-mentioned factors the Company re-valued the reserve to $5,647,000 at September 30, 2006 by recording an additional $156,000, $175,100 and $168,000 at March 31, 2006, June 30, 2006 and September 30, 2006 respectively, as wind-down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July to</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January to</w:t>
            </w:r>
          </w:p>
        </w:tc>
        <w:tc>
          <w:tcPr>
            <w:tcW w:w="1480" w:type="dxa"/>
            <w:vAlign w:val="bottom"/>
          </w:tcPr>
          <w:p>
            <w:pPr>
              <w:jc w:val="center"/>
              <w:ind w:left="121"/>
              <w:spacing w:after="0"/>
              <w:rPr>
                <w:sz w:val="20"/>
                <w:szCs w:val="20"/>
                <w:color w:val="auto"/>
              </w:rPr>
            </w:pPr>
            <w:r>
              <w:rPr>
                <w:rFonts w:ascii="Arial" w:cs="Arial" w:eastAsia="Arial" w:hAnsi="Arial"/>
                <w:sz w:val="14"/>
                <w:szCs w:val="14"/>
                <w:color w:val="auto"/>
                <w:w w:val="91"/>
              </w:rPr>
              <w:t>January to</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60" w:type="dxa"/>
            <w:vAlign w:val="bottom"/>
          </w:tcPr>
          <w:p>
            <w:pPr>
              <w:jc w:val="right"/>
              <w:ind w:right="539"/>
              <w:spacing w:after="0" w:line="149" w:lineRule="exact"/>
              <w:rPr>
                <w:sz w:val="20"/>
                <w:szCs w:val="20"/>
                <w:color w:val="auto"/>
              </w:rPr>
            </w:pPr>
            <w:r>
              <w:rPr>
                <w:rFonts w:ascii="Arial" w:cs="Arial" w:eastAsia="Arial" w:hAnsi="Arial"/>
                <w:sz w:val="14"/>
                <w:szCs w:val="14"/>
                <w:color w:val="auto"/>
              </w:rPr>
              <w:t>January to</w:t>
            </w:r>
          </w:p>
        </w:tc>
        <w:tc>
          <w:tcPr>
            <w:tcW w:w="1620" w:type="dxa"/>
            <w:vAlign w:val="bottom"/>
          </w:tcPr>
          <w:p>
            <w:pPr>
              <w:jc w:val="right"/>
              <w:ind w:right="357"/>
              <w:spacing w:after="0" w:line="149" w:lineRule="exact"/>
              <w:rPr>
                <w:sz w:val="20"/>
                <w:szCs w:val="20"/>
                <w:color w:val="auto"/>
              </w:rPr>
            </w:pPr>
            <w:r>
              <w:rPr>
                <w:rFonts w:ascii="Arial" w:cs="Arial" w:eastAsia="Arial" w:hAnsi="Arial"/>
                <w:sz w:val="14"/>
                <w:szCs w:val="14"/>
                <w:color w:val="auto"/>
              </w:rPr>
              <w:t>April to June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c>
          <w:tcPr>
            <w:tcW w:w="1480" w:type="dxa"/>
            <w:vAlign w:val="bottom"/>
          </w:tcPr>
          <w:p>
            <w:pPr>
              <w:jc w:val="center"/>
              <w:ind w:left="121"/>
              <w:spacing w:after="0" w:line="149" w:lineRule="exact"/>
              <w:rPr>
                <w:sz w:val="20"/>
                <w:szCs w:val="20"/>
                <w:color w:val="auto"/>
              </w:rPr>
            </w:pPr>
            <w:r>
              <w:rPr>
                <w:rFonts w:ascii="Arial" w:cs="Arial" w:eastAsia="Arial" w:hAnsi="Arial"/>
                <w:sz w:val="14"/>
                <w:szCs w:val="14"/>
                <w:color w:val="auto"/>
                <w:w w:val="90"/>
              </w:rPr>
              <w:t>December 31,</w:t>
            </w: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March 31, 2006</w:t>
            </w:r>
          </w:p>
        </w:tc>
        <w:tc>
          <w:tcPr>
            <w:tcW w:w="16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30, 2006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30, 2006</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148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color w:val="auto"/>
                <w:w w:val="89"/>
              </w:rPr>
              <w:t>2005</w:t>
            </w: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wind-down reserve at beginning</w:t>
            </w:r>
          </w:p>
        </w:tc>
        <w:tc>
          <w:tcPr>
            <w:tcW w:w="1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period</w:t>
            </w:r>
          </w:p>
        </w:tc>
        <w:tc>
          <w:tcPr>
            <w:tcW w:w="1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$6,098,000</w:t>
            </w:r>
          </w:p>
        </w:tc>
        <w:tc>
          <w:tcPr>
            <w:tcW w:w="16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5,970,000</w:t>
            </w:r>
          </w:p>
        </w:tc>
        <w:tc>
          <w:tcPr>
            <w:tcW w:w="156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5,847,000</w:t>
            </w:r>
          </w:p>
        </w:tc>
        <w:tc>
          <w:tcPr>
            <w:tcW w:w="160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$6,098,000</w:t>
            </w:r>
          </w:p>
        </w:tc>
        <w:tc>
          <w:tcPr>
            <w:tcW w:w="14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$ 4,350,000</w:t>
            </w: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Less actual expenses recorded against</w:t>
            </w:r>
          </w:p>
        </w:tc>
        <w:tc>
          <w:tcPr>
            <w:tcW w:w="1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estimated reserve during the period</w:t>
            </w:r>
          </w:p>
        </w:tc>
        <w:tc>
          <w:tcPr>
            <w:tcW w:w="1660" w:type="dxa"/>
            <w:vAlign w:val="bottom"/>
          </w:tcPr>
          <w:p>
            <w:pPr>
              <w:jc w:val="right"/>
              <w:ind w:right="399"/>
              <w:spacing w:after="0"/>
              <w:rPr>
                <w:sz w:val="20"/>
                <w:szCs w:val="20"/>
                <w:color w:val="auto"/>
              </w:rPr>
            </w:pPr>
            <w:r>
              <w:rPr>
                <w:rFonts w:ascii="Arial" w:cs="Arial" w:eastAsia="Arial" w:hAnsi="Arial"/>
                <w:sz w:val="18"/>
                <w:szCs w:val="18"/>
                <w:color w:val="auto"/>
              </w:rPr>
              <w:t>(284,000)</w:t>
            </w:r>
          </w:p>
        </w:tc>
        <w:tc>
          <w:tcPr>
            <w:tcW w:w="1620" w:type="dxa"/>
            <w:vAlign w:val="bottom"/>
          </w:tcPr>
          <w:p>
            <w:pPr>
              <w:jc w:val="right"/>
              <w:ind w:right="317"/>
              <w:spacing w:after="0"/>
              <w:rPr>
                <w:sz w:val="20"/>
                <w:szCs w:val="20"/>
                <w:color w:val="auto"/>
              </w:rPr>
            </w:pPr>
            <w:r>
              <w:rPr>
                <w:rFonts w:ascii="Arial" w:cs="Arial" w:eastAsia="Arial" w:hAnsi="Arial"/>
                <w:sz w:val="18"/>
                <w:szCs w:val="18"/>
                <w:color w:val="auto"/>
              </w:rPr>
              <w:t>(298,000)</w:t>
            </w:r>
          </w:p>
        </w:tc>
        <w:tc>
          <w:tcPr>
            <w:tcW w:w="1560" w:type="dxa"/>
            <w:vAlign w:val="bottom"/>
          </w:tcPr>
          <w:p>
            <w:pPr>
              <w:jc w:val="right"/>
              <w:ind w:right="301"/>
              <w:spacing w:after="0"/>
              <w:rPr>
                <w:sz w:val="20"/>
                <w:szCs w:val="20"/>
                <w:color w:val="auto"/>
              </w:rPr>
            </w:pPr>
            <w:r>
              <w:rPr>
                <w:rFonts w:ascii="Arial" w:cs="Arial" w:eastAsia="Arial" w:hAnsi="Arial"/>
                <w:sz w:val="18"/>
                <w:szCs w:val="18"/>
                <w:color w:val="auto"/>
              </w:rPr>
              <w:t>(368,000)</w:t>
            </w:r>
          </w:p>
        </w:tc>
        <w:tc>
          <w:tcPr>
            <w:tcW w:w="1600" w:type="dxa"/>
            <w:vAlign w:val="bottom"/>
          </w:tcPr>
          <w:p>
            <w:pPr>
              <w:jc w:val="right"/>
              <w:ind w:right="281"/>
              <w:spacing w:after="0"/>
              <w:rPr>
                <w:sz w:val="20"/>
                <w:szCs w:val="20"/>
                <w:color w:val="auto"/>
              </w:rPr>
            </w:pPr>
            <w:r>
              <w:rPr>
                <w:rFonts w:ascii="Arial" w:cs="Arial" w:eastAsia="Arial" w:hAnsi="Arial"/>
                <w:sz w:val="18"/>
                <w:szCs w:val="18"/>
                <w:color w:val="auto"/>
              </w:rPr>
              <w:t>(950,000)</w:t>
            </w:r>
          </w:p>
        </w:tc>
        <w:tc>
          <w:tcPr>
            <w:tcW w:w="1480" w:type="dxa"/>
            <w:vAlign w:val="bottom"/>
          </w:tcPr>
          <w:p>
            <w:pPr>
              <w:jc w:val="right"/>
              <w:ind w:right="101"/>
              <w:spacing w:after="0"/>
              <w:rPr>
                <w:sz w:val="20"/>
                <w:szCs w:val="20"/>
                <w:color w:val="auto"/>
              </w:rPr>
            </w:pPr>
            <w:r>
              <w:rPr>
                <w:rFonts w:ascii="Arial" w:cs="Arial" w:eastAsia="Arial" w:hAnsi="Arial"/>
                <w:sz w:val="18"/>
                <w:szCs w:val="18"/>
                <w:color w:val="auto"/>
              </w:rPr>
              <w:t>(1,079,000)</w:t>
            </w:r>
          </w:p>
        </w:tc>
      </w:tr>
      <w:tr>
        <w:trPr>
          <w:trHeight w:val="40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jc w:val="right"/>
              <w:ind w:right="897"/>
              <w:spacing w:after="0"/>
              <w:rPr>
                <w:sz w:val="20"/>
                <w:szCs w:val="20"/>
                <w:color w:val="auto"/>
              </w:rPr>
            </w:pPr>
            <w:r>
              <w:rPr>
                <w:rFonts w:ascii="Arial" w:cs="Arial" w:eastAsia="Arial" w:hAnsi="Arial"/>
                <w:sz w:val="18"/>
                <w:szCs w:val="18"/>
                <w:color w:val="auto"/>
              </w:rPr>
              <w:t>12</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right="300" w:hanging="202"/>
        <w:spacing w:after="0" w:line="299" w:lineRule="auto"/>
        <w:rPr>
          <w:sz w:val="20"/>
          <w:szCs w:val="20"/>
          <w:color w:val="auto"/>
        </w:rPr>
      </w:pPr>
      <w:r>
        <w:rPr>
          <w:rFonts w:ascii="Arial" w:cs="Arial" w:eastAsia="Arial" w:hAnsi="Arial"/>
          <w:sz w:val="16"/>
          <w:szCs w:val="16"/>
          <w:color w:val="auto"/>
        </w:rPr>
        <w:t>Additional expense recorded to revise estimated reserve at period-end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Revised reserve at period-end</w:t>
      </w:r>
    </w:p>
    <w:p>
      <w:pPr>
        <w:spacing w:after="0" w:line="23" w:lineRule="exact"/>
        <w:rPr>
          <w:sz w:val="20"/>
          <w:szCs w:val="20"/>
          <w:color w:val="auto"/>
        </w:rPr>
      </w:pPr>
    </w:p>
    <w:p>
      <w:pPr>
        <w:ind w:left="220" w:hanging="202"/>
        <w:spacing w:after="0" w:line="257" w:lineRule="auto"/>
        <w:rPr>
          <w:sz w:val="20"/>
          <w:szCs w:val="20"/>
          <w:color w:val="auto"/>
        </w:rPr>
      </w:pPr>
      <w:r>
        <w:rPr>
          <w:rFonts w:ascii="Arial" w:cs="Arial" w:eastAsia="Arial" w:hAnsi="Arial"/>
          <w:sz w:val="18"/>
          <w:szCs w:val="18"/>
          <w:color w:val="auto"/>
        </w:rPr>
        <w:t>Add deferred rent at period end (See Note 3)</w:t>
      </w:r>
    </w:p>
    <w:p>
      <w:pPr>
        <w:spacing w:after="0" w:line="2" w:lineRule="exact"/>
        <w:rPr>
          <w:sz w:val="20"/>
          <w:szCs w:val="20"/>
          <w:color w:val="auto"/>
        </w:rPr>
      </w:pPr>
    </w:p>
    <w:p>
      <w:pPr>
        <w:jc w:val="both"/>
        <w:ind w:left="220" w:right="260" w:hanging="202"/>
        <w:spacing w:after="0" w:line="263" w:lineRule="auto"/>
        <w:rPr>
          <w:sz w:val="20"/>
          <w:szCs w:val="20"/>
          <w:color w:val="auto"/>
        </w:rPr>
      </w:pPr>
      <w:r>
        <w:rPr>
          <w:rFonts w:ascii="Arial" w:cs="Arial" w:eastAsia="Arial" w:hAnsi="Arial"/>
          <w:sz w:val="18"/>
          <w:szCs w:val="18"/>
          <w:color w:val="auto"/>
        </w:rPr>
        <w:t>Total accrued wind-down expenses at period-end (current and non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July to</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January to</w:t>
            </w:r>
          </w:p>
        </w:tc>
        <w:tc>
          <w:tcPr>
            <w:tcW w:w="1440" w:type="dxa"/>
            <w:vAlign w:val="bottom"/>
          </w:tcPr>
          <w:p>
            <w:pPr>
              <w:jc w:val="center"/>
              <w:ind w:left="118"/>
              <w:spacing w:after="0"/>
              <w:rPr>
                <w:sz w:val="20"/>
                <w:szCs w:val="20"/>
                <w:color w:val="auto"/>
              </w:rPr>
            </w:pPr>
            <w:r>
              <w:rPr>
                <w:rFonts w:ascii="Arial" w:cs="Arial" w:eastAsia="Arial" w:hAnsi="Arial"/>
                <w:sz w:val="14"/>
                <w:szCs w:val="14"/>
                <w:color w:val="auto"/>
                <w:w w:val="91"/>
              </w:rPr>
              <w:t>January to</w:t>
            </w:r>
          </w:p>
        </w:tc>
      </w:tr>
      <w:tr>
        <w:trPr>
          <w:trHeight w:val="149"/>
        </w:trPr>
        <w:tc>
          <w:tcPr>
            <w:tcW w:w="1620" w:type="dxa"/>
            <w:vAlign w:val="bottom"/>
          </w:tcPr>
          <w:p>
            <w:pPr>
              <w:jc w:val="right"/>
              <w:ind w:right="496"/>
              <w:spacing w:after="0" w:line="149" w:lineRule="exact"/>
              <w:rPr>
                <w:sz w:val="20"/>
                <w:szCs w:val="20"/>
                <w:color w:val="auto"/>
              </w:rPr>
            </w:pPr>
            <w:r>
              <w:rPr>
                <w:rFonts w:ascii="Arial" w:cs="Arial" w:eastAsia="Arial" w:hAnsi="Arial"/>
                <w:sz w:val="14"/>
                <w:szCs w:val="14"/>
                <w:color w:val="auto"/>
              </w:rPr>
              <w:t>January to</w:t>
            </w:r>
          </w:p>
        </w:tc>
        <w:tc>
          <w:tcPr>
            <w:tcW w:w="1620" w:type="dxa"/>
            <w:vAlign w:val="bottom"/>
          </w:tcPr>
          <w:p>
            <w:pPr>
              <w:jc w:val="right"/>
              <w:ind w:right="296"/>
              <w:spacing w:after="0" w:line="149" w:lineRule="exact"/>
              <w:rPr>
                <w:sz w:val="20"/>
                <w:szCs w:val="20"/>
                <w:color w:val="auto"/>
              </w:rPr>
            </w:pPr>
            <w:r>
              <w:rPr>
                <w:rFonts w:ascii="Arial" w:cs="Arial" w:eastAsia="Arial" w:hAnsi="Arial"/>
                <w:sz w:val="14"/>
                <w:szCs w:val="14"/>
                <w:color w:val="auto"/>
              </w:rPr>
              <w:t>April to June</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c>
          <w:tcPr>
            <w:tcW w:w="1440" w:type="dxa"/>
            <w:vAlign w:val="bottom"/>
          </w:tcPr>
          <w:p>
            <w:pPr>
              <w:jc w:val="center"/>
              <w:ind w:left="118"/>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March 31, 2006</w:t>
            </w:r>
          </w:p>
        </w:tc>
        <w:tc>
          <w:tcPr>
            <w:tcW w:w="16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30, 2006</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30, 2006</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1440" w:type="dxa"/>
            <w:vAlign w:val="bottom"/>
            <w:tcBorders>
              <w:bottom w:val="single" w:sz="8" w:color="auto"/>
            </w:tcBorders>
          </w:tcPr>
          <w:p>
            <w:pPr>
              <w:jc w:val="center"/>
              <w:ind w:left="118"/>
              <w:spacing w:after="0"/>
              <w:rPr>
                <w:sz w:val="20"/>
                <w:szCs w:val="20"/>
                <w:color w:val="auto"/>
              </w:rPr>
            </w:pPr>
            <w:r>
              <w:rPr>
                <w:rFonts w:ascii="Arial" w:cs="Arial" w:eastAsia="Arial" w:hAnsi="Arial"/>
                <w:sz w:val="14"/>
                <w:szCs w:val="14"/>
                <w:color w:val="auto"/>
                <w:w w:val="89"/>
              </w:rPr>
              <w:t>2005</w:t>
            </w:r>
          </w:p>
        </w:tc>
      </w:tr>
      <w:tr>
        <w:trPr>
          <w:trHeight w:val="439"/>
        </w:trPr>
        <w:tc>
          <w:tcPr>
            <w:tcW w:w="1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156,000</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175,000</w:t>
            </w: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168,000</w:t>
            </w: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499,000</w:t>
            </w:r>
          </w:p>
        </w:tc>
        <w:tc>
          <w:tcPr>
            <w:tcW w:w="14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2,827,000</w:t>
            </w:r>
          </w:p>
        </w:tc>
      </w:tr>
      <w:tr>
        <w:trPr>
          <w:trHeight w:val="224"/>
        </w:trPr>
        <w:tc>
          <w:tcPr>
            <w:tcW w:w="1620" w:type="dxa"/>
            <w:vAlign w:val="bottom"/>
          </w:tcPr>
          <w:p>
            <w:pPr>
              <w:jc w:val="right"/>
              <w:ind w:right="416"/>
              <w:spacing w:after="0"/>
              <w:rPr>
                <w:sz w:val="20"/>
                <w:szCs w:val="20"/>
                <w:color w:val="auto"/>
              </w:rPr>
            </w:pPr>
            <w:r>
              <w:rPr>
                <w:rFonts w:ascii="Arial" w:cs="Arial" w:eastAsia="Arial" w:hAnsi="Arial"/>
                <w:sz w:val="18"/>
                <w:szCs w:val="18"/>
                <w:color w:val="auto"/>
              </w:rPr>
              <w:t>5,970,000</w:t>
            </w:r>
          </w:p>
        </w:tc>
        <w:tc>
          <w:tcPr>
            <w:tcW w:w="1620" w:type="dxa"/>
            <w:vAlign w:val="bottom"/>
          </w:tcPr>
          <w:p>
            <w:pPr>
              <w:jc w:val="right"/>
              <w:ind w:right="296"/>
              <w:spacing w:after="0"/>
              <w:rPr>
                <w:sz w:val="20"/>
                <w:szCs w:val="20"/>
                <w:color w:val="auto"/>
              </w:rPr>
            </w:pPr>
            <w:r>
              <w:rPr>
                <w:rFonts w:ascii="Arial" w:cs="Arial" w:eastAsia="Arial" w:hAnsi="Arial"/>
                <w:sz w:val="18"/>
                <w:szCs w:val="18"/>
                <w:color w:val="auto"/>
              </w:rPr>
              <w:t>5,847,000</w:t>
            </w:r>
          </w:p>
        </w:tc>
        <w:tc>
          <w:tcPr>
            <w:tcW w:w="1600" w:type="dxa"/>
            <w:vAlign w:val="bottom"/>
          </w:tcPr>
          <w:p>
            <w:pPr>
              <w:jc w:val="right"/>
              <w:ind w:right="318"/>
              <w:spacing w:after="0"/>
              <w:rPr>
                <w:sz w:val="20"/>
                <w:szCs w:val="20"/>
                <w:color w:val="auto"/>
              </w:rPr>
            </w:pPr>
            <w:r>
              <w:rPr>
                <w:rFonts w:ascii="Arial" w:cs="Arial" w:eastAsia="Arial" w:hAnsi="Arial"/>
                <w:sz w:val="18"/>
                <w:szCs w:val="18"/>
                <w:color w:val="auto"/>
              </w:rPr>
              <w:t>5,647,000</w:t>
            </w:r>
          </w:p>
        </w:tc>
        <w:tc>
          <w:tcPr>
            <w:tcW w:w="1600" w:type="dxa"/>
            <w:vAlign w:val="bottom"/>
          </w:tcPr>
          <w:p>
            <w:pPr>
              <w:jc w:val="right"/>
              <w:ind w:right="318"/>
              <w:spacing w:after="0"/>
              <w:rPr>
                <w:sz w:val="20"/>
                <w:szCs w:val="20"/>
                <w:color w:val="auto"/>
              </w:rPr>
            </w:pPr>
            <w:r>
              <w:rPr>
                <w:rFonts w:ascii="Arial" w:cs="Arial" w:eastAsia="Arial" w:hAnsi="Arial"/>
                <w:sz w:val="18"/>
                <w:szCs w:val="18"/>
                <w:color w:val="auto"/>
              </w:rPr>
              <w:t>5,647,000</w:t>
            </w:r>
          </w:p>
        </w:tc>
        <w:tc>
          <w:tcPr>
            <w:tcW w:w="1440" w:type="dxa"/>
            <w:vAlign w:val="bottom"/>
          </w:tcPr>
          <w:p>
            <w:pPr>
              <w:jc w:val="right"/>
              <w:ind w:right="158"/>
              <w:spacing w:after="0"/>
              <w:rPr>
                <w:sz w:val="20"/>
                <w:szCs w:val="20"/>
                <w:color w:val="auto"/>
              </w:rPr>
            </w:pPr>
            <w:r>
              <w:rPr>
                <w:rFonts w:ascii="Arial" w:cs="Arial" w:eastAsia="Arial" w:hAnsi="Arial"/>
                <w:sz w:val="18"/>
                <w:szCs w:val="18"/>
                <w:color w:val="auto"/>
              </w:rPr>
              <w:t>6,098,000</w:t>
            </w:r>
          </w:p>
        </w:tc>
      </w:tr>
      <w:tr>
        <w:trPr>
          <w:trHeight w:val="431"/>
        </w:trPr>
        <w:tc>
          <w:tcPr>
            <w:tcW w:w="1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1,215,000</w:t>
            </w: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1,223,000</w:t>
            </w: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1,230,000</w:t>
            </w: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1,230,000</w:t>
            </w:r>
          </w:p>
        </w:tc>
        <w:tc>
          <w:tcPr>
            <w:tcW w:w="14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1,208,000</w:t>
            </w:r>
          </w:p>
        </w:tc>
      </w:tr>
      <w:tr>
        <w:trPr>
          <w:trHeight w:val="655"/>
        </w:trPr>
        <w:tc>
          <w:tcPr>
            <w:tcW w:w="1620" w:type="dxa"/>
            <w:vAlign w:val="bottom"/>
          </w:tcPr>
          <w:p>
            <w:pPr>
              <w:jc w:val="right"/>
              <w:ind w:right="416"/>
              <w:spacing w:after="0"/>
              <w:rPr>
                <w:sz w:val="20"/>
                <w:szCs w:val="20"/>
                <w:color w:val="auto"/>
              </w:rPr>
            </w:pPr>
            <w:r>
              <w:rPr>
                <w:rFonts w:ascii="Arial" w:cs="Arial" w:eastAsia="Arial" w:hAnsi="Arial"/>
                <w:sz w:val="18"/>
                <w:szCs w:val="18"/>
                <w:color w:val="auto"/>
              </w:rPr>
              <w:t>$7,185,000</w:t>
            </w:r>
          </w:p>
        </w:tc>
        <w:tc>
          <w:tcPr>
            <w:tcW w:w="1620" w:type="dxa"/>
            <w:vAlign w:val="bottom"/>
          </w:tcPr>
          <w:p>
            <w:pPr>
              <w:jc w:val="right"/>
              <w:ind w:right="296"/>
              <w:spacing w:after="0"/>
              <w:rPr>
                <w:sz w:val="20"/>
                <w:szCs w:val="20"/>
                <w:color w:val="auto"/>
              </w:rPr>
            </w:pPr>
            <w:r>
              <w:rPr>
                <w:rFonts w:ascii="Arial" w:cs="Arial" w:eastAsia="Arial" w:hAnsi="Arial"/>
                <w:sz w:val="18"/>
                <w:szCs w:val="18"/>
                <w:color w:val="auto"/>
              </w:rPr>
              <w:t>$7,070,000</w:t>
            </w:r>
          </w:p>
        </w:tc>
        <w:tc>
          <w:tcPr>
            <w:tcW w:w="1600" w:type="dxa"/>
            <w:vAlign w:val="bottom"/>
          </w:tcPr>
          <w:p>
            <w:pPr>
              <w:jc w:val="right"/>
              <w:ind w:right="318"/>
              <w:spacing w:after="0"/>
              <w:rPr>
                <w:sz w:val="20"/>
                <w:szCs w:val="20"/>
                <w:color w:val="auto"/>
              </w:rPr>
            </w:pPr>
            <w:r>
              <w:rPr>
                <w:rFonts w:ascii="Arial" w:cs="Arial" w:eastAsia="Arial" w:hAnsi="Arial"/>
                <w:sz w:val="18"/>
                <w:szCs w:val="18"/>
                <w:color w:val="auto"/>
              </w:rPr>
              <w:t>$6,877,000</w:t>
            </w:r>
          </w:p>
        </w:tc>
        <w:tc>
          <w:tcPr>
            <w:tcW w:w="1600" w:type="dxa"/>
            <w:vAlign w:val="bottom"/>
          </w:tcPr>
          <w:p>
            <w:pPr>
              <w:jc w:val="right"/>
              <w:ind w:right="318"/>
              <w:spacing w:after="0"/>
              <w:rPr>
                <w:sz w:val="20"/>
                <w:szCs w:val="20"/>
                <w:color w:val="auto"/>
              </w:rPr>
            </w:pPr>
            <w:r>
              <w:rPr>
                <w:rFonts w:ascii="Arial" w:cs="Arial" w:eastAsia="Arial" w:hAnsi="Arial"/>
                <w:sz w:val="18"/>
                <w:szCs w:val="18"/>
                <w:color w:val="auto"/>
              </w:rPr>
              <w:t>$6,877,000</w:t>
            </w:r>
          </w:p>
        </w:tc>
        <w:tc>
          <w:tcPr>
            <w:tcW w:w="1440" w:type="dxa"/>
            <w:vAlign w:val="bottom"/>
          </w:tcPr>
          <w:p>
            <w:pPr>
              <w:jc w:val="right"/>
              <w:ind w:right="158"/>
              <w:spacing w:after="0"/>
              <w:rPr>
                <w:sz w:val="20"/>
                <w:szCs w:val="20"/>
                <w:color w:val="auto"/>
              </w:rPr>
            </w:pPr>
            <w:r>
              <w:rPr>
                <w:rFonts w:ascii="Arial" w:cs="Arial" w:eastAsia="Arial" w:hAnsi="Arial"/>
                <w:sz w:val="18"/>
                <w:szCs w:val="18"/>
                <w:color w:val="auto"/>
              </w:rPr>
              <w:t>$7,306,000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-1131570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040" w:space="500"/>
            <w:col w:w="78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35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3"/>
        </w:trPr>
        <w:tc>
          <w:tcPr>
            <w:tcW w:w="354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$1,182,000</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$1,255,000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950,000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950,000</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$1,119,000</w:t>
            </w: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current portion</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6,003,000</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5,815,000</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7"/>
              </w:rPr>
              <w:t>5,927,000</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7"/>
              </w:rPr>
              <w:t>5,927,000</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6,187,000</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Accrued wind-down expenses</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$7,185,000</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$7,070,000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7"/>
              </w:rPr>
              <w:t>6,877,000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7"/>
              </w:rPr>
              <w:t>6,877,000</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$7,306,000</w:t>
            </w:r>
          </w:p>
        </w:tc>
      </w:tr>
      <w:tr>
        <w:trPr>
          <w:trHeight w:val="20"/>
        </w:trPr>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September 2004, the National Institutes of Health (NIH) awarded the Company a Small Business Technology Transfer grant of $464,000 for studies in Alzheimer’s disease, consisting of approximately $308,000 for the first year and approximately $156,000 for the remainder of the grant term, September 30, 2005 through March 31, 2006. The studies have been conducted by Dr. George A. Carlson of the McLaughlin Research Institute (MRI) in Great Falls, Montana, which will receive approximately $222,000 of the total award. The remaining $242,000 has been recognized by the Company as grant revenue as and when resources were expended for this study. For the nine month period ended September 30, 2006, the Company recognized approximately $38,000; the Company has now drawn down in full its share of the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March 2006, a warrant issued as part of the June 16, 2004 financing arrangement was exercised to purchase an aggregate of 526,400 shares of the Company’s common stock at $1.89 per share. The Company issued 526,400 shares of its common stock and received proceeds of approximately $995,000. On April 6, 2006, the Company sold 11,750,820 shares of its common stock to a limited number of institutional investors at a price of $3.05 per share, for gross proceeds of approximately $35,840,000. The shares were offered as a registered direct placement under the Company’s effective shelf registration statement previously filed with the Securities and Exchange Commission. For the three and nine month period ended September 30, 2006, the Company issued 22,346 and 126,278 shares from activity related to its stock option plans. The following table presents the activity of the Company’s stock option plans for the nine month periods ended September 30, 2006 and 2005.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2006</w:t>
            </w:r>
          </w:p>
        </w:tc>
        <w:tc>
          <w:tcPr>
            <w:tcW w:w="12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2005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Options</w:t>
            </w:r>
          </w:p>
        </w:tc>
        <w:tc>
          <w:tcPr>
            <w:tcW w:w="480" w:type="dxa"/>
            <w:vAlign w:val="bottom"/>
            <w:vMerge w:val="restart"/>
          </w:tcPr>
          <w:p>
            <w:pPr>
              <w:jc w:val="right"/>
              <w:ind w:right="37"/>
              <w:spacing w:after="0"/>
              <w:rPr>
                <w:sz w:val="20"/>
                <w:szCs w:val="20"/>
                <w:color w:val="auto"/>
              </w:rPr>
            </w:pPr>
            <w:r>
              <w:rPr>
                <w:rFonts w:ascii="Arial" w:cs="Arial" w:eastAsia="Arial" w:hAnsi="Arial"/>
                <w:sz w:val="14"/>
                <w:szCs w:val="14"/>
                <w:color w:val="auto"/>
              </w:rPr>
              <w:t>2006</w:t>
            </w: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Price</w:t>
            </w:r>
          </w:p>
        </w:tc>
        <w:tc>
          <w:tcPr>
            <w:tcW w:w="440" w:type="dxa"/>
            <w:vAlign w:val="bottom"/>
          </w:tcPr>
          <w:p>
            <w:pPr>
              <w:spacing w:after="0"/>
              <w:rPr>
                <w:sz w:val="15"/>
                <w:szCs w:val="15"/>
                <w:color w:val="auto"/>
              </w:rPr>
            </w:pPr>
          </w:p>
        </w:tc>
        <w:tc>
          <w:tcPr>
            <w:tcW w:w="1180" w:type="dxa"/>
            <w:vAlign w:val="bottom"/>
          </w:tcPr>
          <w:p>
            <w:pPr>
              <w:jc w:val="right"/>
              <w:ind w:right="214"/>
              <w:spacing w:after="0"/>
              <w:rPr>
                <w:sz w:val="20"/>
                <w:szCs w:val="20"/>
                <w:color w:val="auto"/>
              </w:rPr>
            </w:pPr>
            <w:r>
              <w:rPr>
                <w:rFonts w:ascii="Arial" w:cs="Arial" w:eastAsia="Arial" w:hAnsi="Arial"/>
                <w:sz w:val="14"/>
                <w:szCs w:val="14"/>
                <w:color w:val="auto"/>
              </w:rPr>
              <w:t>Options</w:t>
            </w:r>
          </w:p>
        </w:tc>
        <w:tc>
          <w:tcPr>
            <w:tcW w:w="560" w:type="dxa"/>
            <w:vAlign w:val="bottom"/>
            <w:vMerge w:val="restart"/>
          </w:tcPr>
          <w:p>
            <w:pPr>
              <w:jc w:val="right"/>
              <w:ind w:right="57"/>
              <w:spacing w:after="0"/>
              <w:rPr>
                <w:sz w:val="20"/>
                <w:szCs w:val="20"/>
                <w:color w:val="auto"/>
              </w:rPr>
            </w:pPr>
            <w:r>
              <w:rPr>
                <w:rFonts w:ascii="Arial" w:cs="Arial" w:eastAsia="Arial" w:hAnsi="Arial"/>
                <w:sz w:val="14"/>
                <w:szCs w:val="14"/>
                <w:color w:val="auto"/>
              </w:rPr>
              <w:t>2005</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6,608,109</w:t>
            </w:r>
          </w:p>
        </w:tc>
        <w:tc>
          <w:tcPr>
            <w:tcW w:w="16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$3.02</w:t>
            </w:r>
          </w:p>
        </w:tc>
        <w:tc>
          <w:tcPr>
            <w:tcW w:w="162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6,682,201</w:t>
            </w:r>
          </w:p>
        </w:tc>
        <w:tc>
          <w:tcPr>
            <w:tcW w:w="174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2,755,684</w:t>
            </w:r>
          </w:p>
        </w:tc>
        <w:tc>
          <w:tcPr>
            <w:tcW w:w="1680" w:type="dxa"/>
            <w:vAlign w:val="bottom"/>
            <w:gridSpan w:val="2"/>
          </w:tcPr>
          <w:p>
            <w:pPr>
              <w:jc w:val="right"/>
              <w:ind w:right="359"/>
              <w:spacing w:after="0"/>
              <w:rPr>
                <w:sz w:val="20"/>
                <w:szCs w:val="20"/>
                <w:color w:val="auto"/>
              </w:rPr>
            </w:pPr>
            <w:r>
              <w:rPr>
                <w:rFonts w:ascii="Arial" w:cs="Arial" w:eastAsia="Arial" w:hAnsi="Arial"/>
                <w:sz w:val="18"/>
                <w:szCs w:val="18"/>
                <w:color w:val="auto"/>
              </w:rPr>
              <w:t>$2.37</w:t>
            </w:r>
          </w:p>
        </w:tc>
        <w:tc>
          <w:tcPr>
            <w:tcW w:w="1620" w:type="dxa"/>
            <w:vAlign w:val="bottom"/>
            <w:gridSpan w:val="2"/>
          </w:tcPr>
          <w:p>
            <w:pPr>
              <w:jc w:val="right"/>
              <w:ind w:right="94"/>
              <w:spacing w:after="0"/>
              <w:rPr>
                <w:sz w:val="20"/>
                <w:szCs w:val="20"/>
                <w:color w:val="auto"/>
              </w:rPr>
            </w:pPr>
            <w:r>
              <w:rPr>
                <w:rFonts w:ascii="Arial" w:cs="Arial" w:eastAsia="Arial" w:hAnsi="Arial"/>
                <w:sz w:val="18"/>
                <w:szCs w:val="18"/>
                <w:color w:val="auto"/>
              </w:rPr>
              <w:t>963,057</w:t>
            </w:r>
          </w:p>
        </w:tc>
        <w:tc>
          <w:tcPr>
            <w:tcW w:w="1740" w:type="dxa"/>
            <w:vAlign w:val="bottom"/>
            <w:gridSpan w:val="2"/>
          </w:tcPr>
          <w:p>
            <w:pPr>
              <w:jc w:val="right"/>
              <w:ind w:right="359"/>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(126,278)</w:t>
            </w:r>
          </w:p>
        </w:tc>
        <w:tc>
          <w:tcPr>
            <w:tcW w:w="168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$1.95</w:t>
            </w:r>
          </w:p>
        </w:tc>
        <w:tc>
          <w:tcPr>
            <w:tcW w:w="16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(278,273)</w:t>
            </w:r>
          </w:p>
        </w:tc>
        <w:tc>
          <w:tcPr>
            <w:tcW w:w="174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Canceled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(247,844)</w:t>
            </w:r>
          </w:p>
        </w:tc>
        <w:tc>
          <w:tcPr>
            <w:tcW w:w="480" w:type="dxa"/>
            <w:vAlign w:val="bottom"/>
            <w:tcBorders>
              <w:bottom w:val="single" w:sz="8" w:color="auto"/>
            </w:tcBorders>
          </w:tcPr>
          <w:p>
            <w:pPr>
              <w:spacing w:after="0"/>
              <w:rPr>
                <w:sz w:val="19"/>
                <w:szCs w:val="19"/>
                <w:color w:val="auto"/>
              </w:rPr>
            </w:pPr>
          </w:p>
        </w:tc>
        <w:tc>
          <w:tcPr>
            <w:tcW w:w="1200" w:type="dxa"/>
            <w:vAlign w:val="bottom"/>
          </w:tcPr>
          <w:p>
            <w:pPr>
              <w:jc w:val="right"/>
              <w:ind w:right="359"/>
              <w:spacing w:after="0"/>
              <w:rPr>
                <w:sz w:val="20"/>
                <w:szCs w:val="20"/>
                <w:color w:val="auto"/>
              </w:rPr>
            </w:pPr>
            <w:r>
              <w:rPr>
                <w:rFonts w:ascii="Arial" w:cs="Arial" w:eastAsia="Arial" w:hAnsi="Arial"/>
                <w:sz w:val="18"/>
                <w:szCs w:val="18"/>
                <w:color w:val="auto"/>
              </w:rPr>
              <w:t>$2.48</w:t>
            </w:r>
          </w:p>
        </w:tc>
        <w:tc>
          <w:tcPr>
            <w:tcW w:w="440" w:type="dxa"/>
            <w:vAlign w:val="bottom"/>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(725,584)</w:t>
            </w:r>
          </w:p>
        </w:tc>
        <w:tc>
          <w:tcPr>
            <w:tcW w:w="560" w:type="dxa"/>
            <w:vAlign w:val="bottom"/>
            <w:tcBorders>
              <w:bottom w:val="single" w:sz="8" w:color="auto"/>
            </w:tcBorders>
          </w:tcPr>
          <w:p>
            <w:pPr>
              <w:spacing w:after="0"/>
              <w:rPr>
                <w:sz w:val="19"/>
                <w:szCs w:val="19"/>
                <w:color w:val="auto"/>
              </w:rPr>
            </w:pPr>
          </w:p>
        </w:tc>
        <w:tc>
          <w:tcPr>
            <w:tcW w:w="1180" w:type="dxa"/>
            <w:vAlign w:val="bottom"/>
          </w:tcPr>
          <w:p>
            <w:pPr>
              <w:jc w:val="right"/>
              <w:ind w:right="359"/>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8,989,671</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$2.85</w:t>
            </w:r>
          </w:p>
        </w:tc>
        <w:tc>
          <w:tcPr>
            <w:tcW w:w="4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6,641,401</w:t>
            </w: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September 30</w:t>
            </w:r>
          </w:p>
        </w:tc>
        <w:tc>
          <w:tcPr>
            <w:tcW w:w="1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4,885,216</w:t>
            </w: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4,204,398</w:t>
            </w:r>
          </w:p>
        </w:tc>
        <w:tc>
          <w:tcPr>
            <w:tcW w:w="560" w:type="dxa"/>
            <w:vAlign w:val="bottom"/>
            <w:tcBorders>
              <w:top w:val="single" w:sz="8" w:color="auto"/>
              <w:bottom w:val="single" w:sz="8" w:color="auto"/>
            </w:tcBorders>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 Issued for Technology Licenses</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Pursuant to the terms of a license agreement, the Company in August 2006 issued 3,848 shares of common stock with a market value of $10,000 to Cal Tech, in payment of annual fees of $5,000 due on each of two patents licensed to StemCells. The fees are payable in cash or stock at the Company’s option, and the Company elected to pay them in stock.</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nine month periods ended September 30, 2006 and 2005 should be read in conjunction with the accompanying unaudited condensed consolidated financial statements and the related footnotes thereto.</w:t>
      </w:r>
    </w:p>
    <w:p>
      <w:pPr>
        <w:spacing w:after="0" w:line="16"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with clinical testing of proposed products despite the novel and unproven nature of our technology; the risk that our initial clinical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cell-based therapeutics programs; the uncertainty regarding the outcome of the Company’s Phase I clinical trial in NCL and any other trials we may conduct in the future; the uncertainty regarding the validity and enforceability of our issued patents; the uncertainty whether any products that may be generated in our cell-based therapeutics programs will prove clinically effective and not cause tumors or other side effects; the uncertainty whether we will achieve revenues from product sales or become profitable; uncertainties regarding our obligations in regard to our former encapsulated cell therapy facilities in Rhode Island; obsolescence of our technology; competition from third parties; intellectual property rights of third parties; litigation and other risks to which we are subject. All forward-looking statements attributable to us or to persons acting on our behalf are expressly qualified in their entirety by the cautionary statements and risk factors set forth in Item 1A (Risk Factors) and elsewhere in our Form 10-K for the year ended December 31, 2005 and the risk factors set forth in Part II, Item 1A (Risk Factors) and elsewhere in this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Since the second half of 1999, our sole focus has been on our stem cell technology. In March 2006, we initiated a Phase I clinical trial of our human neural stem cells as a treatment for the infantile and late infantile forms of neuronal ceroid lipofuscinosis (NCL) at Doernbecher Children’s Hospital at Oregon Health &amp; Science University (OHSU) in Portland, Oregon. NCL, which is often referred to as Batten disease, is a rare, fatal neurodegenerative disease afflicting infants and young children. We expect to dose the first patient in this trial later this year.</w:t>
      </w:r>
    </w:p>
    <w:p>
      <w:pPr>
        <w:spacing w:after="0" w:line="8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incurred significant costs for toxicology and other studies in preparation for submitting the NCL IND to, and getting it cleared by, the FDA, and will incur more such costs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partners to finance our operations. There are no such collaborative research arrangements at this time and there can be no assurance that financing or partnering revenues will be available when needed or on terms acceptable to 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of leasing and maintaining our facilities in Rhode Island and the increasing costs associated with our facility in California. To expand and support our Research and Development programs, we will need to hire more personnel, which will lead to higher operating expenses.</w:t>
      </w:r>
    </w:p>
    <w:p>
      <w:pPr>
        <w:spacing w:after="0" w:line="8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Our program in neural stem and progenitor cells includes preclinical research and development directed toward a range of target diseases and conditions as well as the NCL clinical trial described above. In our liver cell program, we are engaged in evaluating our proprietary human liver engrafting cell in various in vivo assays. We plan to advance our liver cell program into product development as rapidly as we can. Our pancreas program is still in the discovery stage and further evaluation of the therapeutic potential of the candidate human pancreatic stem/progenitor cell will be required.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 and the grant date fair value of share based awards recognized as compensation expense in accordance with the provisions of SFAS 123R.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2004, FASB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and amends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SFAS 123R supersedes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We adopted SFAS 123R effective January 1, 2006. Adoption of the expensing requirements will reduce our reported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260" w:firstLine="225"/>
        <w:spacing w:after="0" w:line="255"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8"/>
          <w:szCs w:val="18"/>
          <w:i w:val="1"/>
          <w:iCs w:val="1"/>
          <w:color w:val="auto"/>
        </w:rPr>
        <w:t>Other Cost to Exit an Activity.</w:t>
      </w:r>
      <w:r>
        <w:rPr>
          <w:rFonts w:ascii="Arial" w:cs="Arial" w:eastAsia="Arial" w:hAnsi="Arial"/>
          <w:sz w:val="18"/>
          <w:szCs w:val="18"/>
          <w:color w:val="auto"/>
        </w:rPr>
        <w:t>”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85"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73"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As of September 30, 2006, based on current information available to management, the vacancy rate is projected to be 91% for the remainder of 2006, 84% for 2007, and approximately 70% from 2008 through the end of the lease. These estimates are based on actual occupancy in 2006, expiration of subleases in 2006 and 2008, predicted lead time for acquiring new subtenants, historical vacancy rates for the area and assessments by our broker/realtor of future real estate market conditions. If the assumed vacancy rate for 2008 to the end of the Lease had been five percentage points higher or lower at September 30, 2006, then the reserve would have increased or decreased by approximately $235,000. Similarly, a 5% increase or decrease in the operating expenses for the facility from 2006 would have increased or decreased the reserve by approximately $120,000, and a 5% increase or decrease in the assumed average rental charge per square foot would have increased or decreased the reserve by approximately $68,000. Management does not wait for specific events to change its estimate, but instead uses its best efforts to anticipate them on a quarterly basis.</w:t>
      </w:r>
    </w:p>
    <w:p>
      <w:pPr>
        <w:spacing w:after="0" w:line="6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wind-down reserve at the end of December 31, 2005 was $6,098,000. For the three and nine-month period ended September 30, 2006, we recorded actual expenses against this reserve of approximately $368,000 and $950,000 respectively. Based on management’s evaluation of the factors mentioned, and particularly the projected vacancy rates described above, we adjusted the reserve to $5,647,000 by recording an additional $499,000 for the nine month period ended September 30, 2006. See Note 4 for a breakdown of these figures by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 the third quarter of 2006, as compared with the same quarter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2006</w:t>
            </w:r>
          </w:p>
        </w:tc>
        <w:tc>
          <w:tcPr>
            <w:tcW w:w="18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2005</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40" w:type="dxa"/>
            <w:vAlign w:val="bottom"/>
            <w:tcBorders>
              <w:bottom w:val="single" w:sz="8" w:color="auto"/>
            </w:tcBorders>
          </w:tcPr>
          <w:p>
            <w:pPr>
              <w:jc w:val="right"/>
              <w:ind w:right="1379"/>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Revenue from grants and licensing agreements</w:t>
            </w:r>
          </w:p>
        </w:tc>
        <w:tc>
          <w:tcPr>
            <w:tcW w:w="1280" w:type="dxa"/>
            <w:vAlign w:val="bottom"/>
          </w:tcPr>
          <w:p>
            <w:pPr>
              <w:jc w:val="right"/>
              <w:ind w:right="416"/>
              <w:spacing w:after="0"/>
              <w:rPr>
                <w:sz w:val="20"/>
                <w:szCs w:val="20"/>
                <w:color w:val="auto"/>
              </w:rPr>
            </w:pPr>
            <w:r>
              <w:rPr>
                <w:rFonts w:ascii="Arial" w:cs="Arial" w:eastAsia="Arial" w:hAnsi="Arial"/>
                <w:sz w:val="18"/>
                <w:szCs w:val="18"/>
                <w:color w:val="auto"/>
              </w:rPr>
              <w:t>$ 18,321</w:t>
            </w:r>
          </w:p>
        </w:tc>
        <w:tc>
          <w:tcPr>
            <w:tcW w:w="1880" w:type="dxa"/>
            <w:vAlign w:val="bottom"/>
          </w:tcPr>
          <w:p>
            <w:pPr>
              <w:jc w:val="right"/>
              <w:ind w:right="716"/>
              <w:spacing w:after="0"/>
              <w:rPr>
                <w:sz w:val="20"/>
                <w:szCs w:val="20"/>
                <w:color w:val="auto"/>
              </w:rPr>
            </w:pPr>
            <w:r>
              <w:rPr>
                <w:rFonts w:ascii="Arial" w:cs="Arial" w:eastAsia="Arial" w:hAnsi="Arial"/>
                <w:sz w:val="18"/>
                <w:szCs w:val="18"/>
                <w:color w:val="auto"/>
              </w:rPr>
              <w:t>$ 91,255</w:t>
            </w:r>
          </w:p>
        </w:tc>
        <w:tc>
          <w:tcPr>
            <w:tcW w:w="2140" w:type="dxa"/>
            <w:vAlign w:val="bottom"/>
          </w:tcPr>
          <w:p>
            <w:pPr>
              <w:jc w:val="right"/>
              <w:ind w:right="1039"/>
              <w:spacing w:after="0"/>
              <w:rPr>
                <w:sz w:val="20"/>
                <w:szCs w:val="20"/>
                <w:color w:val="auto"/>
              </w:rPr>
            </w:pPr>
            <w:r>
              <w:rPr>
                <w:rFonts w:ascii="Arial" w:cs="Arial" w:eastAsia="Arial" w:hAnsi="Arial"/>
                <w:sz w:val="18"/>
                <w:szCs w:val="18"/>
                <w:color w:val="auto"/>
              </w:rPr>
              <w:t>($72,934)</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w w:val="91"/>
              </w:rPr>
              <w:t>(80%)</w:t>
            </w:r>
          </w:p>
        </w:tc>
      </w:tr>
      <w:tr>
        <w:trPr>
          <w:trHeight w:val="209"/>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$18,321</w:t>
            </w:r>
          </w:p>
        </w:tc>
        <w:tc>
          <w:tcPr>
            <w:tcW w:w="18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$91,255</w:t>
            </w:r>
          </w:p>
        </w:tc>
        <w:tc>
          <w:tcPr>
            <w:tcW w:w="21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($72,934)</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1"/>
              </w:rPr>
              <w:t>(80%)</w:t>
            </w:r>
          </w:p>
        </w:tc>
      </w:tr>
    </w:tbl>
    <w:p>
      <w:pPr>
        <w:spacing w:after="0" w:line="94" w:lineRule="exact"/>
        <w:rPr>
          <w:sz w:val="20"/>
          <w:szCs w:val="20"/>
          <w:color w:val="auto"/>
        </w:rPr>
      </w:pPr>
    </w:p>
    <w:p>
      <w:pPr>
        <w:ind w:right="380" w:firstLine="225"/>
        <w:spacing w:after="0" w:line="302" w:lineRule="auto"/>
        <w:rPr>
          <w:sz w:val="20"/>
          <w:szCs w:val="20"/>
          <w:color w:val="auto"/>
        </w:rPr>
      </w:pPr>
      <w:r>
        <w:rPr>
          <w:rFonts w:ascii="Arial" w:cs="Arial" w:eastAsia="Arial" w:hAnsi="Arial"/>
          <w:sz w:val="16"/>
          <w:szCs w:val="16"/>
          <w:color w:val="auto"/>
        </w:rPr>
        <w:t>For the three months ended September 30, 2006 and 2005, revenue from grants and licensing agreements totaled approximately $18,000 and $91,000 respectively. The decrease in revenue from 2005 to 2006 was primarily attributable to the completed draw down by March 31, 2006 of a September 2004 Small Business Technology Transfer grant for studies in Alzheimer’s disease. The grant of $464,000 for studies in Alzheimer’s disease consisted of approximately $308,000 for the first year and approximately $156,000 for the remainder of the grant term, September 30, 2005 through March 31,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expenses in the third quarter of 2006, as compared with the same quarter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2006</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2005</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2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$3,523,078</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$2,336,562</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$1,186,516</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1,889,512</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1,549,443</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340,069</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168,168</w:t>
            </w:r>
          </w:p>
        </w:tc>
        <w:tc>
          <w:tcPr>
            <w:tcW w:w="1980" w:type="dxa"/>
            <w:vAlign w:val="bottom"/>
          </w:tcPr>
          <w:p>
            <w:pPr>
              <w:jc w:val="right"/>
              <w:ind w:right="634"/>
              <w:spacing w:after="0"/>
              <w:rPr>
                <w:sz w:val="20"/>
                <w:szCs w:val="20"/>
                <w:color w:val="auto"/>
              </w:rPr>
            </w:pPr>
            <w:r>
              <w:rPr>
                <w:rFonts w:ascii="Arial" w:cs="Arial" w:eastAsia="Arial" w:hAnsi="Arial"/>
                <w:sz w:val="18"/>
                <w:szCs w:val="18"/>
                <w:color w:val="auto"/>
              </w:rPr>
              <w:t>297,184</w:t>
            </w:r>
          </w:p>
        </w:tc>
        <w:tc>
          <w:tcPr>
            <w:tcW w:w="2220" w:type="dxa"/>
            <w:vAlign w:val="bottom"/>
          </w:tcPr>
          <w:p>
            <w:pPr>
              <w:jc w:val="right"/>
              <w:ind w:right="1016"/>
              <w:spacing w:after="0"/>
              <w:rPr>
                <w:sz w:val="20"/>
                <w:szCs w:val="20"/>
                <w:color w:val="auto"/>
              </w:rPr>
            </w:pPr>
            <w:r>
              <w:rPr>
                <w:rFonts w:ascii="Arial" w:cs="Arial" w:eastAsia="Arial" w:hAnsi="Arial"/>
                <w:sz w:val="18"/>
                <w:szCs w:val="18"/>
                <w:color w:val="auto"/>
              </w:rPr>
              <w:t>(129,016)</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1"/>
              </w:rPr>
              <w:t>(43)%</w:t>
            </w: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$5,580,758</w:t>
            </w:r>
          </w:p>
        </w:tc>
        <w:tc>
          <w:tcPr>
            <w:tcW w:w="19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$4,183,189</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$1,397,569</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 expenses totaled approximately $3,523,000 for the three months ended September 30, 2006, compared with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$2,336,000 for the same period in 2005. The increase of $1,187,000, or approximately 51%, from 2005 to 2006 was primarily attributable to expansion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in cell processing and clinical development, which consisted of an increase in personnel costs of approximately $655,000 and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external services of approximately $267,000 with the remainder due to increases in supplies, rent and other operating expenses. Of the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$655,000 increase in personnel costs, approximately $281,000 was attributable to the expensing of stock based compensation as required by the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pronouncement SFAS 123R (see “Stock Based Compensation” under Note 1 above), with the balance attributable to an increase in head count.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2006, we had 37 full-time employees working in research and development and laboratory support services as compared to 32 at September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30, 2005.</w:t>
      </w:r>
    </w:p>
    <w:p>
      <w:pPr>
        <w:spacing w:after="0" w:line="10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General and administrative expenses were approximately $1,889,000 for the three months ended September 30, 2006, compared with approximately $1,549,000 for the same period in 2005. The increase of $340,000, or approximately 22%, from 2005 to 2006 was primarily attributable to an increase in personnel costs of approximately $527,000, of which approximately $411,000 was attributable to the expensing of stock based compensation as required by the new accounting pronouncement SFAS 123R (see “Stock Based Compensation” under Note 1 above) with the balance attributable to an increase in head count. The increase in personnel costs was partially offset by a net decrease in other costs primarily attributable to the expensing of the fair value of options granted to a consultant in 2005 and a decrease in listing fees in 2006 as compared to 2005. The listing fees were higher in 2005 than in 2006, primarily due to the initial cost of moving our shares in 2005 from the Nasdaq Capital Market to the Nasdaq Global Market.</w:t>
      </w:r>
    </w:p>
    <w:p>
      <w:pPr>
        <w:spacing w:after="0" w:line="59"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June 30, 2006, the reserve was approximately $5,847,000. For the three months ended September 30, 2006, expenses of $368,000 net of subtenant income were recorded against this reserve (see Note 4 for a breakdown of these figures by quarter). At September 30, 2006, we re-evaluated the estimate and adjusted the reserve to approximately $5,647,000 by recording an additional $168,000 as wind-down expenses. Wind-down expenses recorded for the same period in 2006 were approximately $297,000.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income in the third quarter of 2006, as compared with the same quarter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2006</w:t>
            </w:r>
          </w:p>
        </w:tc>
        <w:tc>
          <w:tcPr>
            <w:tcW w:w="19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color w:val="auto"/>
              </w:rPr>
              <w:t>2005</w:t>
            </w:r>
          </w:p>
        </w:tc>
        <w:tc>
          <w:tcPr>
            <w:tcW w:w="284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20" w:type="dxa"/>
            <w:vAlign w:val="bottom"/>
            <w:tcBorders>
              <w:bottom w:val="single" w:sz="8" w:color="auto"/>
            </w:tcBorders>
          </w:tcPr>
          <w:p>
            <w:pPr>
              <w:jc w:val="right"/>
              <w:ind w:right="875"/>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633"/>
              <w:spacing w:after="0"/>
              <w:rPr>
                <w:sz w:val="20"/>
                <w:szCs w:val="20"/>
                <w:color w:val="auto"/>
              </w:rPr>
            </w:pPr>
            <w:r>
              <w:rPr>
                <w:rFonts w:ascii="Arial" w:cs="Arial" w:eastAsia="Arial" w:hAnsi="Arial"/>
                <w:sz w:val="18"/>
                <w:szCs w:val="18"/>
                <w:color w:val="auto"/>
              </w:rPr>
              <w:t>$3,747,601</w:t>
            </w:r>
          </w:p>
        </w:tc>
        <w:tc>
          <w:tcPr>
            <w:tcW w:w="1720" w:type="dxa"/>
            <w:vAlign w:val="bottom"/>
          </w:tcPr>
          <w:p>
            <w:pPr>
              <w:jc w:val="right"/>
              <w:ind w:right="415"/>
              <w:spacing w:after="0"/>
              <w:rPr>
                <w:sz w:val="20"/>
                <w:szCs w:val="20"/>
                <w:color w:val="auto"/>
              </w:rPr>
            </w:pPr>
            <w:r>
              <w:rPr>
                <w:rFonts w:ascii="Arial" w:cs="Arial" w:eastAsia="Arial" w:hAnsi="Arial"/>
                <w:sz w:val="18"/>
                <w:szCs w:val="18"/>
                <w:color w:val="auto"/>
              </w:rPr>
              <w:t>($3,747,601)</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89"/>
              </w:rPr>
              <w:t>735,652</w:t>
            </w:r>
          </w:p>
        </w:tc>
        <w:tc>
          <w:tcPr>
            <w:tcW w:w="198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301,255</w:t>
            </w:r>
          </w:p>
        </w:tc>
        <w:tc>
          <w:tcPr>
            <w:tcW w:w="172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434,397</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Arial" w:cs="Arial" w:eastAsia="Arial" w:hAnsi="Arial"/>
                <w:sz w:val="18"/>
                <w:szCs w:val="18"/>
                <w:color w:val="auto"/>
                <w:w w:val="95"/>
              </w:rPr>
              <w:t>(34,062)</w:t>
            </w:r>
          </w:p>
        </w:tc>
        <w:tc>
          <w:tcPr>
            <w:tcW w:w="1980" w:type="dxa"/>
            <w:vAlign w:val="bottom"/>
          </w:tcPr>
          <w:p>
            <w:pPr>
              <w:jc w:val="right"/>
              <w:ind w:right="573"/>
              <w:spacing w:after="0"/>
              <w:rPr>
                <w:sz w:val="20"/>
                <w:szCs w:val="20"/>
                <w:color w:val="auto"/>
              </w:rPr>
            </w:pPr>
            <w:r>
              <w:rPr>
                <w:rFonts w:ascii="Arial" w:cs="Arial" w:eastAsia="Arial" w:hAnsi="Arial"/>
                <w:sz w:val="18"/>
                <w:szCs w:val="18"/>
                <w:color w:val="auto"/>
              </w:rPr>
              <w:t>(42,021)</w:t>
            </w:r>
          </w:p>
        </w:tc>
        <w:tc>
          <w:tcPr>
            <w:tcW w:w="1720" w:type="dxa"/>
            <w:vAlign w:val="bottom"/>
          </w:tcPr>
          <w:p>
            <w:pPr>
              <w:jc w:val="right"/>
              <w:ind w:right="475"/>
              <w:spacing w:after="0"/>
              <w:rPr>
                <w:sz w:val="20"/>
                <w:szCs w:val="20"/>
                <w:color w:val="auto"/>
              </w:rPr>
            </w:pPr>
            <w:r>
              <w:rPr>
                <w:rFonts w:ascii="Arial" w:cs="Arial" w:eastAsia="Arial" w:hAnsi="Arial"/>
                <w:sz w:val="18"/>
                <w:szCs w:val="18"/>
                <w:color w:val="auto"/>
              </w:rPr>
              <w:t>7,959</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(2,362)</w:t>
            </w:r>
          </w:p>
        </w:tc>
        <w:tc>
          <w:tcPr>
            <w:tcW w:w="19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(8,594)</w:t>
            </w:r>
          </w:p>
        </w:tc>
        <w:tc>
          <w:tcPr>
            <w:tcW w:w="172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6,232</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3"/>
              <w:spacing w:after="0"/>
              <w:rPr>
                <w:sz w:val="20"/>
                <w:szCs w:val="20"/>
                <w:color w:val="auto"/>
              </w:rPr>
            </w:pPr>
            <w:r>
              <w:rPr>
                <w:rFonts w:ascii="Arial" w:cs="Arial" w:eastAsia="Arial" w:hAnsi="Arial"/>
                <w:sz w:val="18"/>
                <w:szCs w:val="18"/>
                <w:color w:val="auto"/>
                <w:w w:val="89"/>
              </w:rPr>
              <w:t>699,228</w:t>
            </w:r>
          </w:p>
        </w:tc>
        <w:tc>
          <w:tcPr>
            <w:tcW w:w="1980" w:type="dxa"/>
            <w:vAlign w:val="bottom"/>
          </w:tcPr>
          <w:p>
            <w:pPr>
              <w:jc w:val="right"/>
              <w:ind w:right="633"/>
              <w:spacing w:after="0"/>
              <w:rPr>
                <w:sz w:val="20"/>
                <w:szCs w:val="20"/>
                <w:color w:val="auto"/>
              </w:rPr>
            </w:pPr>
            <w:r>
              <w:rPr>
                <w:rFonts w:ascii="Arial" w:cs="Arial" w:eastAsia="Arial" w:hAnsi="Arial"/>
                <w:sz w:val="18"/>
                <w:szCs w:val="18"/>
                <w:color w:val="auto"/>
              </w:rPr>
              <w:t>$3,998,241</w:t>
            </w:r>
          </w:p>
        </w:tc>
        <w:tc>
          <w:tcPr>
            <w:tcW w:w="1720" w:type="dxa"/>
            <w:vAlign w:val="bottom"/>
          </w:tcPr>
          <w:p>
            <w:pPr>
              <w:jc w:val="right"/>
              <w:ind w:right="415"/>
              <w:spacing w:after="0"/>
              <w:rPr>
                <w:sz w:val="20"/>
                <w:szCs w:val="20"/>
                <w:color w:val="auto"/>
              </w:rPr>
            </w:pPr>
            <w:r>
              <w:rPr>
                <w:rFonts w:ascii="Arial" w:cs="Arial" w:eastAsia="Arial" w:hAnsi="Arial"/>
                <w:sz w:val="18"/>
                <w:szCs w:val="18"/>
                <w:color w:val="auto"/>
              </w:rPr>
              <w:t>($3,299,013)</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(83)%</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license and settlement agreement in 2005 was a one-time event resulting in income in the form of stock in ReNeuron, our licensee.</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Interest income for the three months ended September 30, 2006 and 2005 was approximately $736,000 and $301,000, respectively. The increase in interest income in 2006 was primarily attributable to a higher yield on a higher investment balance.</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Interest expense for the three months ended September 30, 2006 and 2005 was approximately $34,000 and $42,000 respectively. The decrease in interest expense in 2006 was attributable to lower outstanding debt and capital lease balances in 2006 compared to 2005. Other income (expense) includes state franchise tax paid and gain or loss on disposal of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for the nine months ended September 30, 2006, as compared with the same period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2006</w:t>
            </w:r>
          </w:p>
        </w:tc>
        <w:tc>
          <w:tcPr>
            <w:tcW w:w="196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2005</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58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40" w:type="dxa"/>
            <w:vAlign w:val="bottom"/>
            <w:tcBorders>
              <w:bottom w:val="single" w:sz="8" w:color="auto"/>
            </w:tcBorders>
          </w:tcPr>
          <w:p>
            <w:pPr>
              <w:jc w:val="right"/>
              <w:ind w:right="1379"/>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Revenue from grants</w:t>
            </w:r>
          </w:p>
        </w:tc>
        <w:tc>
          <w:tcPr>
            <w:tcW w:w="1280" w:type="dxa"/>
            <w:vAlign w:val="bottom"/>
          </w:tcPr>
          <w:p>
            <w:pPr>
              <w:jc w:val="right"/>
              <w:ind w:right="396"/>
              <w:spacing w:after="0"/>
              <w:rPr>
                <w:sz w:val="20"/>
                <w:szCs w:val="20"/>
                <w:color w:val="auto"/>
              </w:rPr>
            </w:pPr>
            <w:r>
              <w:rPr>
                <w:rFonts w:ascii="Arial" w:cs="Arial" w:eastAsia="Arial" w:hAnsi="Arial"/>
                <w:sz w:val="18"/>
                <w:szCs w:val="18"/>
                <w:color w:val="auto"/>
              </w:rPr>
              <w:t>$ 80,406</w:t>
            </w:r>
          </w:p>
        </w:tc>
        <w:tc>
          <w:tcPr>
            <w:tcW w:w="1960" w:type="dxa"/>
            <w:vAlign w:val="bottom"/>
          </w:tcPr>
          <w:p>
            <w:pPr>
              <w:jc w:val="right"/>
              <w:ind w:right="696"/>
              <w:spacing w:after="0"/>
              <w:rPr>
                <w:sz w:val="20"/>
                <w:szCs w:val="20"/>
                <w:color w:val="auto"/>
              </w:rPr>
            </w:pPr>
            <w:r>
              <w:rPr>
                <w:rFonts w:ascii="Arial" w:cs="Arial" w:eastAsia="Arial" w:hAnsi="Arial"/>
                <w:sz w:val="18"/>
                <w:szCs w:val="18"/>
                <w:color w:val="auto"/>
              </w:rPr>
              <w:t>$ 163,345</w:t>
            </w:r>
          </w:p>
        </w:tc>
        <w:tc>
          <w:tcPr>
            <w:tcW w:w="2140" w:type="dxa"/>
            <w:vAlign w:val="bottom"/>
          </w:tcPr>
          <w:p>
            <w:pPr>
              <w:jc w:val="right"/>
              <w:ind w:right="1039"/>
              <w:spacing w:after="0"/>
              <w:rPr>
                <w:sz w:val="20"/>
                <w:szCs w:val="20"/>
                <w:color w:val="auto"/>
              </w:rPr>
            </w:pPr>
            <w:r>
              <w:rPr>
                <w:rFonts w:ascii="Arial" w:cs="Arial" w:eastAsia="Arial" w:hAnsi="Arial"/>
                <w:sz w:val="18"/>
                <w:szCs w:val="18"/>
                <w:color w:val="auto"/>
              </w:rPr>
              <w:t>($82,939)</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w w:val="91"/>
              </w:rPr>
              <w:t>(51)%</w:t>
            </w: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$80,406</w:t>
            </w:r>
          </w:p>
        </w:tc>
        <w:tc>
          <w:tcPr>
            <w:tcW w:w="19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$163,345</w:t>
            </w:r>
          </w:p>
        </w:tc>
        <w:tc>
          <w:tcPr>
            <w:tcW w:w="21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rPr>
              <w:t>($82,939)</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1"/>
              </w:rPr>
              <w:t>(51)%</w:t>
            </w:r>
          </w:p>
        </w:tc>
      </w:tr>
    </w:tbl>
    <w:p>
      <w:pPr>
        <w:spacing w:after="0" w:line="94" w:lineRule="exact"/>
        <w:rPr>
          <w:sz w:val="20"/>
          <w:szCs w:val="20"/>
          <w:color w:val="auto"/>
        </w:rPr>
      </w:pPr>
    </w:p>
    <w:p>
      <w:pPr>
        <w:ind w:right="380" w:firstLine="225"/>
        <w:spacing w:after="0" w:line="302" w:lineRule="auto"/>
        <w:rPr>
          <w:sz w:val="20"/>
          <w:szCs w:val="20"/>
          <w:color w:val="auto"/>
        </w:rPr>
      </w:pPr>
      <w:r>
        <w:rPr>
          <w:rFonts w:ascii="Arial" w:cs="Arial" w:eastAsia="Arial" w:hAnsi="Arial"/>
          <w:sz w:val="16"/>
          <w:szCs w:val="16"/>
          <w:color w:val="auto"/>
        </w:rPr>
        <w:t>For the nine months ended September 30, 2006 and 2005, revenue from grants and licensing agreements totaled approximately $80,000 and $163,000 respectively. The decrease in revenue from 2005 to 2006 was primarily attributable to the completed draw down by March 31, 2006 of a September 2004 Small Business Technology Transfer grant for studies in Alzheimer’s disease. The grant of $464,000 for studies in Alzheimer’s disease consisted of approximately $308,000 for the first year and approximately $156,000 for the remainder of the grant term, September 30, 2005 through March 31,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Operating expenses for the nine months ended September 30, 2006, as compared with the same period in 2005, is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2006</w:t>
            </w: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2005</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4"/>
              <w:spacing w:after="0"/>
              <w:rPr>
                <w:sz w:val="20"/>
                <w:szCs w:val="20"/>
                <w:color w:val="auto"/>
              </w:rPr>
            </w:pPr>
            <w:r>
              <w:rPr>
                <w:rFonts w:ascii="Arial" w:cs="Arial" w:eastAsia="Arial" w:hAnsi="Arial"/>
                <w:sz w:val="18"/>
                <w:szCs w:val="18"/>
                <w:color w:val="auto"/>
                <w:w w:val="97"/>
              </w:rPr>
              <w:t>9,402,472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94"/>
              <w:spacing w:after="0"/>
              <w:rPr>
                <w:sz w:val="20"/>
                <w:szCs w:val="20"/>
                <w:color w:val="auto"/>
              </w:rPr>
            </w:pPr>
            <w:r>
              <w:rPr>
                <w:rFonts w:ascii="Arial" w:cs="Arial" w:eastAsia="Arial" w:hAnsi="Arial"/>
                <w:sz w:val="18"/>
                <w:szCs w:val="18"/>
                <w:color w:val="auto"/>
                <w:w w:val="99"/>
              </w:rPr>
              <w:t>5,924,591</w:t>
            </w:r>
          </w:p>
        </w:tc>
        <w:tc>
          <w:tcPr>
            <w:tcW w:w="2240" w:type="dxa"/>
            <w:vAlign w:val="bottom"/>
          </w:tcPr>
          <w:p>
            <w:pPr>
              <w:jc w:val="right"/>
              <w:ind w:right="1056"/>
              <w:spacing w:after="0"/>
              <w:rPr>
                <w:sz w:val="20"/>
                <w:szCs w:val="20"/>
                <w:color w:val="auto"/>
              </w:rPr>
            </w:pPr>
            <w:r>
              <w:rPr>
                <w:rFonts w:ascii="Arial" w:cs="Arial" w:eastAsia="Arial" w:hAnsi="Arial"/>
                <w:sz w:val="18"/>
                <w:szCs w:val="18"/>
                <w:color w:val="auto"/>
              </w:rPr>
              <w:t>$ 3,477,881</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97"/>
              </w:rPr>
              <w:t>4,979,349</w:t>
            </w:r>
          </w:p>
        </w:tc>
        <w:tc>
          <w:tcPr>
            <w:tcW w:w="5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4,009,187</w:t>
            </w:r>
          </w:p>
        </w:tc>
        <w:tc>
          <w:tcPr>
            <w:tcW w:w="2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970,162</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280" w:type="dxa"/>
            <w:vAlign w:val="bottom"/>
          </w:tcPr>
          <w:p>
            <w:pPr>
              <w:spacing w:after="0"/>
              <w:rPr>
                <w:sz w:val="20"/>
                <w:szCs w:val="20"/>
                <w:color w:val="auto"/>
              </w:rPr>
            </w:pPr>
          </w:p>
        </w:tc>
        <w:tc>
          <w:tcPr>
            <w:tcW w:w="1240" w:type="dxa"/>
            <w:vAlign w:val="bottom"/>
          </w:tcPr>
          <w:p>
            <w:pPr>
              <w:jc w:val="right"/>
              <w:ind w:right="354"/>
              <w:spacing w:after="0"/>
              <w:rPr>
                <w:sz w:val="20"/>
                <w:szCs w:val="20"/>
                <w:color w:val="auto"/>
              </w:rPr>
            </w:pPr>
            <w:r>
              <w:rPr>
                <w:rFonts w:ascii="Arial" w:cs="Arial" w:eastAsia="Arial" w:hAnsi="Arial"/>
                <w:sz w:val="18"/>
                <w:szCs w:val="18"/>
                <w:color w:val="auto"/>
              </w:rPr>
              <w:t>499,186</w:t>
            </w:r>
          </w:p>
        </w:tc>
        <w:tc>
          <w:tcPr>
            <w:tcW w:w="520" w:type="dxa"/>
            <w:vAlign w:val="bottom"/>
          </w:tcPr>
          <w:p>
            <w:pPr>
              <w:spacing w:after="0"/>
              <w:rPr>
                <w:sz w:val="20"/>
                <w:szCs w:val="20"/>
                <w:color w:val="auto"/>
              </w:rPr>
            </w:pPr>
          </w:p>
        </w:tc>
        <w:tc>
          <w:tcPr>
            <w:tcW w:w="1500" w:type="dxa"/>
            <w:vAlign w:val="bottom"/>
          </w:tcPr>
          <w:p>
            <w:pPr>
              <w:jc w:val="right"/>
              <w:ind w:right="594"/>
              <w:spacing w:after="0"/>
              <w:rPr>
                <w:sz w:val="20"/>
                <w:szCs w:val="20"/>
                <w:color w:val="auto"/>
              </w:rPr>
            </w:pPr>
            <w:r>
              <w:rPr>
                <w:rFonts w:ascii="Arial" w:cs="Arial" w:eastAsia="Arial" w:hAnsi="Arial"/>
                <w:sz w:val="18"/>
                <w:szCs w:val="18"/>
                <w:color w:val="auto"/>
                <w:w w:val="99"/>
              </w:rPr>
              <w:t>2,015,384</w:t>
            </w:r>
          </w:p>
        </w:tc>
        <w:tc>
          <w:tcPr>
            <w:tcW w:w="2240" w:type="dxa"/>
            <w:vAlign w:val="bottom"/>
          </w:tcPr>
          <w:p>
            <w:pPr>
              <w:jc w:val="right"/>
              <w:ind w:right="996"/>
              <w:spacing w:after="0"/>
              <w:rPr>
                <w:sz w:val="20"/>
                <w:szCs w:val="20"/>
                <w:color w:val="auto"/>
              </w:rPr>
            </w:pPr>
            <w:r>
              <w:rPr>
                <w:rFonts w:ascii="Arial" w:cs="Arial" w:eastAsia="Arial" w:hAnsi="Arial"/>
                <w:sz w:val="18"/>
                <w:szCs w:val="18"/>
                <w:color w:val="auto"/>
              </w:rPr>
              <w:t>(1,516,198)</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95"/>
              </w:rPr>
              <w:t>(75)%</w:t>
            </w: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6"/>
              </w:rPr>
              <w:t>14,881,007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8"/>
              </w:rPr>
              <w:t>11,949,162</w:t>
            </w:r>
          </w:p>
        </w:tc>
        <w:tc>
          <w:tcPr>
            <w:tcW w:w="2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$ 2,931,845</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 expenses totaled approximately $9,402,000 for the nine months ended September 30, 2006, compared with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$5,924,000 for the same period in 2005. The increase of $3,477,000, or approximately 59%, from 2005 to 2006 was primarily attributable to expansion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cell processing and clinical development, which consisted of an increase in personnel costs of approximately $1,782,000 and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external services of approximately $814,000, with the remainder attributable to increases in supplies, rent and other operating expenses. Of the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$1,782,000 increase in personnel costs, approximately $734,000 was attributable to the expensing of stock based compensation as required by the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pronouncement SFAS 123R (see “Stock Based Compensation” under Note 1 above), with the balance attributable to an increase in head count.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2006, we had 37 full-time employees working in research and development and laboratory support services as compared to 32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w:t>
      </w:r>
    </w:p>
    <w:p>
      <w:pPr>
        <w:spacing w:after="0" w:line="10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General and administrative expenses were approximately $4,979,000 for the nine months ended September 30, 2006, compared with approximately $4,009,000 for the same period in 2005. The increase of $970,000, or approximately 24%, from 2005 to 2006 was primarily attributable to an increase in personnel costs of approximately $1,240,000, of which approximately $870,000 was attributable to the expensing of stock based compensation as required by the new accounting pronouncement SFAS 123R (see “Stock Based Compensation” under Note 1 above) with the balance attributable to an increase in head count. The increase in personnel costs was partially offset by a net decrease in other costs primarily attributable to the expensing of the fair value of options granted to a consultant in 2005 and a decrease in listing fees in 2006 as compared to 2005. The listing fees were higher in 2005 than in 2006, primarily due to the initial cost of moving our shares in 2005 from the Nasdaq Capital Market to the Nasdaq Global Market.</w:t>
      </w:r>
    </w:p>
    <w:p>
      <w:pPr>
        <w:spacing w:after="0" w:line="70"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2005 the reserve was approximately $6,098,000. At September 30, 2006 we re-evaluated the estimate and adjusted the reserve to approximately $5,647,000 by recording an additional $499,000 (which includes the March 31 and June 30, 2006 adjustment of $156,000 and $175,000 respectively) as wind-down expenses (see Note 4 for a breakdown of these figures by quarter). Wind-down expenses recorded for the same period in 2005 were $2,015,000.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income for the nine months ended September 30, 2006, as compared with the same period in 2005,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2006</w:t>
            </w:r>
          </w:p>
        </w:tc>
        <w:tc>
          <w:tcPr>
            <w:tcW w:w="198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color w:val="auto"/>
              </w:rPr>
              <w:t>2005</w:t>
            </w:r>
          </w:p>
        </w:tc>
        <w:tc>
          <w:tcPr>
            <w:tcW w:w="272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Borders>
              <w:bottom w:val="single" w:sz="8" w:color="auto"/>
            </w:tcBorders>
          </w:tcPr>
          <w:p>
            <w:pPr>
              <w:jc w:val="right"/>
              <w:ind w:right="835"/>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License and settlement agreement,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103,359</w:t>
            </w:r>
          </w:p>
        </w:tc>
        <w:tc>
          <w:tcPr>
            <w:tcW w:w="1980" w:type="dxa"/>
            <w:vAlign w:val="bottom"/>
          </w:tcPr>
          <w:p>
            <w:pPr>
              <w:jc w:val="right"/>
              <w:ind w:right="653"/>
              <w:spacing w:after="0"/>
              <w:rPr>
                <w:sz w:val="20"/>
                <w:szCs w:val="20"/>
                <w:color w:val="auto"/>
              </w:rPr>
            </w:pPr>
            <w:r>
              <w:rPr>
                <w:rFonts w:ascii="Arial" w:cs="Arial" w:eastAsia="Arial" w:hAnsi="Arial"/>
                <w:sz w:val="18"/>
                <w:szCs w:val="18"/>
                <w:color w:val="auto"/>
              </w:rPr>
              <w:t>$3,747,601</w:t>
            </w:r>
          </w:p>
        </w:tc>
        <w:tc>
          <w:tcPr>
            <w:tcW w:w="1660" w:type="dxa"/>
            <w:vAlign w:val="bottom"/>
          </w:tcPr>
          <w:p>
            <w:pPr>
              <w:jc w:val="right"/>
              <w:ind w:right="375"/>
              <w:spacing w:after="0"/>
              <w:rPr>
                <w:sz w:val="20"/>
                <w:szCs w:val="20"/>
                <w:color w:val="auto"/>
              </w:rPr>
            </w:pPr>
            <w:r>
              <w:rPr>
                <w:rFonts w:ascii="Arial" w:cs="Arial" w:eastAsia="Arial" w:hAnsi="Arial"/>
                <w:sz w:val="18"/>
                <w:szCs w:val="18"/>
                <w:color w:val="auto"/>
              </w:rPr>
              <w:t>($3,644,242)</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7"/>
              </w:rPr>
              <w:t>1,779,016</w:t>
            </w:r>
          </w:p>
        </w:tc>
        <w:tc>
          <w:tcPr>
            <w:tcW w:w="19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790,407</w:t>
            </w:r>
          </w:p>
        </w:tc>
        <w:tc>
          <w:tcPr>
            <w:tcW w:w="16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988,609</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w w:val="98"/>
              </w:rPr>
              <w:t>(111,159)</w:t>
            </w:r>
          </w:p>
        </w:tc>
        <w:tc>
          <w:tcPr>
            <w:tcW w:w="1980" w:type="dxa"/>
            <w:vAlign w:val="bottom"/>
          </w:tcPr>
          <w:p>
            <w:pPr>
              <w:jc w:val="right"/>
              <w:ind w:right="593"/>
              <w:spacing w:after="0"/>
              <w:rPr>
                <w:sz w:val="20"/>
                <w:szCs w:val="20"/>
                <w:color w:val="auto"/>
              </w:rPr>
            </w:pPr>
            <w:r>
              <w:rPr>
                <w:rFonts w:ascii="Arial" w:cs="Arial" w:eastAsia="Arial" w:hAnsi="Arial"/>
                <w:sz w:val="18"/>
                <w:szCs w:val="18"/>
                <w:color w:val="auto"/>
              </w:rPr>
              <w:t>(133,777)</w:t>
            </w:r>
          </w:p>
        </w:tc>
        <w:tc>
          <w:tcPr>
            <w:tcW w:w="1660" w:type="dxa"/>
            <w:vAlign w:val="bottom"/>
          </w:tcPr>
          <w:p>
            <w:pPr>
              <w:jc w:val="right"/>
              <w:ind w:right="435"/>
              <w:spacing w:after="0"/>
              <w:rPr>
                <w:sz w:val="20"/>
                <w:szCs w:val="20"/>
                <w:color w:val="auto"/>
              </w:rPr>
            </w:pPr>
            <w:r>
              <w:rPr>
                <w:rFonts w:ascii="Arial" w:cs="Arial" w:eastAsia="Arial" w:hAnsi="Arial"/>
                <w:sz w:val="18"/>
                <w:szCs w:val="18"/>
                <w:color w:val="auto"/>
              </w:rPr>
              <w:t>22,618</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(16,309)</w:t>
            </w:r>
          </w:p>
        </w:tc>
        <w:tc>
          <w:tcPr>
            <w:tcW w:w="19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rPr>
              <w:t>(29,226)</w:t>
            </w:r>
          </w:p>
        </w:tc>
        <w:tc>
          <w:tcPr>
            <w:tcW w:w="166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12,917</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439"/>
        </w:trPr>
        <w:tc>
          <w:tcPr>
            <w:tcW w:w="520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3"/>
              <w:spacing w:after="0"/>
              <w:rPr>
                <w:sz w:val="20"/>
                <w:szCs w:val="20"/>
                <w:color w:val="auto"/>
              </w:rPr>
            </w:pPr>
            <w:r>
              <w:rPr>
                <w:rFonts w:ascii="Arial" w:cs="Arial" w:eastAsia="Arial" w:hAnsi="Arial"/>
                <w:sz w:val="18"/>
                <w:szCs w:val="18"/>
                <w:color w:val="auto"/>
                <w:w w:val="87"/>
              </w:rPr>
              <w:t>1,754,907</w:t>
            </w:r>
          </w:p>
        </w:tc>
        <w:tc>
          <w:tcPr>
            <w:tcW w:w="1980" w:type="dxa"/>
            <w:vAlign w:val="bottom"/>
          </w:tcPr>
          <w:p>
            <w:pPr>
              <w:jc w:val="right"/>
              <w:ind w:right="653"/>
              <w:spacing w:after="0"/>
              <w:rPr>
                <w:sz w:val="20"/>
                <w:szCs w:val="20"/>
                <w:color w:val="auto"/>
              </w:rPr>
            </w:pPr>
            <w:r>
              <w:rPr>
                <w:rFonts w:ascii="Arial" w:cs="Arial" w:eastAsia="Arial" w:hAnsi="Arial"/>
                <w:sz w:val="18"/>
                <w:szCs w:val="18"/>
                <w:color w:val="auto"/>
              </w:rPr>
              <w:t>$4,375,005</w:t>
            </w:r>
          </w:p>
        </w:tc>
        <w:tc>
          <w:tcPr>
            <w:tcW w:w="1660" w:type="dxa"/>
            <w:vAlign w:val="bottom"/>
          </w:tcPr>
          <w:p>
            <w:pPr>
              <w:jc w:val="right"/>
              <w:ind w:right="375"/>
              <w:spacing w:after="0"/>
              <w:rPr>
                <w:sz w:val="20"/>
                <w:szCs w:val="20"/>
                <w:color w:val="auto"/>
              </w:rPr>
            </w:pPr>
            <w:r>
              <w:rPr>
                <w:rFonts w:ascii="Arial" w:cs="Arial" w:eastAsia="Arial" w:hAnsi="Arial"/>
                <w:sz w:val="18"/>
                <w:szCs w:val="18"/>
                <w:color w:val="auto"/>
              </w:rPr>
              <w:t>($2,620,098)</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(60%)</w:t>
            </w:r>
          </w:p>
        </w:tc>
      </w:tr>
      <w:tr>
        <w:trPr>
          <w:trHeight w:val="40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833"/>
              <w:spacing w:after="0"/>
              <w:rPr>
                <w:sz w:val="20"/>
                <w:szCs w:val="20"/>
                <w:color w:val="auto"/>
              </w:rPr>
            </w:pPr>
            <w:r>
              <w:rPr>
                <w:rFonts w:ascii="Arial" w:cs="Arial" w:eastAsia="Arial" w:hAnsi="Arial"/>
                <w:sz w:val="18"/>
                <w:szCs w:val="18"/>
                <w:color w:val="auto"/>
              </w:rPr>
              <w:t>20</w:t>
            </w:r>
          </w:p>
        </w:tc>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For the nine months ended September 30, 2006, as part of a license and settlement agreement with ReNeuron (see Note 2 for details), we recorded approximately $103,000 as other income for additional shares of ReNeuron common stock due to us because of an anti-dilution provision in the agreement.</w:t>
      </w:r>
    </w:p>
    <w:p>
      <w:pPr>
        <w:spacing w:after="0" w:line="16"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Interest income for the nine months ended September 30, 2006 and 2005 was approximately $1,779,000 and $790,000 respectively. The increase in interest income in 2006 was primarily attributable to a higher yield on a higher investment balance..</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Interest expense for the nine months ended September 30, 2006 and 2005 was approximately $111,000 and $134,000 respectively. The decrease in interest expense in 2006 was attributable to lower outstanding debt and capital lease balances in 2006 compared to 2005. Other income (expense) includes state franchise tax paid and gain or loss on acquisition or disposal of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We had cash and cash equivalents totaling $55,440,550 at September 30, 2006. Cash equivalents are invested in US Treasury debt securities with maturities of less than 90 days. The table below summarizes our cash flows for the respective nine month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20" w:type="dxa"/>
            <w:vAlign w:val="bottom"/>
            <w:gridSpan w:val="2"/>
          </w:tcPr>
          <w:p>
            <w:pPr>
              <w:jc w:val="right"/>
              <w:ind w:right="530"/>
              <w:spacing w:after="0"/>
              <w:rPr>
                <w:sz w:val="20"/>
                <w:szCs w:val="20"/>
                <w:color w:val="auto"/>
              </w:rPr>
            </w:pPr>
            <w:r>
              <w:rPr>
                <w:rFonts w:ascii="Arial" w:cs="Arial" w:eastAsia="Arial" w:hAnsi="Arial"/>
                <w:sz w:val="14"/>
                <w:szCs w:val="14"/>
                <w:color w:val="auto"/>
              </w:rPr>
              <w:t>2006</w:t>
            </w:r>
          </w:p>
        </w:tc>
        <w:tc>
          <w:tcPr>
            <w:tcW w:w="56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2720" w:type="dxa"/>
            <w:vAlign w:val="bottom"/>
            <w:gridSpan w:val="2"/>
          </w:tcPr>
          <w:p>
            <w:pPr>
              <w:jc w:val="right"/>
              <w:ind w:right="494"/>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828"/>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12,077,200)</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9,187,544)</w:t>
            </w:r>
          </w:p>
        </w:tc>
        <w:tc>
          <w:tcPr>
            <w:tcW w:w="1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($ 2,889,656)</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20" w:type="dxa"/>
            <w:vAlign w:val="bottom"/>
            <w:gridSpan w:val="2"/>
          </w:tcPr>
          <w:p>
            <w:pPr>
              <w:jc w:val="right"/>
              <w:ind w:right="210"/>
              <w:spacing w:after="0"/>
              <w:rPr>
                <w:sz w:val="20"/>
                <w:szCs w:val="20"/>
                <w:color w:val="auto"/>
              </w:rPr>
            </w:pPr>
            <w:r>
              <w:rPr>
                <w:rFonts w:ascii="Arial" w:cs="Arial" w:eastAsia="Arial" w:hAnsi="Arial"/>
                <w:sz w:val="18"/>
                <w:szCs w:val="18"/>
                <w:color w:val="auto"/>
              </w:rPr>
              <w:t>(1,318,929)</w:t>
            </w:r>
          </w:p>
        </w:tc>
        <w:tc>
          <w:tcPr>
            <w:tcW w:w="56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(776,793)</w:t>
            </w:r>
          </w:p>
        </w:tc>
        <w:tc>
          <w:tcPr>
            <w:tcW w:w="1920" w:type="dxa"/>
            <w:vAlign w:val="bottom"/>
            <w:gridSpan w:val="2"/>
          </w:tcPr>
          <w:p>
            <w:pPr>
              <w:jc w:val="right"/>
              <w:ind w:right="508"/>
              <w:spacing w:after="0"/>
              <w:rPr>
                <w:sz w:val="20"/>
                <w:szCs w:val="20"/>
                <w:color w:val="auto"/>
              </w:rPr>
            </w:pPr>
            <w:r>
              <w:rPr>
                <w:rFonts w:ascii="Arial" w:cs="Arial" w:eastAsia="Arial" w:hAnsi="Arial"/>
                <w:sz w:val="18"/>
                <w:szCs w:val="18"/>
                <w:color w:val="auto"/>
              </w:rPr>
              <w:t>(542,136)</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23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34,295,771</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9"/>
              </w:rPr>
              <w:t>3,875,389</w:t>
            </w:r>
          </w:p>
        </w:tc>
        <w:tc>
          <w:tcPr>
            <w:tcW w:w="19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30,420,382</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880" w:type="dxa"/>
            <w:vAlign w:val="bottom"/>
          </w:tcPr>
          <w:p>
            <w:pPr>
              <w:spacing w:after="0"/>
              <w:rPr>
                <w:sz w:val="19"/>
                <w:szCs w:val="19"/>
                <w:color w:val="auto"/>
              </w:rPr>
            </w:pPr>
          </w:p>
        </w:tc>
        <w:tc>
          <w:tcPr>
            <w:tcW w:w="14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$20,899,642</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6,088,948)</w:t>
            </w:r>
          </w:p>
        </w:tc>
        <w:tc>
          <w:tcPr>
            <w:tcW w:w="1920" w:type="dxa"/>
            <w:vAlign w:val="bottom"/>
            <w:tcBorders>
              <w:top w:val="single" w:sz="8" w:color="auto"/>
            </w:tcBorders>
            <w:gridSpan w:val="2"/>
          </w:tcPr>
          <w:p>
            <w:pPr>
              <w:jc w:val="right"/>
              <w:ind w:right="568"/>
              <w:spacing w:after="0"/>
              <w:rPr>
                <w:sz w:val="20"/>
                <w:szCs w:val="20"/>
                <w:color w:val="auto"/>
              </w:rPr>
            </w:pPr>
            <w:r>
              <w:rPr>
                <w:rFonts w:ascii="Arial" w:cs="Arial" w:eastAsia="Arial" w:hAnsi="Arial"/>
                <w:sz w:val="18"/>
                <w:szCs w:val="18"/>
                <w:color w:val="auto"/>
              </w:rPr>
              <w:t>$26,988,590</w:t>
            </w:r>
          </w:p>
        </w:tc>
        <w:tc>
          <w:tcPr>
            <w:tcW w:w="116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change cannot be calculated</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increase from 2005 to 2006 of approximately $2,890,000, or 31%, in cash used in operating activities was primarily attributable to an increase in personnel costs and external services, and the increase of $542,000, or 70%, in cash used in investing activities was primarily attributable to an increase in equipment costs, all resulting from the expansion of our operations in cell processing and clinical development.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increase from 2005 to 2006 of $30,420,000 for net cash provided by financing activities was primarily attributable to the sale on April 6, 2006,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11,750,820 shares of our common stock to a limited number of institutional investors at a price of $3.05 per share, for gross proceeds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$35,840,000. The shares were offered as a registered direct placement under the Company’s effective shelf registration statement previously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Securities and Exchange Commission (SEC). We received total proceeds, net of offering expenses and placement agency fees,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$33,200,000. UBS Investment Bank (UBS) acted as placement agent in this offering. For acting as our placement agent, UBS received fees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$2,150,000 and expense reimbursement of approximately $50,000. No warrants were issued as part of this financing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financing arrangements in the previous three years include the following</w:t>
      </w:r>
      <w:r>
        <w:rPr>
          <w:rFonts w:ascii="Arial" w:cs="Arial" w:eastAsia="Arial" w:hAnsi="Arial"/>
          <w:sz w:val="18"/>
          <w:szCs w:val="18"/>
          <w:color w:val="auto"/>
        </w:rPr>
        <w:t>:</w:t>
      </w:r>
    </w:p>
    <w:p>
      <w:pPr>
        <w:spacing w:after="0" w:line="121" w:lineRule="exact"/>
        <w:rPr>
          <w:sz w:val="20"/>
          <w:szCs w:val="20"/>
          <w:color w:val="auto"/>
        </w:rPr>
      </w:pPr>
    </w:p>
    <w:p>
      <w:pPr>
        <w:ind w:left="780" w:right="40" w:hanging="326"/>
        <w:spacing w:after="0" w:line="297" w:lineRule="auto"/>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On October 26, 2004, we entered into an agreement with institutional investors with respect to the registered direct placement of 7,500,000 shares of our common stock at a purchase price of $3.00 per share, for gross proceeds of $22,500,000. C.E. Unterberg, Towbin LLC (Unterberg) and Shoreline Pacific, LLC (Shoreline) served as placement agents for the transaction. We sold these shares under a shelf registration statement previously filed with and declared effective by the SEC. For acting as our placement agent Unterberg and Shoreline received fees of approximately $1,350,000 and expense reimbursement of approximately $40,000. No warrants were issued as part of this financing transaction.</w:t>
      </w:r>
    </w:p>
    <w:p>
      <w:pPr>
        <w:spacing w:after="0" w:line="63" w:lineRule="exact"/>
        <w:rPr>
          <w:rFonts w:ascii="Arial" w:cs="Arial" w:eastAsia="Arial" w:hAnsi="Arial"/>
          <w:sz w:val="16"/>
          <w:szCs w:val="16"/>
          <w:b w:val="1"/>
          <w:bCs w:val="1"/>
          <w:color w:val="auto"/>
        </w:rPr>
      </w:pPr>
    </w:p>
    <w:p>
      <w:pPr>
        <w:ind w:left="780" w:right="160" w:hanging="326"/>
        <w:spacing w:after="0" w:line="255" w:lineRule="auto"/>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98" w:lineRule="exact"/>
        <w:rPr>
          <w:rFonts w:ascii="Arial" w:cs="Arial" w:eastAsia="Arial" w:hAnsi="Arial"/>
          <w:sz w:val="18"/>
          <w:szCs w:val="18"/>
          <w:b w:val="1"/>
          <w:bCs w:val="1"/>
          <w:color w:val="auto"/>
        </w:rPr>
      </w:pPr>
    </w:p>
    <w:p>
      <w:pPr>
        <w:ind w:left="780" w:hanging="326"/>
        <w:spacing w:after="0" w:line="308" w:lineRule="auto"/>
        <w:tabs>
          <w:tab w:leader="none" w:pos="7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On December 10, 2003 we completed a $9.5 million financing transaction with Riverview Group L.L.C. (Riverview), through the sale of 5,000,000 shares of common stock at a price of $1.90 per share. The closing price of our common stock on that date was $2.00 per share.</w:t>
      </w:r>
    </w:p>
    <w:p>
      <w:pPr>
        <w:spacing w:after="0" w:line="51" w:lineRule="exact"/>
        <w:rPr>
          <w:rFonts w:ascii="Arial" w:cs="Arial" w:eastAsia="Arial" w:hAnsi="Arial"/>
          <w:sz w:val="17"/>
          <w:szCs w:val="17"/>
          <w:b w:val="1"/>
          <w:bCs w:val="1"/>
          <w:color w:val="auto"/>
        </w:rPr>
      </w:pPr>
    </w:p>
    <w:p>
      <w:pPr>
        <w:ind w:left="780" w:hanging="326"/>
        <w:spacing w:after="0"/>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Pursuant to a Stock Purchase Agreement dated May 7, 2003, we issued 4,000,000 shares of our common stock to Riverview for $6.5 million, or</w:t>
      </w:r>
    </w:p>
    <w:p>
      <w:pPr>
        <w:spacing w:after="0" w:line="46" w:lineRule="exact"/>
        <w:rPr>
          <w:rFonts w:ascii="Arial" w:cs="Arial" w:eastAsia="Arial" w:hAnsi="Arial"/>
          <w:sz w:val="16"/>
          <w:szCs w:val="16"/>
          <w:b w:val="1"/>
          <w:bCs w:val="1"/>
          <w:color w:val="auto"/>
        </w:rPr>
      </w:pPr>
    </w:p>
    <w:p>
      <w:pPr>
        <w:ind w:left="780" w:right="6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$1.625 per share. On the date of the agreement, the price was above the trading price of our common stock, which closed at $1.43 per share on that date. We also agreed to issue a 2-year warrant to Riverview to purchase 1,898,000 shares of common stock at $1.50 per share. In November 2003 and May 2005, Riverview exercised this warrant, resulting in gross proceeds to us of $2,847,000.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Contractual Cash Obligations</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2006, based on past experience and current assumptions, approximately $1,100,000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ind w:right="237"/>
              <w:spacing w:after="0"/>
              <w:rPr>
                <w:sz w:val="20"/>
                <w:szCs w:val="20"/>
                <w:color w:val="auto"/>
              </w:rPr>
            </w:pPr>
            <w:r>
              <w:rPr>
                <w:rFonts w:ascii="Arial" w:cs="Arial" w:eastAsia="Arial" w:hAnsi="Arial"/>
                <w:sz w:val="14"/>
                <w:szCs w:val="14"/>
                <w:color w:val="auto"/>
                <w:w w:val="90"/>
              </w:rPr>
              <w:t>Payable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October to</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December</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38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400" w:type="dxa"/>
            <w:vAlign w:val="bottom"/>
          </w:tcPr>
          <w:p>
            <w:pPr>
              <w:spacing w:after="0"/>
              <w:rPr>
                <w:sz w:val="12"/>
                <w:szCs w:val="12"/>
                <w:color w:val="auto"/>
              </w:rPr>
            </w:pPr>
          </w:p>
        </w:tc>
        <w:tc>
          <w:tcPr>
            <w:tcW w:w="92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88"/>
              </w:rPr>
              <w:t>2011 and</w:t>
            </w: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6"/>
              </w:rPr>
              <w:t>2006</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2007</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2,020,694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99,055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332,545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244,572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242,560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857,431</w:t>
            </w: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8"/>
              </w:rPr>
              <w:t>15,793,226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778,728</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3,165,162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3,469,017</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87"/>
              </w:rPr>
              <w:t>3,536,843</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9"/>
              </w:rPr>
              <w:t>1,767,304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87"/>
              </w:rPr>
              <w:t>3,076,172</w:t>
            </w: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8"/>
              </w:rPr>
              <w:t>17,813,920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6"/>
              </w:rPr>
              <w:t>877,783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3,497,707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3,713,548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87"/>
              </w:rPr>
              <w:t>3,781,415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2,009,864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87"/>
              </w:rPr>
              <w:t>3,933,603</w:t>
            </w:r>
          </w:p>
        </w:tc>
      </w:tr>
    </w:tbl>
    <w:p>
      <w:pPr>
        <w:spacing w:after="0" w:line="10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57"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We have a shelf registration covering shares of our common stock up to a value of approximately $64 million that could be available for financings.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70"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In July 2005, the Company entered into a license and settlement agreement with ReNeuron. As part of the agreement, the Company granted ReNeuron a license that allows ReNeuron to exploit its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Exhibit 10.71 to the Company’s Quarterly Report on Form 10-Q for the quarter ended June 30, 2005. An amendment to the agreement was entered on April 3, 2006, a copy of which was attached as an exhibit to the Company’s Quarterly Report on Form 10-Q for the quarter ended June 30, 2006. On June 29, 2006, ReNeuron issued additional shares of common stock, of which StemCells was entitled to 439,071 shares because of the anti-dilution provisions within the agreement and net of shares due to Neurospheres Ltd., an Alberta corporation from which StemCells has licensed some of the patent rights that are the subject of the agreement with ReNeuron. The Company recorded approximately $103,000 as other income for the additional shares. The fair market value of the StemCells holdings in ReNeuron’s common stock as of December 31, 2005 (8,835,766 shares) and September 30, 2006 (9,274,837 shares) was approximately $3,721,000 and $1,042,000 respectively. Changes in market value as a result of changes in market price per share or the exchange rate between the US dollar and the British pound are accounted for under “other comprehensive loss” if deemed temporary, and are not recorded as “other income or loss” until the shares are disposed of and a gain or loss realized. The unrealized loss as of September 30, 2006, is approximately $3,037,000. A decline in the fair value of securities that is deemed other than temporary would be charged to earnings.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8"/>
              </w:rPr>
              <w:t>Exchange Rate at</w:t>
            </w: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2"/>
              </w:rPr>
              <w:t>Market Value in</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Expected</w:t>
            </w:r>
          </w:p>
        </w:tc>
      </w:tr>
      <w:tr>
        <w:trPr>
          <w:trHeight w:val="135"/>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No. of Shares at</w:t>
            </w:r>
          </w:p>
        </w:tc>
        <w:tc>
          <w:tcPr>
            <w:tcW w:w="1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Share price at</w:t>
            </w:r>
          </w:p>
        </w:tc>
        <w:tc>
          <w:tcPr>
            <w:tcW w:w="1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USD at</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Future</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b w:val="1"/>
                <w:bCs w:val="1"/>
                <w:color w:val="auto"/>
              </w:rPr>
              <w:t>Company/Stock</w:t>
            </w: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14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2"/>
              </w:rPr>
              <w:t>2006</w:t>
            </w:r>
          </w:p>
        </w:tc>
        <w:tc>
          <w:tcPr>
            <w:tcW w:w="14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Cash</w:t>
            </w:r>
          </w:p>
        </w:tc>
      </w:tr>
      <w:tr>
        <w:trPr>
          <w:trHeight w:val="153"/>
        </w:trPr>
        <w:tc>
          <w:tcPr>
            <w:tcW w:w="1820" w:type="dxa"/>
            <w:vAlign w:val="bottom"/>
          </w:tcPr>
          <w:p>
            <w:pPr>
              <w:spacing w:after="0"/>
              <w:rPr>
                <w:sz w:val="20"/>
                <w:szCs w:val="20"/>
                <w:color w:val="auto"/>
              </w:rPr>
            </w:pPr>
            <w:r>
              <w:rPr>
                <w:rFonts w:ascii="Arial" w:cs="Arial" w:eastAsia="Arial" w:hAnsi="Arial"/>
                <w:sz w:val="13"/>
                <w:szCs w:val="13"/>
                <w:b w:val="1"/>
                <w:bCs w:val="1"/>
                <w:color w:val="auto"/>
              </w:rPr>
              <w:t>Symbol</w:t>
            </w:r>
          </w:p>
        </w:tc>
        <w:tc>
          <w:tcPr>
            <w:tcW w:w="80" w:type="dxa"/>
            <w:vAlign w:val="bottom"/>
          </w:tcPr>
          <w:p>
            <w:pPr>
              <w:spacing w:after="0"/>
              <w:rPr>
                <w:sz w:val="13"/>
                <w:szCs w:val="13"/>
                <w:color w:val="auto"/>
              </w:rPr>
            </w:pPr>
          </w:p>
        </w:tc>
        <w:tc>
          <w:tcPr>
            <w:tcW w:w="2080" w:type="dxa"/>
            <w:vAlign w:val="bottom"/>
          </w:tcPr>
          <w:p>
            <w:pPr>
              <w:ind w:left="780"/>
              <w:spacing w:after="0"/>
              <w:rPr>
                <w:sz w:val="20"/>
                <w:szCs w:val="20"/>
                <w:color w:val="auto"/>
              </w:rPr>
            </w:pPr>
            <w:r>
              <w:rPr>
                <w:rFonts w:ascii="Arial" w:cs="Arial" w:eastAsia="Arial" w:hAnsi="Arial"/>
                <w:sz w:val="13"/>
                <w:szCs w:val="13"/>
                <w:b w:val="1"/>
                <w:bCs w:val="1"/>
                <w:color w:val="auto"/>
              </w:rPr>
              <w:t>Exchange</w:t>
            </w:r>
          </w:p>
        </w:tc>
        <w:tc>
          <w:tcPr>
            <w:tcW w:w="80" w:type="dxa"/>
            <w:vAlign w:val="bottom"/>
          </w:tcPr>
          <w:p>
            <w:pPr>
              <w:spacing w:after="0"/>
              <w:rPr>
                <w:sz w:val="13"/>
                <w:szCs w:val="13"/>
                <w:color w:val="auto"/>
              </w:rPr>
            </w:pPr>
          </w:p>
        </w:tc>
        <w:tc>
          <w:tcPr>
            <w:tcW w:w="1600" w:type="dxa"/>
            <w:vAlign w:val="bottom"/>
          </w:tcPr>
          <w:p>
            <w:pPr>
              <w:ind w:left="360"/>
              <w:spacing w:after="0"/>
              <w:rPr>
                <w:sz w:val="20"/>
                <w:szCs w:val="20"/>
                <w:color w:val="auto"/>
              </w:rPr>
            </w:pPr>
            <w:r>
              <w:rPr>
                <w:rFonts w:ascii="Arial" w:cs="Arial" w:eastAsia="Arial" w:hAnsi="Arial"/>
                <w:sz w:val="13"/>
                <w:szCs w:val="13"/>
                <w:b w:val="1"/>
                <w:bCs w:val="1"/>
                <w:color w:val="auto"/>
              </w:rPr>
              <w:t>Associated Risks</w:t>
            </w:r>
          </w:p>
        </w:tc>
        <w:tc>
          <w:tcPr>
            <w:tcW w:w="124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2006</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2006 in GBP (£)</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1 GBP = USD</w:t>
            </w:r>
          </w:p>
        </w:tc>
        <w:tc>
          <w:tcPr>
            <w:tcW w:w="140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9"/>
              </w:rPr>
              <w:t>2006</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Flows</w:t>
            </w:r>
          </w:p>
        </w:tc>
      </w:tr>
      <w:tr>
        <w:trPr>
          <w:trHeight w:val="123"/>
        </w:trPr>
        <w:tc>
          <w:tcPr>
            <w:tcW w:w="18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ReNeuron Group</w:t>
            </w:r>
          </w:p>
        </w:tc>
        <w:tc>
          <w:tcPr>
            <w:tcW w:w="80" w:type="dxa"/>
            <w:vAlign w:val="bottom"/>
          </w:tcPr>
          <w:p>
            <w:pPr>
              <w:spacing w:after="0"/>
              <w:rPr>
                <w:sz w:val="10"/>
                <w:szCs w:val="10"/>
                <w:color w:val="auto"/>
              </w:rPr>
            </w:pPr>
          </w:p>
        </w:tc>
        <w:tc>
          <w:tcPr>
            <w:tcW w:w="20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AIM (AIM is the</w:t>
            </w:r>
          </w:p>
        </w:tc>
        <w:tc>
          <w:tcPr>
            <w:tcW w:w="80" w:type="dxa"/>
            <w:vAlign w:val="bottom"/>
          </w:tcPr>
          <w:p>
            <w:pPr>
              <w:spacing w:after="0"/>
              <w:rPr>
                <w:sz w:val="10"/>
                <w:szCs w:val="10"/>
                <w:color w:val="auto"/>
              </w:rPr>
            </w:pPr>
          </w:p>
        </w:tc>
        <w:tc>
          <w:tcPr>
            <w:tcW w:w="16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 Lower share price</w:t>
            </w:r>
          </w:p>
        </w:tc>
        <w:tc>
          <w:tcPr>
            <w:tcW w:w="160" w:type="dxa"/>
            <w:vAlign w:val="bottom"/>
          </w:tcPr>
          <w:p>
            <w:pPr>
              <w:spacing w:after="0"/>
              <w:rPr>
                <w:sz w:val="10"/>
                <w:szCs w:val="10"/>
                <w:color w:val="auto"/>
              </w:rPr>
            </w:pPr>
          </w:p>
        </w:tc>
        <w:tc>
          <w:tcPr>
            <w:tcW w:w="1080" w:type="dxa"/>
            <w:vAlign w:val="bottom"/>
            <w:tcBorders>
              <w:top w:val="single" w:sz="8" w:color="auto"/>
            </w:tcBorders>
          </w:tcPr>
          <w:p>
            <w:pPr>
              <w:jc w:val="right"/>
              <w:ind w:right="174"/>
              <w:spacing w:after="0" w:line="123" w:lineRule="exact"/>
              <w:rPr>
                <w:sz w:val="20"/>
                <w:szCs w:val="20"/>
                <w:color w:val="auto"/>
              </w:rPr>
            </w:pPr>
            <w:r>
              <w:rPr>
                <w:rFonts w:ascii="Arial" w:cs="Arial" w:eastAsia="Arial" w:hAnsi="Arial"/>
                <w:sz w:val="14"/>
                <w:szCs w:val="14"/>
                <w:color w:val="auto"/>
              </w:rPr>
              <w:t>9,274,837</w:t>
            </w:r>
          </w:p>
        </w:tc>
        <w:tc>
          <w:tcPr>
            <w:tcW w:w="160" w:type="dxa"/>
            <w:vAlign w:val="bottom"/>
          </w:tcPr>
          <w:p>
            <w:pPr>
              <w:spacing w:after="0"/>
              <w:rPr>
                <w:sz w:val="10"/>
                <w:szCs w:val="10"/>
                <w:color w:val="auto"/>
              </w:rPr>
            </w:pPr>
          </w:p>
        </w:tc>
        <w:tc>
          <w:tcPr>
            <w:tcW w:w="9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8"/>
              </w:rPr>
              <w:t>0.0600</w:t>
            </w:r>
          </w:p>
        </w:tc>
        <w:tc>
          <w:tcPr>
            <w:tcW w:w="140" w:type="dxa"/>
            <w:vAlign w:val="bottom"/>
          </w:tcPr>
          <w:p>
            <w:pPr>
              <w:spacing w:after="0"/>
              <w:rPr>
                <w:sz w:val="10"/>
                <w:szCs w:val="10"/>
                <w:color w:val="auto"/>
              </w:rPr>
            </w:pPr>
          </w:p>
        </w:tc>
        <w:tc>
          <w:tcPr>
            <w:tcW w:w="1000" w:type="dxa"/>
            <w:vAlign w:val="bottom"/>
            <w:tcBorders>
              <w:top w:val="single" w:sz="8" w:color="auto"/>
            </w:tcBorders>
          </w:tcPr>
          <w:p>
            <w:pPr>
              <w:jc w:val="right"/>
              <w:ind w:right="375"/>
              <w:spacing w:after="0" w:line="123" w:lineRule="exact"/>
              <w:rPr>
                <w:sz w:val="20"/>
                <w:szCs w:val="20"/>
                <w:color w:val="auto"/>
              </w:rPr>
            </w:pPr>
            <w:r>
              <w:rPr>
                <w:rFonts w:ascii="Arial" w:cs="Arial" w:eastAsia="Arial" w:hAnsi="Arial"/>
                <w:sz w:val="14"/>
                <w:szCs w:val="14"/>
                <w:color w:val="auto"/>
              </w:rPr>
              <w:t>1.8716</w:t>
            </w:r>
          </w:p>
        </w:tc>
        <w:tc>
          <w:tcPr>
            <w:tcW w:w="140" w:type="dxa"/>
            <w:vAlign w:val="bottom"/>
          </w:tcPr>
          <w:p>
            <w:pPr>
              <w:spacing w:after="0"/>
              <w:rPr>
                <w:sz w:val="10"/>
                <w:szCs w:val="10"/>
                <w:color w:val="auto"/>
              </w:rPr>
            </w:pPr>
          </w:p>
        </w:tc>
        <w:tc>
          <w:tcPr>
            <w:tcW w:w="1260" w:type="dxa"/>
            <w:vAlign w:val="bottom"/>
            <w:tcBorders>
              <w:top w:val="single" w:sz="8" w:color="auto"/>
            </w:tcBorders>
          </w:tcPr>
          <w:p>
            <w:pPr>
              <w:jc w:val="right"/>
              <w:ind w:right="275"/>
              <w:spacing w:after="0" w:line="123" w:lineRule="exact"/>
              <w:rPr>
                <w:sz w:val="20"/>
                <w:szCs w:val="20"/>
                <w:color w:val="auto"/>
              </w:rPr>
            </w:pPr>
            <w:r>
              <w:rPr>
                <w:rFonts w:ascii="Arial" w:cs="Arial" w:eastAsia="Arial" w:hAnsi="Arial"/>
                <w:sz w:val="14"/>
                <w:szCs w:val="14"/>
                <w:color w:val="auto"/>
              </w:rPr>
              <w:t>$1,041,527</w:t>
            </w:r>
          </w:p>
        </w:tc>
        <w:tc>
          <w:tcPr>
            <w:tcW w:w="160" w:type="dxa"/>
            <w:vAlign w:val="bottom"/>
          </w:tcPr>
          <w:p>
            <w:pPr>
              <w:spacing w:after="0"/>
              <w:rPr>
                <w:sz w:val="10"/>
                <w:szCs w:val="10"/>
                <w:color w:val="auto"/>
              </w:rPr>
            </w:pPr>
          </w:p>
        </w:tc>
        <w:tc>
          <w:tcPr>
            <w:tcW w:w="680" w:type="dxa"/>
            <w:vAlign w:val="bottom"/>
            <w:tcBorders>
              <w:top w:val="single" w:sz="8" w:color="auto"/>
            </w:tcBorders>
          </w:tcPr>
          <w:p>
            <w:pPr>
              <w:jc w:val="right"/>
              <w:ind w:right="175"/>
              <w:spacing w:after="0" w:line="123" w:lineRule="exact"/>
              <w:rPr>
                <w:sz w:val="20"/>
                <w:szCs w:val="20"/>
                <w:color w:val="auto"/>
              </w:rPr>
            </w:pPr>
            <w:r>
              <w:rPr>
                <w:rFonts w:ascii="Arial" w:cs="Arial" w:eastAsia="Arial" w:hAnsi="Arial"/>
                <w:sz w:val="14"/>
                <w:szCs w:val="14"/>
                <w:color w:val="auto"/>
              </w:rPr>
              <w:t>(1)</w:t>
            </w: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plc/RENE</w:t>
            </w:r>
          </w:p>
        </w:tc>
        <w:tc>
          <w:tcPr>
            <w:tcW w:w="8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London Stock</w:t>
            </w: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Foreign currency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Exchange’s</w:t>
            </w:r>
          </w:p>
        </w:tc>
        <w:tc>
          <w:tcPr>
            <w:tcW w:w="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translation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Alternative</w:t>
            </w: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Liquidity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Investment Market)</w:t>
            </w:r>
          </w:p>
        </w:tc>
        <w:tc>
          <w:tcPr>
            <w:tcW w:w="1680" w:type="dxa"/>
            <w:vAlign w:val="bottom"/>
            <w:gridSpan w:val="2"/>
          </w:tcPr>
          <w:p>
            <w:pPr>
              <w:ind w:left="80"/>
              <w:spacing w:after="0"/>
              <w:rPr>
                <w:sz w:val="20"/>
                <w:szCs w:val="20"/>
                <w:color w:val="auto"/>
              </w:rPr>
            </w:pPr>
            <w:r>
              <w:rPr>
                <w:rFonts w:ascii="Arial" w:cs="Arial" w:eastAsia="Arial" w:hAnsi="Arial"/>
                <w:sz w:val="14"/>
                <w:szCs w:val="14"/>
                <w:color w:val="auto"/>
              </w:rPr>
              <w:t>- Bankruptcy</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2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formally adopted a liquidation plan for this investment. Liquidation may be necessary in the future to meet operating cash flow requirements. Although we are not legally restricted from selling the stock, the share price is subject to change and the volume traded has been very small since the stock was listed on the AIM on August 12, 2005. The performance of ReNeuron Group plc stock since its listing does not predict its future value.</w:t>
      </w:r>
    </w:p>
    <w:p>
      <w:pPr>
        <w:spacing w:after="0" w:line="79"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Other than the above, no significant changes have occurred in our quantitative and qualitative information about market risks disclosed in our Annual Report on Form 10-K for the fiscal year ending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evaluation, the chief executive officer and chief financial officer have concluded that the Company’s disclosure controls and procedures are effective.</w:t>
      </w:r>
    </w:p>
    <w:p>
      <w:pPr>
        <w:spacing w:after="0" w:line="12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Geron Corporation has opposed two of our European patents that relate to neural stem cells and their uses, alleging that each patent should be revoked on multiple grounds. The oppositions were filed with the European Patent Office on December 11, 2003 (Patent No. EP-B-0594669) and February 13, 2004 (Patent No. EP-B-0669973). We filed responses to both oppositions on September 23, 2004. Both oppositions were heard in 2005, and the patents were maintained in somewhat altered form by the Opposition Division of the European Patent Office. The written opinion was issued on May 24, 2006 in the case concerning Patent No. EP-B-0669973, and the time for appeal has expired. The written opinion has not yet been issued in the case concerning Patent No. EP-B-0594669; the time for appeal will begin to run in that case when the Opposition Division opinion issues; there can be no assurance that Geron will not appeal in this case. While we are confident that, should the decision be appealed by Geron, it will be upheld, there can be no guarantee of this. If we were ultimately unsuccessful in our defense of this patent, all claimed rights in it would be lost in Europe. U.S. counterparts to both of these patents are part of our issued patent portfolio; they are not subject to opposition, since that procedure does not exist under U.S. patent law, but other types of proceedings may be available to third parties to contest our U.S. patents.</w:t>
      </w:r>
    </w:p>
    <w:p>
      <w:pPr>
        <w:spacing w:after="0" w:line="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July 2006, we filed suit against Neuralstem, Inc., in the Federal District Court alleging that its activities violate claims in four of our patents. Neuralstem has filed a motion for dismissal or summary judgment, citing Title 35, Section 271(e)(1) of the United States Code, which says that it is not an act of patent infringement to make, use or sell a patented invention “solely for uses reasonably related to the development and submission of information” to the FDA. Neuralstem argues that since it does not have any therapeutic products on the market yet, the activities complained of fall within the protection of Section 271(e)(1) – that is, basically, that the suit is premature. This issue will be decided after discovery is taken.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1, Item 1A, of our Annual Report on Form 10-K for the fiscal year ending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color w:val="auto"/>
        </w:rPr>
        <w:t>Under terms of a license agreement with Cal Tech, annual fees of $5,000 were due on each of two patents to which StemCells holds a license from Cal Tech, payable in cash or stock at the Company’s choice. The Company elected to pay the fees in stock and issued 3,848 unregistered shares to Cal Tech.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of Registrant)</w:t>
      </w:r>
    </w:p>
    <w:p>
      <w:pPr>
        <w:spacing w:after="0" w:line="211"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October 30, 2006</w:t>
      </w:r>
      <w:r>
        <w:rPr>
          <w:sz w:val="20"/>
          <w:szCs w:val="20"/>
          <w:color w:val="auto"/>
        </w:rPr>
        <w:tab/>
      </w:r>
      <w:r>
        <w:rPr>
          <w:rFonts w:ascii="Arial" w:cs="Arial" w:eastAsia="Arial" w:hAnsi="Arial"/>
          <w:sz w:val="16"/>
          <w:szCs w:val="16"/>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Exhibit Index</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ectPr>
          <w:pgSz w:w="11900" w:h="16838" w:orient="portrait"/>
          <w:cols w:equalWidth="0" w:num="1">
            <w:col w:w="11340"/>
          </w:cols>
          <w:pgMar w:left="240" w:top="419"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540" w:right="400" w:hanging="316"/>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820" w:firstLine="1"/>
        <w:spacing w:after="0" w:line="342" w:lineRule="auto"/>
        <w:tabs>
          <w:tab w:leader="none" w:pos="1165"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540" w:right="40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820" w:firstLine="1"/>
        <w:spacing w:after="0" w:line="342" w:lineRule="auto"/>
        <w:tabs>
          <w:tab w:leader="none" w:pos="1165"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September 30, 2006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 and</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September 30, 2006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 and</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2019-12-13T21:47:44Z</dcterms:created>
  <dcterms:modified xsi:type="dcterms:W3CDTF">2019-12-13T21:47:44Z</dcterms:modified>
</cp:coreProperties>
</file>