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28, 2009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31115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0"/>
              </w:rPr>
              <w:t>000-19871</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94-3078125</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center"/>
              <w:ind w:right="72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gridSpan w:val="3"/>
          </w:tcPr>
          <w:p>
            <w:pPr>
              <w:jc w:val="center"/>
              <w:ind w:right="1280"/>
              <w:spacing w:after="0"/>
              <w:rPr>
                <w:sz w:val="20"/>
                <w:szCs w:val="20"/>
                <w:color w:val="auto"/>
              </w:rPr>
            </w:pPr>
            <w:r>
              <w:rPr>
                <w:rFonts w:ascii="Arial" w:cs="Arial" w:eastAsia="Arial" w:hAnsi="Arial"/>
                <w:sz w:val="18"/>
                <w:szCs w:val="18"/>
                <w:color w:val="auto"/>
                <w:w w:val="93"/>
              </w:rPr>
              <w:t>of incorporation)</w:t>
            </w:r>
          </w:p>
        </w:tc>
        <w:tc>
          <w:tcPr>
            <w:tcW w:w="2700" w:type="dxa"/>
            <w:vAlign w:val="bottom"/>
            <w:gridSpan w:val="3"/>
          </w:tcPr>
          <w:p>
            <w:pPr>
              <w:jc w:val="center"/>
              <w:ind w:right="720"/>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7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2"/>
              </w:rPr>
              <w:t>3155 Porter Drive, Palo Alto, California</w:t>
            </w:r>
          </w:p>
        </w:tc>
        <w:tc>
          <w:tcPr>
            <w:tcW w:w="6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94304</w:t>
            </w:r>
          </w:p>
        </w:tc>
      </w:tr>
      <w:tr>
        <w:trPr>
          <w:trHeight w:val="224"/>
        </w:trPr>
        <w:tc>
          <w:tcPr>
            <w:tcW w:w="47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650.475.3100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EX-1.1</w:t>
      </w:r>
    </w:p>
    <w:p>
      <w:pPr>
        <w:spacing w:after="0" w:line="230" w:lineRule="auto"/>
        <w:rPr>
          <w:sz w:val="20"/>
          <w:szCs w:val="20"/>
          <w:color w:val="auto"/>
        </w:rPr>
      </w:pPr>
      <w:r>
        <w:rPr>
          <w:rFonts w:ascii="Arial" w:cs="Arial" w:eastAsia="Arial" w:hAnsi="Arial"/>
          <w:sz w:val="22"/>
          <w:szCs w:val="22"/>
          <w:u w:val="single" w:color="auto"/>
          <w:color w:val="0000EE"/>
        </w:rPr>
        <w:t>EX-4.1</w:t>
      </w:r>
    </w:p>
    <w:p>
      <w:pPr>
        <w:spacing w:after="0" w:line="231" w:lineRule="auto"/>
        <w:rPr>
          <w:sz w:val="20"/>
          <w:szCs w:val="20"/>
          <w:color w:val="auto"/>
        </w:rPr>
      </w:pPr>
      <w:r>
        <w:rPr>
          <w:rFonts w:ascii="Arial" w:cs="Arial" w:eastAsia="Arial" w:hAnsi="Arial"/>
          <w:sz w:val="22"/>
          <w:szCs w:val="22"/>
          <w:u w:val="single" w:color="auto"/>
          <w:color w:val="0000EE"/>
        </w:rPr>
        <w:t>EX-5.1</w:t>
      </w:r>
    </w:p>
    <w:p>
      <w:pPr>
        <w:spacing w:after="0" w:line="231" w:lineRule="auto"/>
        <w:rPr>
          <w:sz w:val="20"/>
          <w:szCs w:val="20"/>
          <w:color w:val="auto"/>
        </w:rPr>
      </w:pPr>
      <w:r>
        <w:rPr>
          <w:rFonts w:ascii="Arial" w:cs="Arial" w:eastAsia="Arial" w:hAnsi="Arial"/>
          <w:sz w:val="22"/>
          <w:szCs w:val="22"/>
          <w:u w:val="single" w:color="auto"/>
          <w:color w:val="0000EE"/>
        </w:rPr>
        <w:t>EX-99.1</w:t>
      </w:r>
    </w:p>
    <w:p>
      <w:pPr>
        <w:spacing w:after="0"/>
        <w:rPr>
          <w:sz w:val="20"/>
          <w:szCs w:val="20"/>
          <w:color w:val="auto"/>
        </w:rPr>
      </w:pPr>
      <w:r>
        <w:rPr>
          <w:rFonts w:ascii="Arial" w:cs="Arial" w:eastAsia="Arial" w:hAnsi="Arial"/>
          <w:sz w:val="22"/>
          <w:szCs w:val="22"/>
          <w:u w:val="single" w:color="auto"/>
          <w:color w:val="0000EE"/>
        </w:rPr>
        <w:t>EX-99.2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On July 18, 2008, the Securities and Exchange Commission (the “Commission”) declared effective the Registration Statement on Form S-3 (File No. 333-151891) of StemCells, Inc. (the “Company”) filed on June 24, 2008 with the Commission (the “Registration Statement”). The Registration Statement permits the Company to issue, in one or more offerings, shares of common stock, preferred stock, warrants or debt securities at an aggregate initial offering price not to exceed $100,000,000.</w:t>
      </w:r>
    </w:p>
    <w:p>
      <w:pPr>
        <w:spacing w:after="0" w:line="79" w:lineRule="exact"/>
        <w:rPr>
          <w:sz w:val="20"/>
          <w:szCs w:val="20"/>
          <w:color w:val="auto"/>
        </w:rPr>
      </w:pPr>
    </w:p>
    <w:p>
      <w:pPr>
        <w:ind w:right="140" w:firstLine="225"/>
        <w:spacing w:after="0" w:line="254" w:lineRule="auto"/>
        <w:rPr>
          <w:sz w:val="20"/>
          <w:szCs w:val="20"/>
          <w:color w:val="auto"/>
        </w:rPr>
      </w:pPr>
      <w:r>
        <w:rPr>
          <w:rFonts w:ascii="Arial" w:cs="Arial" w:eastAsia="Arial" w:hAnsi="Arial"/>
          <w:sz w:val="18"/>
          <w:szCs w:val="18"/>
          <w:color w:val="auto"/>
        </w:rPr>
        <w:t>On October 28, 2009, the Company entered into a placement agency agreement with Chardan Capital Markets, LLC as the exclusive placement agent, relating to the sale and issuance by the Company to certain investors (the “Purchasers”) of up to 10,000,000 shares of the Company’s common stock, par value $0.01 per share (“Common Stock”) and warrants (“Warrants”) to purchase up to 4,000,000 shares of Common Stock, in the aggregate, pursuant to the terms of the placement agency agreement and the related subscription agreements. The Common Stock and Warrants will be sold in units (the “Units”), with each Unit consisting of (i) one share of the Company’s Common Stock and (ii) a warrant to purchase 0.4 of a share of Common Stock, at a purchase price of $1.25 per Unit, pursuant to the Registration Statement (the “Offering”). The Warrants will generally be exercisable for a period of five years beginning six months after the date of issuance, and will carry a price per share equal to $1.50, or 106% of the closing price of the Common Stock on October 27, 2009 as reported by NASDAQ.</w:t>
      </w:r>
    </w:p>
    <w:p>
      <w:pPr>
        <w:spacing w:after="0" w:line="84"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Company anticipates raising gross proceeds of $12.5 million. The net offering proceeds to the Company from the sale of the Units, after deducting the placement agent fees and other estimated offering expenses payable by the Company, are expected to be approximately $11.9 million. The Offering is expected close on or about November 2, 2009, or on such later date as the Company and the Purchasers may agree, subject to customary closing conditions.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the Offering, the Company is filing as exhibits to this Current Report on Form 8-K the following documents:</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as Exhibit 1.1, the Placement Agency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as Exhibit 4.1, the Form of Warrant;</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as Exhibits 5.1 and 23.1, the legal opinion and consent of Ropes &amp; Gray LLP relating to the shares of Common Stock and the Warrants to purchase Common Stock to be issued and sold in the Offering;</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as Exhibit 99.1, the Form of Subscription Agreement;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as Exhibit 99.2, the Press Release.</w:t>
      </w:r>
    </w:p>
    <w:p>
      <w:pPr>
        <w:spacing w:after="0" w:line="11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foregoing summary of the terms of the subscription agreement, the warrant and the placement agency agreement is subject to, and qualified in its entirety by, the form of subscription agreement, the form of warrant and the placement agency agreement, which are attached to this Current Report on Form 8-K as Exhibits 99.1, 4.1 and 1.1 respectively and are incorporated herein by reference.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Company’s press release announcing the Offering is filed as Exhibit 99.2 to this Current Report on Form 8-K,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4"/>
                <w:szCs w:val="14"/>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500" w:type="dxa"/>
            <w:vAlign w:val="bottom"/>
          </w:tcPr>
          <w:p>
            <w:pPr>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0"/>
              </w:rPr>
              <w:t>Placement Agency Agreement dated as of October 28, 2009, by and between StemCells, Inc. and Chardan Capital Markets, LLC</w:t>
            </w:r>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as placement agent.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Warrant</w:t>
            </w:r>
          </w:p>
        </w:tc>
      </w:tr>
      <w:tr>
        <w:trPr>
          <w:trHeight w:val="632"/>
        </w:trPr>
        <w:tc>
          <w:tcPr>
            <w:tcW w:w="1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4"/>
                <w:szCs w:val="14"/>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50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Opinion of Ropes &amp; Gray LLP.</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Consent of Ropes &amp; Gray LLP (contained in Exhibit 5.1 above).</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Form of Subscription Agreement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99.2</w:t>
            </w:r>
          </w:p>
        </w:tc>
        <w:tc>
          <w:tcPr>
            <w:tcW w:w="58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Press release of StemCells, Inc. dated October 28, 2009.</w:t>
            </w:r>
          </w:p>
        </w:tc>
      </w:tr>
      <w:tr>
        <w:trPr>
          <w:trHeight w:val="632"/>
        </w:trPr>
        <w:tc>
          <w:tcPr>
            <w:tcW w:w="1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October 28, 2009</w:t>
      </w:r>
      <w:r>
        <w:rPr>
          <w:sz w:val="20"/>
          <w:szCs w:val="20"/>
          <w:color w:val="auto"/>
        </w:rPr>
        <w:tab/>
      </w:r>
      <w:r>
        <w:rPr>
          <w:rFonts w:ascii="Arial" w:cs="Arial" w:eastAsia="Arial" w:hAnsi="Arial"/>
          <w:sz w:val="16"/>
          <w:szCs w:val="16"/>
          <w:color w:val="auto"/>
        </w:rPr>
        <w:t>StemCells, Inc.</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Ken Stratton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Ken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81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Placement Agency Agreement dated as of October 28, 2009, by and between StemCells, Inc. and Chardan Capital Markets, LLC as</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placement agent.</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Opinion of Ropes &amp; Gray LLP.</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Ropes &amp; Gray LLP (contained in Exhibit 5.1 above).</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Subscription Agreement</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of StemCells, Inc., dated October 28, 2009.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Shares of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4,000,000 Shares of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LACEMENT</w:t>
      </w:r>
      <w:r>
        <w:rPr>
          <w:rFonts w:ascii="Arial" w:cs="Arial" w:eastAsia="Arial" w:hAnsi="Arial"/>
          <w:sz w:val="18"/>
          <w:szCs w:val="18"/>
          <w:color w:val="auto"/>
        </w:rPr>
        <w:t xml:space="preserve"> A</w:t>
      </w:r>
      <w:r>
        <w:rPr>
          <w:rFonts w:ascii="Arial" w:cs="Arial" w:eastAsia="Arial" w:hAnsi="Arial"/>
          <w:sz w:val="12"/>
          <w:szCs w:val="12"/>
          <w:color w:val="auto"/>
        </w:rPr>
        <w:t>GENCY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LACEMENT</w:t>
      </w:r>
      <w:r>
        <w:rPr>
          <w:rFonts w:ascii="Arial" w:cs="Arial" w:eastAsia="Arial" w:hAnsi="Arial"/>
          <w:sz w:val="18"/>
          <w:szCs w:val="18"/>
          <w:color w:val="auto"/>
        </w:rPr>
        <w:t xml:space="preserve"> A</w:t>
      </w:r>
      <w:r>
        <w:rPr>
          <w:rFonts w:ascii="Arial" w:cs="Arial" w:eastAsia="Arial" w:hAnsi="Arial"/>
          <w:sz w:val="12"/>
          <w:szCs w:val="12"/>
          <w:color w:val="auto"/>
        </w:rPr>
        <w:t>GENCY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28,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StemCells,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issue and sell to certain investors (collectively, the “</w:t>
      </w:r>
      <w:r>
        <w:rPr>
          <w:rFonts w:ascii="Arial" w:cs="Arial" w:eastAsia="Arial" w:hAnsi="Arial"/>
          <w:sz w:val="16"/>
          <w:szCs w:val="16"/>
          <w:u w:val="single" w:color="auto"/>
          <w:color w:val="auto"/>
        </w:rPr>
        <w:t>Investors</w:t>
      </w:r>
      <w:r>
        <w:rPr>
          <w:rFonts w:ascii="Arial" w:cs="Arial" w:eastAsia="Arial" w:hAnsi="Arial"/>
          <w:sz w:val="16"/>
          <w:szCs w:val="16"/>
          <w:color w:val="auto"/>
        </w:rPr>
        <w:t>”) up to an aggregate of 10,000,000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In addition, together with each Share sold, the Company shall issue and sell to each Investor a warrant substantially in the form the warrant attached as Annex I to Exhibit A hereto to purchase 0.40 shares of the Company’s Common Stock per each share issued to such Investor (the “</w:t>
      </w:r>
      <w:r>
        <w:rPr>
          <w:rFonts w:ascii="Arial" w:cs="Arial" w:eastAsia="Arial" w:hAnsi="Arial"/>
          <w:sz w:val="16"/>
          <w:szCs w:val="16"/>
          <w:u w:val="single" w:color="auto"/>
          <w:color w:val="auto"/>
        </w:rPr>
        <w:t>Warrants</w:t>
      </w:r>
      <w:r>
        <w:rPr>
          <w:rFonts w:ascii="Arial" w:cs="Arial" w:eastAsia="Arial" w:hAnsi="Arial"/>
          <w:sz w:val="16"/>
          <w:szCs w:val="16"/>
          <w:color w:val="auto"/>
        </w:rPr>
        <w:t>”). The Shares and the Warrants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Company desires to engage Chardan Capital Markets, LLC (“</w:t>
      </w:r>
      <w:r>
        <w:rPr>
          <w:rFonts w:ascii="Arial" w:cs="Arial" w:eastAsia="Arial" w:hAnsi="Arial"/>
          <w:sz w:val="16"/>
          <w:szCs w:val="16"/>
          <w:u w:val="single" w:color="auto"/>
          <w:color w:val="auto"/>
        </w:rPr>
        <w:t>Chardan</w:t>
      </w:r>
      <w:r>
        <w:rPr>
          <w:rFonts w:ascii="Arial" w:cs="Arial" w:eastAsia="Arial" w:hAnsi="Arial"/>
          <w:sz w:val="16"/>
          <w:szCs w:val="16"/>
          <w:color w:val="auto"/>
        </w:rPr>
        <w:t>”) as the exclusive placement agent (the “</w:t>
      </w:r>
      <w:r>
        <w:rPr>
          <w:rFonts w:ascii="Arial" w:cs="Arial" w:eastAsia="Arial" w:hAnsi="Arial"/>
          <w:sz w:val="16"/>
          <w:szCs w:val="16"/>
          <w:u w:val="single" w:color="auto"/>
          <w:color w:val="auto"/>
        </w:rPr>
        <w:t>Placement Agent</w:t>
      </w:r>
      <w:r>
        <w:rPr>
          <w:rFonts w:ascii="Arial" w:cs="Arial" w:eastAsia="Arial" w:hAnsi="Arial"/>
          <w:sz w:val="16"/>
          <w:szCs w:val="16"/>
          <w:color w:val="auto"/>
        </w:rPr>
        <w:t>”) in connection with such issuance and sale. The Securities are described in the Prospectus which is referred to below.</w:t>
      </w:r>
    </w:p>
    <w:p>
      <w:pPr>
        <w:spacing w:after="0" w:line="57" w:lineRule="exact"/>
        <w:rPr>
          <w:sz w:val="20"/>
          <w:szCs w:val="20"/>
          <w:color w:val="auto"/>
        </w:rPr>
      </w:pPr>
    </w:p>
    <w:p>
      <w:pPr>
        <w:ind w:right="180" w:firstLine="447"/>
        <w:spacing w:after="0" w:line="302" w:lineRule="auto"/>
        <w:rPr>
          <w:sz w:val="20"/>
          <w:szCs w:val="20"/>
          <w:color w:val="auto"/>
        </w:rPr>
      </w:pPr>
      <w:r>
        <w:rPr>
          <w:rFonts w:ascii="Arial" w:cs="Arial" w:eastAsia="Arial" w:hAnsi="Arial"/>
          <w:sz w:val="16"/>
          <w:szCs w:val="16"/>
          <w:color w:val="auto"/>
        </w:rPr>
        <w:t>The Company has prepared and filed, in accordance with the provisions of the Securities Act of 1933, as amended, and the rules and regulations thereunder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on Form S-3 (File No. 333-151891) under the Act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Amendments to such registration statement, if necessary or appropriate, have been similarly prepared and filed with the Commission in accordance with the Act. Such registration statement, as so amended, has become effective under the Act.</w:t>
      </w:r>
    </w:p>
    <w:p>
      <w:pPr>
        <w:spacing w:after="0" w:line="46"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color w:val="auto"/>
        </w:rPr>
        <w:t>Except where the context otherwise requires,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used herein, means the registration statement, as amended at the time of such registration statement’s effectiveness for purposes of Section 11 of the Act, as such section applies to the Placement Agent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including</w:t>
      </w:r>
    </w:p>
    <w:p>
      <w:pPr>
        <w:jc w:val="both"/>
        <w:ind w:right="20" w:firstLine="8"/>
        <w:spacing w:after="0" w:line="254"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documents filed as a part thereof or incorporated or deemed to be incorporated by reference therein, (ii)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 and (iii) any registration statement filed to register the offer and sale of Securities pursuant to Rule 462(b) under the Act.</w:t>
      </w:r>
    </w:p>
    <w:p>
      <w:pPr>
        <w:spacing w:after="0" w:line="82"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as used herein, means the final prospectus supplement, relating to the Securities, filed by the Company with the Commission pursuant to Rule 424(b) under the Act on or before the second business day after the date hereof (or such earlier time as may be required under the Act), in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furnished by the Company to you, for use by the Placement Agent and by dealers in connection with the offering of the Securities.</w:t>
      </w:r>
    </w:p>
    <w:p>
      <w:pPr>
        <w:spacing w:after="0" w:line="117"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Prospectus</w:t>
      </w:r>
      <w:r>
        <w:rPr>
          <w:rFonts w:ascii="Arial" w:cs="Arial" w:eastAsia="Arial" w:hAnsi="Arial"/>
          <w:sz w:val="18"/>
          <w:szCs w:val="18"/>
          <w:color w:val="auto"/>
        </w:rPr>
        <w:t>,” as used herein, means the Prospectus Supplement together with the basic prospectus attached to or used with the Prospectus Supplement.</w:t>
      </w:r>
    </w:p>
    <w:p>
      <w:pPr>
        <w:spacing w:after="0" w:line="62"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u w:val="single" w:color="auto"/>
          <w:color w:val="auto"/>
        </w:rPr>
        <w:t>Basic Prospectus</w:t>
      </w:r>
      <w:r>
        <w:rPr>
          <w:rFonts w:ascii="Arial" w:cs="Arial" w:eastAsia="Arial" w:hAnsi="Arial"/>
          <w:sz w:val="18"/>
          <w:szCs w:val="18"/>
          <w:color w:val="auto"/>
        </w:rPr>
        <w:t>,” as used herein, means the basic prospectus included in the Registration Statement at the time the Registration Statement became effective under the Act.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xml:space="preserve">,” as used herein, means the documents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17"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with respect to any Investor, means the time of receipt and acceptance by the Company of an executed Subscription Agreement (as defined below) from such Investor.</w:t>
      </w:r>
    </w:p>
    <w:p>
      <w:pPr>
        <w:spacing w:after="0" w:line="6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Any reference herein to the registration statement, the Registration Statement, the Basic Prospectus, the Prospectus Supplement, the Prospectus or any Permitted Free Writing Prospectus shall be deemed to refer to and include the documents, if any, incorporated by reference, or deemed to be incorporated by reference, therein (the “</w:t>
      </w:r>
      <w:r>
        <w:rPr>
          <w:rFonts w:ascii="Arial" w:cs="Arial" w:eastAsia="Arial" w:hAnsi="Arial"/>
          <w:sz w:val="17"/>
          <w:szCs w:val="17"/>
          <w:u w:val="single" w:color="auto"/>
          <w:color w:val="auto"/>
        </w:rPr>
        <w:t>Incorporated Documents</w:t>
      </w:r>
      <w:r>
        <w:rPr>
          <w:rFonts w:ascii="Arial" w:cs="Arial" w:eastAsia="Arial" w:hAnsi="Arial"/>
          <w:sz w:val="17"/>
          <w:szCs w:val="17"/>
          <w:color w:val="auto"/>
        </w:rPr>
        <w:t>”), including, unless the context otherwise requires, the documents, if any, filed as exhibits to such Incorporated Documents. Any reference herein to the terms “</w:t>
      </w:r>
      <w:r>
        <w:rPr>
          <w:rFonts w:ascii="Arial" w:cs="Arial" w:eastAsia="Arial" w:hAnsi="Arial"/>
          <w:sz w:val="17"/>
          <w:szCs w:val="17"/>
          <w:u w:val="single" w:color="auto"/>
          <w:color w:val="auto"/>
        </w:rPr>
        <w:t>amend</w:t>
      </w:r>
      <w:r>
        <w:rPr>
          <w:rFonts w:ascii="Arial" w:cs="Arial" w:eastAsia="Arial" w:hAnsi="Arial"/>
          <w:sz w:val="17"/>
          <w:szCs w:val="17"/>
          <w:color w:val="auto"/>
        </w:rPr>
        <w:t>,” “</w:t>
      </w:r>
      <w:r>
        <w:rPr>
          <w:rFonts w:ascii="Arial" w:cs="Arial" w:eastAsia="Arial" w:hAnsi="Arial"/>
          <w:sz w:val="17"/>
          <w:szCs w:val="17"/>
          <w:u w:val="single" w:color="auto"/>
          <w:color w:val="auto"/>
        </w:rPr>
        <w:t>amendment</w:t>
      </w:r>
      <w:r>
        <w:rPr>
          <w:rFonts w:ascii="Arial" w:cs="Arial" w:eastAsia="Arial" w:hAnsi="Arial"/>
          <w:sz w:val="17"/>
          <w:szCs w:val="17"/>
          <w:color w:val="auto"/>
        </w:rPr>
        <w:t>” or “</w:t>
      </w:r>
      <w:r>
        <w:rPr>
          <w:rFonts w:ascii="Arial" w:cs="Arial" w:eastAsia="Arial" w:hAnsi="Arial"/>
          <w:sz w:val="17"/>
          <w:szCs w:val="17"/>
          <w:u w:val="single" w:color="auto"/>
          <w:color w:val="auto"/>
        </w:rPr>
        <w:t>supplement</w:t>
      </w:r>
      <w:r>
        <w:rPr>
          <w:rFonts w:ascii="Arial" w:cs="Arial" w:eastAsia="Arial" w:hAnsi="Arial"/>
          <w:sz w:val="17"/>
          <w:szCs w:val="17"/>
          <w:color w:val="auto"/>
        </w:rPr>
        <w:t>” with respect to the Registration Statement, the Basic Prospectus, the Prospectus Supplement, the Prospectus or any Permitted Free Writing Prospectus shall be deemed to refer to and include the filing of any document under the Securities Exchange Act of 1934, as amended, and the rules and regulations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on or after the initial effective date of the Registration Statement, or the date of the Basic Prospectus, the Prospectus Supplement, the Prospectus or such Permitted Free Writing Prospectus, as the case may be, and deemed to be incorporated therein by reference.</w:t>
      </w:r>
    </w:p>
    <w:p>
      <w:pPr>
        <w:spacing w:after="0" w:line="7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As used in this Agreement,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 day on which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Placement Agent agree as follows:</w:t>
      </w:r>
    </w:p>
    <w:p>
      <w:pPr>
        <w:spacing w:after="0" w:line="117" w:lineRule="exact"/>
        <w:rPr>
          <w:sz w:val="20"/>
          <w:szCs w:val="20"/>
          <w:color w:val="auto"/>
        </w:rPr>
      </w:pPr>
    </w:p>
    <w:p>
      <w:pPr>
        <w:ind w:firstLine="233"/>
        <w:spacing w:after="0" w:line="259"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Agreement to Act as Placement Agent</w:t>
      </w:r>
      <w:r>
        <w:rPr>
          <w:rFonts w:ascii="Arial" w:cs="Arial" w:eastAsia="Arial" w:hAnsi="Arial"/>
          <w:sz w:val="18"/>
          <w:szCs w:val="18"/>
          <w:color w:val="auto"/>
        </w:rPr>
        <w:t>. Upon the basis of the representations and warranties of the Company and subject to the terms and conditions set forth in this Agreement, the Company engages the Placement Agent, on a commercially reasonable efforts basis, to act as its exclusive placement agent in connection with the offer and sale, by the Company, of Securities to the Investors. As compensation for services rendered, at the time of purchase (as defined below) the Company shall pay to the Placement Agent an amount equal to 4.0% of the</w:t>
      </w:r>
    </w:p>
    <w:p>
      <w:pPr>
        <w:spacing w:after="0" w:line="159"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gross proceeds received or to be received by the Company from the sale of the Securities (the “</w:t>
      </w:r>
      <w:r>
        <w:rPr>
          <w:rFonts w:ascii="Arial" w:cs="Arial" w:eastAsia="Arial" w:hAnsi="Arial"/>
          <w:sz w:val="18"/>
          <w:szCs w:val="18"/>
          <w:u w:val="single" w:color="auto"/>
          <w:color w:val="auto"/>
        </w:rPr>
        <w:t>Agency Fee</w:t>
      </w:r>
      <w:r>
        <w:rPr>
          <w:rFonts w:ascii="Arial" w:cs="Arial" w:eastAsia="Arial" w:hAnsi="Arial"/>
          <w:sz w:val="18"/>
          <w:szCs w:val="18"/>
          <w:color w:val="auto"/>
        </w:rPr>
        <w:t>”). The Shares are being sold to Investors at a price of $1.25 per share, and together with each Share, Investors will receive a Warrant to purchase 0.40 shares of the Company’s Common Stock at an exercise price of $1.50 per share. The Placement Agent may retain other brokers or dealers to act as sub-agents on its behalf in connection with the offering and sale of the Securities.</w:t>
      </w:r>
    </w:p>
    <w:p>
      <w:pPr>
        <w:spacing w:after="0" w:line="79" w:lineRule="exact"/>
        <w:rPr>
          <w:sz w:val="20"/>
          <w:szCs w:val="20"/>
          <w:color w:val="auto"/>
        </w:rPr>
      </w:pPr>
    </w:p>
    <w:p>
      <w:pPr>
        <w:ind w:right="120" w:firstLine="447"/>
        <w:spacing w:after="0" w:line="302" w:lineRule="auto"/>
        <w:rPr>
          <w:sz w:val="20"/>
          <w:szCs w:val="20"/>
          <w:color w:val="auto"/>
        </w:rPr>
      </w:pPr>
      <w:r>
        <w:rPr>
          <w:rFonts w:ascii="Arial" w:cs="Arial" w:eastAsia="Arial" w:hAnsi="Arial"/>
          <w:sz w:val="16"/>
          <w:szCs w:val="16"/>
          <w:color w:val="auto"/>
        </w:rPr>
        <w:t xml:space="preserve">The Company expressly acknowledges and agrees that the Placement Agent’s obligations hereunder are on a reasonable efforts basis, and this Agreement shall not give rise to any commitment by the Placement Agent or any of its affiliates to underwrite or purchase any of the Securities or otherwise provide any financing. The Placement Agent shall have no authority to bind the Company in respect of the sale of any Securities. The sale of the Securities shall be made pursuant to purchase agreements substantially in the form included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w:t>
      </w:r>
    </w:p>
    <w:p>
      <w:pPr>
        <w:spacing w:after="0" w:line="46" w:lineRule="exact"/>
        <w:rPr>
          <w:sz w:val="20"/>
          <w:szCs w:val="20"/>
          <w:color w:val="auto"/>
        </w:rPr>
      </w:pPr>
    </w:p>
    <w:p>
      <w:pPr>
        <w:ind w:firstLine="233"/>
        <w:spacing w:after="0" w:line="286"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Subject to the terms and conditions hereof, payment of the purchase price for, and delivery of certificates for, the Securities shall be made at the office of Chardan Capital Markets, LLC at 17 State Street, Suite 1600, New York, New York 10004 (or at such other place as shall be agreed upon by you and the Company), at 10:00 A.M., New York City time, on November 2, 2009 (unless another time shall be agreed to by you and the Company). Subject to the terms and conditions hereof, payment of the purchase price for the Securities (adjusted in the manner set forth below) shall be made to the Company in the manner set forth below by Federal Funds wire transfer, against delivery of certificates for the Shares, through the facilities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and certificates for the Warrants, to such persons, and shall be registered in such name or names and shall be in such denominations, as the Placement Agent may request at least one business day before the time of purchase. Payment of the purchase price for the Securities to be purchased by Investors shall be made at the time of purchase by such Investors directly to the Company. The time at which such payment and delivery are to be made is hereinafter sometimes called the “</w:t>
      </w:r>
      <w:r>
        <w:rPr>
          <w:rFonts w:ascii="Arial" w:cs="Arial" w:eastAsia="Arial" w:hAnsi="Arial"/>
          <w:sz w:val="16"/>
          <w:szCs w:val="16"/>
          <w:u w:val="single" w:color="auto"/>
          <w:color w:val="auto"/>
        </w:rPr>
        <w:t>time of purchase</w:t>
      </w:r>
      <w:r>
        <w:rPr>
          <w:rFonts w:ascii="Arial" w:cs="Arial" w:eastAsia="Arial" w:hAnsi="Arial"/>
          <w:sz w:val="16"/>
          <w:szCs w:val="16"/>
          <w:color w:val="auto"/>
        </w:rPr>
        <w:t xml:space="preserve">.” At the time of purchase, the Company shall deliver to the Placement Agent, by Federal Funds wire transfer, an amount in cash equal to the sum of the aggregate Agency Fee and the Placement Agent’s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estimate of the amount, if any, of expenses for which the Placement Agent is entitled to reimbursement pursuant hereto, which estimate shall be evidenced by expense reimbursement invoices provided by the Placement Agent to the Company prior to the time of purchase. As soon as reasonably practicable after the time of purchase, the Company or the Placement Agent, as applicable, shall make any necessary reconciling or additional payment(s) with respect to such estimate in order to effect the reimbursement to which the Placement Agent is entitled pursuant hereto. Electronic transfer of the Shares shall be made at the time of purchase in such names and in such denominations as the Placement Agent shall specify.</w:t>
      </w:r>
    </w:p>
    <w:p>
      <w:pPr>
        <w:spacing w:after="0" w:line="61" w:lineRule="exact"/>
        <w:rPr>
          <w:sz w:val="20"/>
          <w:szCs w:val="20"/>
          <w:color w:val="auto"/>
        </w:rPr>
      </w:pPr>
    </w:p>
    <w:p>
      <w:pPr>
        <w:jc w:val="both"/>
        <w:ind w:right="20" w:firstLine="450"/>
        <w:spacing w:after="0" w:line="264" w:lineRule="auto"/>
        <w:rPr>
          <w:sz w:val="20"/>
          <w:szCs w:val="20"/>
          <w:color w:val="auto"/>
        </w:rPr>
      </w:pPr>
      <w:r>
        <w:rPr>
          <w:rFonts w:ascii="Arial" w:cs="Arial" w:eastAsia="Arial" w:hAnsi="Arial"/>
          <w:sz w:val="18"/>
          <w:szCs w:val="18"/>
          <w:color w:val="auto"/>
        </w:rPr>
        <w:t>Deliveries of the documents described in Section 6 hereof with respect to the purchase of the Securities shall be made at the offices of Chardan Capital Markets, LLC at 17 State Street, Suite 1600, New York, New York 10004, at 9:00 A.M., New York City time, on the date of the closing of the purchase of the Securities.</w:t>
      </w:r>
    </w:p>
    <w:p>
      <w:pPr>
        <w:spacing w:after="0" w:line="73" w:lineRule="exact"/>
        <w:rPr>
          <w:sz w:val="20"/>
          <w:szCs w:val="20"/>
          <w:color w:val="auto"/>
        </w:rPr>
      </w:pPr>
    </w:p>
    <w:p>
      <w:pPr>
        <w:ind w:left="420" w:hanging="18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warrants to and agrees with the Placement Agent that:</w:t>
      </w:r>
    </w:p>
    <w:p>
      <w:pPr>
        <w:spacing w:after="0" w:line="117" w:lineRule="exact"/>
        <w:rPr>
          <w:sz w:val="20"/>
          <w:szCs w:val="20"/>
          <w:color w:val="auto"/>
        </w:rPr>
      </w:pPr>
    </w:p>
    <w:p>
      <w:pPr>
        <w:ind w:left="240" w:right="240" w:firstLine="221"/>
        <w:spacing w:after="0" w:line="255" w:lineRule="auto"/>
        <w:tabs>
          <w:tab w:leader="none" w:pos="7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Registration Statement has heretofore become effective under the Act or, with respect to any registration statement to be filed to register the offer and sale of Securities pursuant to Rule 462(b) under the Act, will be filed with the Commission and become effective under the Act no later than 10:00 P.M., New York City time, on the date of determination of the offering price for the Securities to Investors; no stop order of the Commission preventing or suspending the use of the Basic Prospectus, the Prospectus Supplement, the Prospectus or any Permitted Free Writing Prospectus, or the effectiveness of the Registration Statement, has been issued, and no proceedings for such purpose have been instituted or, to the Company’s knowledge, are contemplated by the Commission;</w:t>
      </w:r>
    </w:p>
    <w:p>
      <w:pPr>
        <w:spacing w:after="0" w:line="85" w:lineRule="exact"/>
        <w:rPr>
          <w:rFonts w:ascii="Arial" w:cs="Arial" w:eastAsia="Arial" w:hAnsi="Arial"/>
          <w:sz w:val="18"/>
          <w:szCs w:val="18"/>
          <w:color w:val="auto"/>
        </w:rPr>
      </w:pPr>
    </w:p>
    <w:p>
      <w:pPr>
        <w:ind w:left="240" w:firstLine="221"/>
        <w:spacing w:after="0" w:line="285"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Registration Statement complied when it became effective, complies as of the date hereof and, as amended or supplemented, at the time of purchase and at all times during which a prospectus is required by the Act to be delivered (whether physically or through compliance with Rule 172 under the Act or any similar rule) in connection with any sale of Securities, will comply, in all material respects, with the requirements of the Act; the conditions to the use of Form S-3 in connection with the offering and sale of the Securities as contemplated hereby have been satisfied; the Registration Statement meets, and the offering and sale of the Securities as contemplated hereby complies with, the requirements of Rule 415 under the Act (including, without limitation, Rule 415(a)(5)); the Registration Statement did not, as of the Effective Time, contain an untrue statement of a material fact or omit to state a material fact required to be stated therein or necessary to make the statements therein not misleading; the Basic Prospectus complied at the time it was filed with the Commission, and complies as of the date hereof, in all material respects with the requirements of the Act; at no time during the period that begins on the earlier of the date of the Basic Prospectus and the date the Basic Prospectus was filed with the Commission and ends at the time of purchase did or will the Basic Prospectus, as then amended or supplemented, include an untrue statement of a material fact or omit to state a material fact necessary in order to make the statements therein, in the light of the circumstances under which they were made, not misleading, and at no time during such period did or will the Basic Prospectus, as then amended or supplemented, together with any combination of one or more of the then issued Permitted Free Writing Prospectuses, if any, include an untrue statement of a material fact or omit to state a material fact necessary in order to make the statements therein, in the light of the circumstances under which they were made, not misleading; each of the Prospectus Supplement and the Prospectus will comply, as of the date that it is filed with the Commission, the date of the Prospectus Supplement, the time of purchase and at all times during which a prospectus is required by the Act to be delivered (whether physically or through compliance with Rule 172 under the Act or any similar rule) in connection with any sale of Securities, in all material respects, with the requirements of the Act (in the case of the Prospectus, including, without limitation, Section 10(a) of the Act); at no time during the period that begins on the earlier of the date of the Prospectus Supplement and the date the Prospectus Supplement is filed with the Commission and ends at the later of the time of purchase and the end of the period during which a prospectus is required by</w:t>
      </w:r>
    </w:p>
    <w:p>
      <w:pPr>
        <w:spacing w:after="0" w:line="143" w:lineRule="exact"/>
        <w:rPr>
          <w:rFonts w:ascii="Arial" w:cs="Arial" w:eastAsia="Arial" w:hAnsi="Arial"/>
          <w:sz w:val="16"/>
          <w:szCs w:val="16"/>
          <w:color w:val="auto"/>
        </w:rPr>
      </w:pPr>
    </w:p>
    <w:p>
      <w:pPr>
        <w:ind w:left="5660" w:hanging="96"/>
        <w:spacing w:after="0"/>
        <w:tabs>
          <w:tab w:leader="none" w:pos="5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60"/>
        <w:spacing w:after="0" w:line="268" w:lineRule="auto"/>
        <w:rPr>
          <w:sz w:val="20"/>
          <w:szCs w:val="20"/>
          <w:color w:val="auto"/>
        </w:rPr>
      </w:pPr>
      <w:r>
        <w:rPr>
          <w:rFonts w:ascii="Arial" w:cs="Arial" w:eastAsia="Arial" w:hAnsi="Arial"/>
          <w:sz w:val="17"/>
          <w:szCs w:val="17"/>
          <w:color w:val="auto"/>
        </w:rPr>
        <w:t xml:space="preserve">the Act to be delivered (whether physically or through compliance with Rule 172 under the Act or any similar rule) in connection with any sale of Securities did or will any Prospectus Supplement or the Prospectus, as then amended or supplemented, include an untrue statement of a material fact or omit to state a material fact necessary in order to make the statements therein, in the light of the circumstances under which they were made, not misleading; at no time during the period that begins on the date of such Permitted Free Writing Prospectus and ends at the time of purchase did or will any Permitted Free Writing Prospectus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makes no representation or warranty with respect to any statement contained in the Registration Statement, the Basic Prospectus, the Prospectus or any Permitted Free Writing Prospectus in reliance upon and in conformity with information concerning the Placement Agent and furnished in writing by the Placement Agent to the Company expressly for use in the Registration Statement, the Basic Prospectus, the Prospectus or such Permitted Free Writing Prospectus; each Incorporated Document, at the time such document was or will be filed with the Commission or at the time such document became or becomes effective, as applicable, complied or will comply, as applicable, in all material respects, with the requirements of the Exchange Act and did not or will not, as applicable, include an untrue statement of a material fact or omit to state a material fact necessary in order to make the statements therein, in the light of the circumstances under which they were made, not misleading;</w:t>
      </w:r>
    </w:p>
    <w:p>
      <w:pPr>
        <w:spacing w:after="0" w:line="80" w:lineRule="exact"/>
        <w:rPr>
          <w:sz w:val="20"/>
          <w:szCs w:val="20"/>
          <w:color w:val="auto"/>
        </w:rPr>
      </w:pPr>
    </w:p>
    <w:p>
      <w:pPr>
        <w:ind w:firstLine="221"/>
        <w:spacing w:after="0" w:line="284" w:lineRule="auto"/>
        <w:tabs>
          <w:tab w:leader="none" w:pos="47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to the execution of this Agreement, the Company has not, directly or indirectly, offered or sold any Securities by means of any “prospectus” (within the meaning of the Act) or used any “prospectus” (within the meaning of the Act) in connection with the offer or sale of the Securities, in each case other than the Basic Prospectus, the Permitted Free Writing Prospectuses, if any, and the Prospectus (if the parties utilize the Prospectus at or prior to the Applicable Time); the Company has not, directly or indirectly, prepared, used or referred to any Permitted Free Writing Prospectus except in compliance with Rules 164 and 433 under the Act; assuming that such Permitted Free Writing Prospectus is so sent or given after the Registration Statement was filed with the Commission (and after such Permitted Free Writing Prospectus was, if required pursuant to Rule 433(d) under the Act, filed with the Commission), the sending or giving, by the Placement Agent, of any Permitted Free Writing Prospectus will satisfy the provisions of Rule 164 and</w:t>
      </w:r>
    </w:p>
    <w:p>
      <w:pPr>
        <w:spacing w:after="0" w:line="2" w:lineRule="exact"/>
        <w:rPr>
          <w:rFonts w:ascii="Arial" w:cs="Arial" w:eastAsia="Arial" w:hAnsi="Arial"/>
          <w:sz w:val="16"/>
          <w:szCs w:val="16"/>
          <w:color w:val="auto"/>
        </w:rPr>
      </w:pPr>
    </w:p>
    <w:p>
      <w:pPr>
        <w:ind w:right="80"/>
        <w:spacing w:after="0" w:line="252" w:lineRule="auto"/>
        <w:rPr>
          <w:rFonts w:ascii="Arial" w:cs="Arial" w:eastAsia="Arial" w:hAnsi="Arial"/>
          <w:sz w:val="16"/>
          <w:szCs w:val="16"/>
          <w:color w:val="auto"/>
        </w:rPr>
      </w:pPr>
      <w:r>
        <w:rPr>
          <w:rFonts w:ascii="Arial" w:cs="Arial" w:eastAsia="Arial" w:hAnsi="Arial"/>
          <w:sz w:val="18"/>
          <w:szCs w:val="18"/>
          <w:color w:val="auto"/>
        </w:rPr>
        <w:t>Rule 433 (without reliance on subsections (b), (c) and (d) of Rule 164); the conditions set forth in one or more of subclauses (i) through (iv), inclusive, of Rule 433(b)(1) under the Act are satisfied, and the registration statement relating to the offering of the Securities contemplated hereby, as filed with the Commission on June 24, 2008, includes a prospectus that, other than by reason of Rule 433 or Rule 431 under the Act, satisfies the requirements of Section 10 of the Act; neither the Company nor the Placement Agent are disqualified, by reason of subsection (f) or (g) of Rule 164 under the Act, from using, in connection with the offer and sale of the Securities, “free writing prospectuses” (as defined in Rule 405 under the Act) pursuant to Rules 164 and 433 under the Act; the Company is not an “ineligible issuer” (as defined in Rule 405 under the Act) as of the eligibility determination date for purposes of Rules 164</w:t>
      </w:r>
    </w:p>
    <w:p>
      <w:pPr>
        <w:spacing w:after="0" w:line="166" w:lineRule="exact"/>
        <w:rPr>
          <w:rFonts w:ascii="Arial" w:cs="Arial" w:eastAsia="Arial" w:hAnsi="Arial"/>
          <w:sz w:val="16"/>
          <w:szCs w:val="16"/>
          <w:color w:val="auto"/>
        </w:rPr>
      </w:pPr>
    </w:p>
    <w:p>
      <w:pPr>
        <w:ind w:left="5420" w:hanging="96"/>
        <w:spacing w:after="0"/>
        <w:tabs>
          <w:tab w:leader="none" w:pos="5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jc w:val="both"/>
        <w:ind w:right="200"/>
        <w:spacing w:after="0" w:line="264" w:lineRule="auto"/>
        <w:rPr>
          <w:sz w:val="20"/>
          <w:szCs w:val="20"/>
          <w:color w:val="auto"/>
        </w:rPr>
      </w:pPr>
      <w:r>
        <w:rPr>
          <w:rFonts w:ascii="Arial" w:cs="Arial" w:eastAsia="Arial" w:hAnsi="Arial"/>
          <w:sz w:val="18"/>
          <w:szCs w:val="18"/>
          <w:color w:val="auto"/>
        </w:rPr>
        <w:t>and 433 under the Act with respect to the offering of the Securities contemplated by the Registration Statement; the parties hereto agree and understand that the content of any and all “road shows” (as defined in Rule 433 under the Act) related to the offering of the Securities contemplated hereby is solely the property of the Company;</w:t>
      </w:r>
    </w:p>
    <w:p>
      <w:pPr>
        <w:spacing w:after="0" w:line="73" w:lineRule="exact"/>
        <w:rPr>
          <w:sz w:val="20"/>
          <w:szCs w:val="20"/>
          <w:color w:val="auto"/>
        </w:rPr>
      </w:pPr>
    </w:p>
    <w:p>
      <w:pPr>
        <w:ind w:right="220" w:firstLine="221"/>
        <w:spacing w:after="0" w:line="27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Securities have been registered with the Commission on Form S-3 under the Act pursuant to the standards for such Form S-3 in effect prior to October 21, 1992;</w:t>
      </w:r>
    </w:p>
    <w:p>
      <w:pPr>
        <w:spacing w:after="0" w:line="62" w:lineRule="exact"/>
        <w:rPr>
          <w:rFonts w:ascii="Arial" w:cs="Arial" w:eastAsia="Arial" w:hAnsi="Arial"/>
          <w:sz w:val="18"/>
          <w:szCs w:val="18"/>
          <w:color w:val="auto"/>
        </w:rPr>
      </w:pPr>
    </w:p>
    <w:p>
      <w:pPr>
        <w:ind w:firstLine="221"/>
        <w:spacing w:after="0" w:line="270" w:lineRule="auto"/>
        <w:tabs>
          <w:tab w:leader="none" w:pos="47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the date of this Agreement, the Company has an authorized and outstanding capitalization as set forth in the section of the Prospectus entitled “Capitalization” (and any similar sections or information, if any, contained in any Permitted Free Writing Prospectus), and, as of the time of purchase, the Company shall have an authorized and outstanding capitalization as set forth in the section of the Prospectus entitled “Capitalization” (and any similar sections or information, if any, contained in any Permitted Free Writing Prospectus) (subject, in each case, to the issuance of shares of Common Stock upon exercise of stock options and warrants disclosed as outstanding in the Registration Statement, the Basic Prospectus and the Prospectus and the grant of options under existing stock option plans described in the Registration Statement, the Basic Prospectus and the Prospectus); and all of the issued and outstanding shares of capital stock, including the Common Stock, of the Company have been duly authorized and validly issued and are fully paid and non-assessable, have been issued in compliance with all applicable securities laws and were not issued in violation of any preemptive right, resale right, right of first refusal or similar right; the Shares are duly listed, and admitted and authorized for trading, subject to official notice of issuance, on the Nasdaq National Market (the “</w:t>
      </w:r>
      <w:r>
        <w:rPr>
          <w:rFonts w:ascii="Arial" w:cs="Arial" w:eastAsia="Arial" w:hAnsi="Arial"/>
          <w:sz w:val="17"/>
          <w:szCs w:val="17"/>
          <w:u w:val="single" w:color="auto"/>
          <w:color w:val="auto"/>
        </w:rPr>
        <w:t>NASDAQ</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120" w:firstLine="221"/>
        <w:spacing w:after="0" w:line="259" w:lineRule="auto"/>
        <w:tabs>
          <w:tab w:leader="none" w:pos="4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the Basic Prospectus, the Prospectus and the Permitted Free Writing Prospectuses, if any, to execute and deliver this Agreement and to issue, sell and deliver the Securities as contemplated herein;</w:t>
      </w:r>
    </w:p>
    <w:p>
      <w:pPr>
        <w:spacing w:after="0" w:line="78" w:lineRule="exact"/>
        <w:rPr>
          <w:rFonts w:ascii="Arial" w:cs="Arial" w:eastAsia="Arial" w:hAnsi="Arial"/>
          <w:sz w:val="18"/>
          <w:szCs w:val="18"/>
          <w:color w:val="auto"/>
        </w:rPr>
      </w:pPr>
    </w:p>
    <w:p>
      <w:pPr>
        <w:ind w:right="80" w:firstLine="221"/>
        <w:spacing w:after="0" w:line="293"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or in good standing would not, individually or in the aggregate, either (i) have a material adverse effect on the business, properties, financial condition, results of operations or prospects of the Company and the Subsidiaries (as defined below) taken as a whole, (ii) prevent or materially interfere with consummation of the transactions contemplated hereby or (iii) result in the delisting of shares of Common Stock from the NASDAQ (the occurrence of any such effect or any such prevention or interference or any such result described in the foregoing clauses (i), (ii) and (iii) being herein referred to as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37" w:lineRule="exact"/>
        <w:rPr>
          <w:rFonts w:ascii="Arial" w:cs="Arial" w:eastAsia="Arial" w:hAnsi="Arial"/>
          <w:sz w:val="16"/>
          <w:szCs w:val="16"/>
          <w:color w:val="auto"/>
        </w:rPr>
      </w:pPr>
    </w:p>
    <w:p>
      <w:pPr>
        <w:ind w:left="5420" w:hanging="96"/>
        <w:spacing w:after="0"/>
        <w:tabs>
          <w:tab w:leader="none" w:pos="5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4" w:name="page15"/>
    <w:bookmarkEnd w:id="14"/>
    <w:p>
      <w:pPr>
        <w:ind w:left="-221" w:firstLine="221"/>
        <w:spacing w:after="0" w:line="286"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no subsidiaries (as defined under the Act) other than those entities listed on Schedule 3(h) (the “</w:t>
      </w: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owns all of the issued and outstanding capital stock of the Subsidiaries; other than the capital stock of the Subsidiaries, the Company does not own, directly or indirectly, any shares of stock or any other equity interests or long-term debt securities of any corporation, firm, partnership, joint venture, association or other entity, other than the Company’s equity interest in ReNeuron Group plc, as disclosed in the Registration Statement, Basic Prospectus and the Prospectus; complete and correct copies of the charters and the bylaws of the Company and the Subsidiaries and all amendments thereto have been delivered to you, and no changes therein will be made on or after the date hereof through and including the time of purchase; the Subsidiaries have all been duly incorporated and are validly existing as a corporation in good standing under the laws of the State set forth on Schedule 3(h), with full corporate power and authority to own, lease and operate its properties and to conduct its business as described in the Registration Statement, the Basic Prospectus, the Prospectus and the Permitted Free Writing Prospectuses, if any; the Subsidiaries are duly qualified to do business as a foreign corporation and are in good standing in each jurisdiction where the ownership or leasing of its properties or the conduct of its business requires such qualification, except where the failure to be so qualified or in good standing would not, individually or in the aggregate, have a Material Adverse Effect; all of the outstanding shares of capital stock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w:t>
      </w:r>
    </w:p>
    <w:p>
      <w:pPr>
        <w:spacing w:after="0" w:line="60" w:lineRule="exact"/>
        <w:rPr>
          <w:rFonts w:ascii="Arial" w:cs="Arial" w:eastAsia="Arial" w:hAnsi="Arial"/>
          <w:sz w:val="16"/>
          <w:szCs w:val="16"/>
          <w:color w:val="auto"/>
        </w:rPr>
      </w:pPr>
    </w:p>
    <w:p>
      <w:pPr>
        <w:ind w:left="-221" w:right="100" w:firstLine="221"/>
        <w:spacing w:after="0" w:line="290" w:lineRule="auto"/>
        <w:tabs>
          <w:tab w:leader="none" w:pos="21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Securities have been duly and validly authorized by the Company and, when issued and delivered against payment therefor as provided in the Subscription Agreements, the Shares will be duly and validly issued, fully paid and non-assessable and the Securities will not be issued in violation of statutory and contractual preemptive rights, resale rights, rights of first refusal and similar rights; upon issuance and delivery of the Warrants pursuant to the Subscription Agreements, the Warrants will constitute valid and legally binding obligations of the Company and the shares of Common Stock underlying the Warrants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if and when issued and delivered in accordance with the terms of the Warrants, will be duly and validly issued, fully paid and non-assessable and will not be issued in violation of statutory and contractual preemptive rights, resale rights, rights of first refusal and similar rights; the Securities, when issued and delivered against payment therefor as provided herein, will be free of any restriction upon the voting or transfer thereof pursuant to the Company’s charter or bylaws or any agreement or other instrument to which the Company is a party;</w:t>
      </w:r>
    </w:p>
    <w:p>
      <w:pPr>
        <w:spacing w:after="0" w:line="58" w:lineRule="exact"/>
        <w:rPr>
          <w:rFonts w:ascii="Arial" w:cs="Arial" w:eastAsia="Arial" w:hAnsi="Arial"/>
          <w:sz w:val="16"/>
          <w:szCs w:val="16"/>
          <w:color w:val="auto"/>
        </w:rPr>
      </w:pPr>
    </w:p>
    <w:p>
      <w:pPr>
        <w:ind w:left="-221" w:right="720" w:firstLine="221"/>
        <w:spacing w:after="0" w:line="277"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capital stock of the Company, including the Securities, conforms in all material respects to each description thereof, if any, contained or incorporated by reference in the Registration Statement, the Basic Prospectus, the Prospectus or any</w:t>
      </w:r>
    </w:p>
    <w:p>
      <w:pPr>
        <w:spacing w:after="0" w:line="143" w:lineRule="exact"/>
        <w:rPr>
          <w:rFonts w:ascii="Arial" w:cs="Arial" w:eastAsia="Arial" w:hAnsi="Arial"/>
          <w:sz w:val="18"/>
          <w:szCs w:val="18"/>
          <w:color w:val="auto"/>
        </w:rPr>
      </w:pPr>
    </w:p>
    <w:p>
      <w:pPr>
        <w:ind w:left="5199" w:hanging="96"/>
        <w:spacing w:after="0"/>
        <w:tabs>
          <w:tab w:leader="none" w:pos="5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59"/>
          </w:cols>
          <w:pgMar w:left="701" w:top="935" w:right="23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t>Permitted Free Writing Prospectus and the certificates for the Shares are in due and proper form;</w:t>
      </w:r>
    </w:p>
    <w:p>
      <w:pPr>
        <w:spacing w:after="0" w:line="117" w:lineRule="exact"/>
        <w:rPr>
          <w:sz w:val="20"/>
          <w:szCs w:val="20"/>
          <w:color w:val="auto"/>
        </w:rPr>
      </w:pPr>
    </w:p>
    <w:p>
      <w:pPr>
        <w:ind w:left="484" w:hanging="259"/>
        <w:spacing w:after="0"/>
        <w:tabs>
          <w:tab w:leader="none" w:pos="4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Agreement and each Subscription Agreement has been duly authorized, executed and delivered by the Company;</w:t>
      </w:r>
    </w:p>
    <w:p>
      <w:pPr>
        <w:spacing w:after="0" w:line="117" w:lineRule="exact"/>
        <w:rPr>
          <w:rFonts w:ascii="Arial" w:cs="Arial" w:eastAsia="Arial" w:hAnsi="Arial"/>
          <w:sz w:val="18"/>
          <w:szCs w:val="18"/>
          <w:color w:val="auto"/>
        </w:rPr>
      </w:pPr>
    </w:p>
    <w:p>
      <w:pPr>
        <w:ind w:left="4" w:right="60" w:firstLine="221"/>
        <w:spacing w:after="0" w:line="288" w:lineRule="auto"/>
        <w:tabs>
          <w:tab w:leader="none" w:pos="444" w:val="left"/>
        </w:tabs>
        <w:numPr>
          <w:ilvl w:val="1"/>
          <w:numId w:val="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 its charter or bylaws, or</w:t>
      </w:r>
    </w:p>
    <w:p>
      <w:pPr>
        <w:ind w:left="4" w:hanging="4"/>
        <w:spacing w:after="0" w:line="252" w:lineRule="auto"/>
        <w:tabs>
          <w:tab w:leader="none" w:pos="2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indenture, mortgage, deed of trust, bank loan or credit agreement or other evidence of indebtedness, or any license, lease, contract or other agreement or instrument to which it is a party or by which it or any of its properties may be bound or affected, or (C) any federal, state, local or foreign law, regulation or rule, or (D) any rule or regulation of any self-regulatory organization or other non-governmental regulatory authority (including, without limitation, the rules and regulations of the NASDAQ), or (E) any decree, judgment or order applicable to it or any of its properties, except, with respect to clauses (B), (C), (D) or (E), for such breaches, violations, defaults and events as would not, individually or in the aggregate, have a Material Adverse Effect;</w:t>
      </w:r>
    </w:p>
    <w:p>
      <w:pPr>
        <w:spacing w:after="0" w:line="86" w:lineRule="exact"/>
        <w:rPr>
          <w:rFonts w:ascii="Arial" w:cs="Arial" w:eastAsia="Arial" w:hAnsi="Arial"/>
          <w:sz w:val="18"/>
          <w:szCs w:val="18"/>
          <w:color w:val="auto"/>
        </w:rPr>
      </w:pPr>
    </w:p>
    <w:p>
      <w:pPr>
        <w:ind w:left="4" w:firstLine="221"/>
        <w:spacing w:after="0" w:line="269" w:lineRule="auto"/>
        <w:tabs>
          <w:tab w:leader="none" w:pos="534"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the issuance and sale of the Securities, the issuance of the Warrant Shares and the consummation of the transactions contemplated hereby will not conflict with, result in any breach or violation of or constitute a default under (nor constitute any event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of its Subsidiaries pursuant to) (A) the charter or bylaws of the Company or any of its Subsidiaries, or (B) any indenture, mortgage, deed of trust, bank loan or credit agreement or other evidence of indebtedness, or any license, lease, contract or other agreement or instrument to which the Company or any of its Subsidiaries is a party or by which any of them or any of their respective properties may be bound or affected, or (C) any federal, state, local or foreign law, regulation or rule, or (D) any rule or regulation of any self-regulatory organization or other non-governmental regulatory authority (including, without limitation, the rules and regulations of the NASDAQ), or (E) any decree, judgment or order applicable to the Company or any of its Subsidiaries or any of their respective properties, except, with respect to clause (B), for such conflicts, breaches, violations, defaults and events as would not, individually or in the aggregate, have a Material Adverse Effect;</w:t>
      </w:r>
    </w:p>
    <w:p>
      <w:pPr>
        <w:spacing w:after="0" w:line="71" w:lineRule="exact"/>
        <w:rPr>
          <w:rFonts w:ascii="Arial" w:cs="Arial" w:eastAsia="Arial" w:hAnsi="Arial"/>
          <w:sz w:val="17"/>
          <w:szCs w:val="17"/>
          <w:color w:val="auto"/>
        </w:rPr>
      </w:pPr>
    </w:p>
    <w:p>
      <w:pPr>
        <w:jc w:val="both"/>
        <w:ind w:left="4" w:firstLine="221"/>
        <w:spacing w:after="0" w:line="264" w:lineRule="auto"/>
        <w:tabs>
          <w:tab w:leader="none" w:pos="4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have been obtained or made, no approval, authorization, consent or order of or filing with any federal, state, local or foreign governmental or regulatory commission, board, body, authority or agency, or of or with any self-regulatory organization or other non-governmental regulatory authority, or approval of the</w:t>
      </w:r>
    </w:p>
    <w:p>
      <w:pPr>
        <w:spacing w:after="0" w:line="154" w:lineRule="exact"/>
        <w:rPr>
          <w:rFonts w:ascii="Arial" w:cs="Arial" w:eastAsia="Arial" w:hAnsi="Arial"/>
          <w:sz w:val="18"/>
          <w:szCs w:val="18"/>
          <w:color w:val="auto"/>
        </w:rPr>
      </w:pPr>
    </w:p>
    <w:p>
      <w:pPr>
        <w:ind w:left="5424" w:hanging="96"/>
        <w:spacing w:after="0"/>
        <w:tabs>
          <w:tab w:leader="none" w:pos="5424" w:val="left"/>
        </w:tabs>
        <w:numPr>
          <w:ilvl w:val="2"/>
          <w:numId w:val="11"/>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6" w:name="page17"/>
    <w:bookmarkEnd w:id="16"/>
    <w:p>
      <w:pPr>
        <w:ind w:right="80"/>
        <w:spacing w:after="0" w:line="255" w:lineRule="auto"/>
        <w:rPr>
          <w:sz w:val="20"/>
          <w:szCs w:val="20"/>
          <w:color w:val="auto"/>
        </w:rPr>
      </w:pPr>
      <w:r>
        <w:rPr>
          <w:rFonts w:ascii="Arial" w:cs="Arial" w:eastAsia="Arial" w:hAnsi="Arial"/>
          <w:sz w:val="18"/>
          <w:szCs w:val="18"/>
          <w:color w:val="auto"/>
        </w:rPr>
        <w:t>stockholders of the Company, is required in connection with the issuance and sale of the Securities, the issuance of the Warrant Shares or the consummation by the Company of the transactions contemplated hereby, other than (i) registration of the Securities and the Warrant Shares under the Act,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Securities or Warrant Shares are being offered, (iii) under the Conduct Rules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or (iv) any necessary qualification with or notice to NASDAQ, which shall be effected or made in a timely manner;</w:t>
      </w:r>
    </w:p>
    <w:p>
      <w:pPr>
        <w:spacing w:after="0" w:line="85" w:lineRule="exact"/>
        <w:rPr>
          <w:sz w:val="20"/>
          <w:szCs w:val="20"/>
          <w:color w:val="auto"/>
        </w:rPr>
      </w:pPr>
    </w:p>
    <w:p>
      <w:pPr>
        <w:ind w:right="20" w:firstLine="221"/>
        <w:spacing w:after="0" w:line="272"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Basic Prospectus and the Prospectus, (i) no person has the right, contractual or otherwise, to cause the Company to issue or sell to it any shares of Common Stock or shares of any other capital stock or other equity interests of the Company, (ii) no person has any preemptive rights, resale rights, rights of first refusal or other rights to purchase any shares of Common Stock or shares of any other capital stock of or other equity interests in the Company and (iii) no person has the right to act as an underwriter or placement agent or as a financial advisor to the Company in connection with the offer and sale of the Securities; no person has the right, contractual or otherwise, to cause the Company to register under the Act any shares of Common Stock or shares of any other capital stock of or other equity interests in the Company, or to include any such shares or interests in the Registration Statement or the offering contemplated thereby;</w:t>
      </w:r>
    </w:p>
    <w:p>
      <w:pPr>
        <w:spacing w:after="0" w:line="69" w:lineRule="exact"/>
        <w:rPr>
          <w:rFonts w:ascii="Arial" w:cs="Arial" w:eastAsia="Arial" w:hAnsi="Arial"/>
          <w:sz w:val="17"/>
          <w:szCs w:val="17"/>
          <w:color w:val="auto"/>
        </w:rPr>
      </w:pPr>
    </w:p>
    <w:p>
      <w:pPr>
        <w:ind w:firstLine="221"/>
        <w:spacing w:after="0" w:line="291"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the Company and the Subsidiaries have all necessary licenses, authorizations, consents and approvals and have made all necessary filings required under any applicable law, regulation or rule, and has obtained all necessary licenses, authorizations, consents and approvals from other persons, in order to conduct its business, except where the failure to have or obtain such licenses, authorizations, consents and approvals, or to make such filings, would not, individually or in the aggregate, have a Material Adverse Effect; neither the Company nor any of its Subsidiaries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of its Subsidiaries, except where such violation, default, revocation or modification would not, individually or in the aggregate, have a Material Adverse Effect;</w:t>
      </w:r>
    </w:p>
    <w:p>
      <w:pPr>
        <w:spacing w:after="0" w:line="59" w:lineRule="exact"/>
        <w:rPr>
          <w:rFonts w:ascii="Arial" w:cs="Arial" w:eastAsia="Arial" w:hAnsi="Arial"/>
          <w:sz w:val="16"/>
          <w:szCs w:val="16"/>
          <w:color w:val="auto"/>
        </w:rPr>
      </w:pPr>
    </w:p>
    <w:p>
      <w:pPr>
        <w:ind w:right="140" w:firstLine="221"/>
        <w:spacing w:after="0" w:line="257"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Basic Prospectus and the Prospectus, there are no actions, suits, claims, investigations or proceedings pending or, to the Company’s knowledge, threatened or contemplated to which the Company or any of its Subsidiaries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or before or by any self-regulatory organization or other non-governmental regulatory authority (including,</w:t>
      </w:r>
    </w:p>
    <w:p>
      <w:pPr>
        <w:spacing w:after="0" w:line="161" w:lineRule="exact"/>
        <w:rPr>
          <w:rFonts w:ascii="Arial" w:cs="Arial" w:eastAsia="Arial" w:hAnsi="Arial"/>
          <w:sz w:val="18"/>
          <w:szCs w:val="18"/>
          <w:color w:val="auto"/>
        </w:rPr>
      </w:pPr>
    </w:p>
    <w:p>
      <w:pPr>
        <w:ind w:left="5420" w:hanging="96"/>
        <w:spacing w:after="0"/>
        <w:tabs>
          <w:tab w:leader="none" w:pos="5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without limitation, the NASDAQ), except any such action, suit, claim, investigation or proceeding which, if resolved adversely to the Company or any of its Subsidiaries, would not, individually or in the aggregate, have a Material Adverse Effect;</w:t>
      </w:r>
    </w:p>
    <w:p>
      <w:pPr>
        <w:spacing w:after="0" w:line="62" w:lineRule="exact"/>
        <w:rPr>
          <w:sz w:val="20"/>
          <w:szCs w:val="20"/>
          <w:color w:val="auto"/>
        </w:rPr>
      </w:pPr>
    </w:p>
    <w:p>
      <w:pPr>
        <w:ind w:right="20" w:firstLine="221"/>
        <w:spacing w:after="0" w:line="264"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Thornton LLP, whose reports on the consolidated financial statements of the Company and the Subsidiaries are incorporated by reference in the Registration Statement, the Basic Prospectus and the Prospectus, is an independent registered public accountant as required by the Act and by the rules of the Public Company Accounting Oversight Board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221"/>
        <w:spacing w:after="0" w:line="28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Basic Prospectus, the Prospectus or any Permitted Free Writing Prospectus, together with the related notes and schedules, present fairly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Act and Exchange Act and in conformity with U.S. generally accepted accounting principles applied on a consistent basis during the periods involved; all pro forma financial statements, if any, and pro forma financial data included or incorporated by reference in the Registration Statement, the Basic Prospectus, the Prospectus or any Permitted Free Writing Prospectus comply with the requirements of the Act and the Exchange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and statistical data contained or incorporated by reference in the Registration Statement, the Basic Prospectus, the Prospectus or any Permitted Free Writing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the Basic Prospectus or the Prospectus that are not included or incorporated by reference as required; the Company and the Subsidiaries do not have any material liabilities or obligations, direct or contingent (including any off-balance sheet obligations), not described in the Registration Statement, the Basic Prospectus and the Prospectus; and all disclosures contained or incorporated by reference in the Registration Statement, the Basic Prospectus, the Prospectus or any Permitted Free Writing Prospectus regarding “non-GAAP financial measures” (as such term is defined by the rules and regulations of the Commission) comply with Regulation G of the Exchange Act and Item 10 of Regulation S-K under the Act, to the extent applicable;</w:t>
      </w:r>
    </w:p>
    <w:p>
      <w:pPr>
        <w:spacing w:after="0" w:line="67" w:lineRule="exact"/>
        <w:rPr>
          <w:rFonts w:ascii="Arial" w:cs="Arial" w:eastAsia="Arial" w:hAnsi="Arial"/>
          <w:sz w:val="16"/>
          <w:szCs w:val="16"/>
          <w:color w:val="auto"/>
        </w:rPr>
      </w:pPr>
    </w:p>
    <w:p>
      <w:pPr>
        <w:ind w:right="380" w:firstLine="221"/>
        <w:spacing w:after="0" w:line="286"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Registration Statement, the Basic Prospectus, the Prospectus and the Permitted Free Writing Prospectuses, if any, in each case excluding any amendments or supplements to the foregoing made after the execution of this Agreement, there has not been (i) any material adverse change, or any development involving a prospective material adverse</w:t>
      </w:r>
    </w:p>
    <w:p>
      <w:pPr>
        <w:spacing w:after="0" w:line="138" w:lineRule="exact"/>
        <w:rPr>
          <w:rFonts w:ascii="Arial" w:cs="Arial" w:eastAsia="Arial" w:hAnsi="Arial"/>
          <w:sz w:val="17"/>
          <w:szCs w:val="17"/>
          <w:color w:val="auto"/>
        </w:rPr>
      </w:pPr>
    </w:p>
    <w:p>
      <w:pPr>
        <w:ind w:left="5380" w:hanging="101"/>
        <w:spacing w:after="0"/>
        <w:tabs>
          <w:tab w:leader="none" w:pos="5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8" w:name="page19"/>
    <w:bookmarkEnd w:id="18"/>
    <w:p>
      <w:pPr>
        <w:ind w:right="40"/>
        <w:spacing w:after="0" w:line="270" w:lineRule="auto"/>
        <w:rPr>
          <w:sz w:val="20"/>
          <w:szCs w:val="20"/>
          <w:color w:val="auto"/>
        </w:rPr>
      </w:pPr>
      <w:r>
        <w:rPr>
          <w:rFonts w:ascii="Arial" w:cs="Arial" w:eastAsia="Arial" w:hAnsi="Arial"/>
          <w:sz w:val="17"/>
          <w:szCs w:val="17"/>
          <w:color w:val="auto"/>
        </w:rPr>
        <w:t>change, in the business, properties, management, financial condition or results of operations of the Company and its Subsidiaries taken as a whole,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change in the capital stock or outstanding indebtedness of the Company or the Subsidiaries (excluding, for purposes of this clause (iv), (A) any such changes due to the issuance of shares of Common Stock upon exercise of stock options and warrants disclosed as outstanding in the Registration Statement, the Basic Prospectus and the Prospectus or the grant of options under existing stock option plans described in the Registration Statement, the Basic Prospectus and the Prospectus, and (B) any incurrence of indebtedness made in the ordinary course of the Company’s business as contemplated by the Registration Statement, the Basic Prospectus and the Prospectus) or (v) any dividend or distribution of any kind declared, paid or made on the capital stock of the Company or the Subsidiaries;</w:t>
      </w:r>
    </w:p>
    <w:p>
      <w:pPr>
        <w:spacing w:after="0" w:line="74" w:lineRule="exact"/>
        <w:rPr>
          <w:sz w:val="20"/>
          <w:szCs w:val="20"/>
          <w:color w:val="auto"/>
        </w:rPr>
      </w:pPr>
    </w:p>
    <w:p>
      <w:pPr>
        <w:ind w:firstLine="221"/>
        <w:spacing w:after="0" w:line="257"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the Subsidiaries are, and at no time during which a prospectus is required by the Act to be delivered (whether physically or through compliance with Rule 172 under the Act or any similar rule) in connection with any sale of Securities will either of them be, and, after giving effect to the offering and sale of the Securities and the application of the proceeds thereof, neither of them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180" w:firstLine="221"/>
        <w:spacing w:after="0" w:line="255"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the Subsidiaries have good and marketable title to all property (real and personal) described in the Registration Statement, the Basic Prospectus, the Prospectus or any Permitted Free Writing Prospectus as being owned by any of them, free and clear of all liens, claims, security interests or other encumbrances, except to the extent such liens, claims, security interests or other encumbrances are disclosed in the Registration Statement, the Basic Prospectus and the Prospectus; all the property described in the Registration Statement, the Basic Prospectus, the Prospectus or any Permitted Free Writing Prospectus as being held under lease by the Company or the Subsidiaries is held thereby under valid, subsisting and enforceable leases;</w:t>
      </w:r>
    </w:p>
    <w:p>
      <w:pPr>
        <w:spacing w:after="0" w:line="85" w:lineRule="exact"/>
        <w:rPr>
          <w:rFonts w:ascii="Arial" w:cs="Arial" w:eastAsia="Arial" w:hAnsi="Arial"/>
          <w:sz w:val="18"/>
          <w:szCs w:val="18"/>
          <w:color w:val="auto"/>
        </w:rPr>
      </w:pPr>
    </w:p>
    <w:p>
      <w:pPr>
        <w:ind w:right="200" w:firstLine="221"/>
        <w:spacing w:after="0" w:line="255"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Basic Prospectus and the Prospectus, the Company and the Subsidiaries own, or have obtained valid and enforceable licenses for, or other rights to use, the inventions, patent applications, patents, trademarks (both registered and unregistered), tradenames, service names, copyrights, trade secrets and other proprietary information described in the Registration Statement, the Basic Prospectus, the Prospectus or any Permitted Free Writing Prospectus as being owned or licensed by them or which are necessary for the conduct of their respective businesses as currently conducted or as proposed (in the Registration Statement, the Basic Prospectus, the Prospectus or any Permitted Free Writing Prospectus) to be conducted (including the commercialization of products or services described in the Registration Statement, the Basic Prospectus, the Prospectus or any</w:t>
      </w:r>
    </w:p>
    <w:p>
      <w:pPr>
        <w:spacing w:after="0" w:line="162" w:lineRule="exact"/>
        <w:rPr>
          <w:rFonts w:ascii="Arial" w:cs="Arial" w:eastAsia="Arial" w:hAnsi="Arial"/>
          <w:sz w:val="18"/>
          <w:szCs w:val="18"/>
          <w:color w:val="auto"/>
        </w:rPr>
      </w:pPr>
    </w:p>
    <w:p>
      <w:pPr>
        <w:ind w:left="5380" w:hanging="98"/>
        <w:spacing w:after="0"/>
        <w:tabs>
          <w:tab w:leader="none" w:pos="5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9" w:name="page20"/>
    <w:bookmarkEnd w:id="19"/>
    <w:p>
      <w:pPr>
        <w:ind w:left="4"/>
        <w:spacing w:after="0" w:line="285" w:lineRule="auto"/>
        <w:rPr>
          <w:sz w:val="20"/>
          <w:szCs w:val="20"/>
          <w:color w:val="auto"/>
        </w:rPr>
      </w:pPr>
      <w:r>
        <w:rPr>
          <w:rFonts w:ascii="Arial" w:cs="Arial" w:eastAsia="Arial" w:hAnsi="Arial"/>
          <w:sz w:val="16"/>
          <w:szCs w:val="16"/>
          <w:color w:val="auto"/>
        </w:rPr>
        <w:t>Permitted Free Writing Prospectus as under development), except where the failure to own, license or have such rights would not, individually or in the aggregate, have a Material Adverse Effect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described in the Registration Statement, the Basic Prospectus and the Prospectus, (i) there are no third parties who have or, to the Company’s knowledge, will be able to establish rights to any Intellectual Property, except for, and to the extent of, the ownership rights of the owners of the Intellectual Property which the Registration Statement, the Basic Prospectus and the Prospectus disclose is licensed to the Company; (ii) to the Company’s knowledge, there is no infringement by third parties of any Intellectual Property;</w:t>
      </w:r>
    </w:p>
    <w:p>
      <w:pPr>
        <w:spacing w:after="0" w:line="2" w:lineRule="exact"/>
        <w:rPr>
          <w:sz w:val="20"/>
          <w:szCs w:val="20"/>
          <w:color w:val="auto"/>
        </w:rPr>
      </w:pPr>
    </w:p>
    <w:p>
      <w:pPr>
        <w:ind w:left="4" w:right="120" w:hanging="4"/>
        <w:spacing w:after="0" w:line="281" w:lineRule="auto"/>
        <w:tabs>
          <w:tab w:leader="none" w:pos="3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w:t>
      </w:r>
    </w:p>
    <w:p>
      <w:pPr>
        <w:spacing w:after="0" w:line="1" w:lineRule="exact"/>
        <w:rPr>
          <w:rFonts w:ascii="Arial" w:cs="Arial" w:eastAsia="Arial" w:hAnsi="Arial"/>
          <w:sz w:val="16"/>
          <w:szCs w:val="16"/>
          <w:color w:val="auto"/>
        </w:rPr>
      </w:pPr>
    </w:p>
    <w:p>
      <w:pPr>
        <w:ind w:left="4" w:right="20" w:hanging="4"/>
        <w:spacing w:after="0" w:line="284" w:lineRule="auto"/>
        <w:tabs>
          <w:tab w:leader="none" w:pos="3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action, suit, proceeding or claim by others challenging the validity, enforceability or scope of any Intellectual Property, and the Company is unaware of any facts which could form a reasonable basis for any such action, suit, proceeding or claim; (v) there is no pending or, to the Company’s knowledge, threatened action, suit, proceeding or claim by others that the Company or the Subsidiaries infringe or otherwise violate, or would, upon the commercialization of any product or service described in the Registration Statement, the Basic Prospectus, the Prospectus or any Permitted Free Writing Prospectus as under development, infringe or violate, any patent, trademark, tradename, service name, copyright, trade secret or other proprietary rights of others, and the Company is unaware of any facts which could form a reasonable basis for any such action, suit, proceeding or claim; (vi) the Company and the Subsidiaries have complied with the terms of each agreement pursuant to which Intellectual Property has been licensed to the Company or the Subsidiaries (except where the failure to so comply would not, individually or in the aggregate, have a Material Adverse Effect), and all such agreements are in full force and effect; (vii) to the Company’s knowledge, there is no patent or patent application that contains claims that interfere with the issued or pending claims of any of the Intellectual Property or that challenges the validity, enforceability or scope of any of the Intellectual Property; (viii) to the Company’s knowledge, there is no prior art that may render any patent application within the Intellectual Property unpatentable that has not been disclosed to the U.S. Patent and Trademark Office; and (ix) the manufacture, use or sale of the product candidates described in the Registration Statement, the Basic Prospectus, the Prospectus or any Permitted Free Writing Prospectus as under development by the Company or the Subsidiaries falls or would fall within the scope of one or more claims of one or more patents or patent applications owned by, or exclusively licensed to, the Company or the Subsidiaries;</w:t>
      </w:r>
    </w:p>
    <w:p>
      <w:pPr>
        <w:spacing w:after="0" w:line="69" w:lineRule="exact"/>
        <w:rPr>
          <w:rFonts w:ascii="Arial" w:cs="Arial" w:eastAsia="Arial" w:hAnsi="Arial"/>
          <w:sz w:val="16"/>
          <w:szCs w:val="16"/>
          <w:color w:val="auto"/>
        </w:rPr>
      </w:pPr>
    </w:p>
    <w:p>
      <w:pPr>
        <w:ind w:left="4" w:right="100" w:firstLine="221"/>
        <w:spacing w:after="0" w:line="302" w:lineRule="auto"/>
        <w:tabs>
          <w:tab w:leader="none" w:pos="484"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neither the Company nor the Subsidiaries are engaged in any unfair labor practice; except for matters which would not, individually or in the aggregate, have a Material Adverse Effect, (i) there is no (A) unfair labor practice complaint pending or, to the Company’s knowledge, threatened against the Company or the Subsidiaries before the National Labor Relations Board, and no grievance or arbitration proceeding arising out of or under collective bargaining agreements is pending or, to the Company’s knowledge, threatened, (B) strike, labor dispute, slowdown or stoppage pending or, to the</w:t>
      </w:r>
    </w:p>
    <w:p>
      <w:pPr>
        <w:spacing w:after="0" w:line="127" w:lineRule="exact"/>
        <w:rPr>
          <w:rFonts w:ascii="Arial" w:cs="Arial" w:eastAsia="Arial" w:hAnsi="Arial"/>
          <w:sz w:val="16"/>
          <w:szCs w:val="16"/>
          <w:color w:val="auto"/>
        </w:rPr>
      </w:pPr>
    </w:p>
    <w:p>
      <w:pPr>
        <w:ind w:left="5384" w:hanging="101"/>
        <w:spacing w:after="0"/>
        <w:tabs>
          <w:tab w:leader="none" w:pos="5384" w:val="left"/>
        </w:tabs>
        <w:numPr>
          <w:ilvl w:val="2"/>
          <w:numId w:val="1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20" w:name="page21"/>
    <w:bookmarkEnd w:id="20"/>
    <w:p>
      <w:pPr>
        <w:ind w:right="120"/>
        <w:spacing w:after="0" w:line="255" w:lineRule="auto"/>
        <w:rPr>
          <w:sz w:val="20"/>
          <w:szCs w:val="20"/>
          <w:color w:val="auto"/>
        </w:rPr>
      </w:pPr>
      <w:r>
        <w:rPr>
          <w:rFonts w:ascii="Arial" w:cs="Arial" w:eastAsia="Arial" w:hAnsi="Arial"/>
          <w:sz w:val="18"/>
          <w:szCs w:val="18"/>
          <w:color w:val="auto"/>
        </w:rPr>
        <w:t>Company’s knowledge, threatened against the Company or the Subsidiaries and (C) union representation dispute currently existing concerning the employees of the Company or the Subsidiaries, (ii) to the Company’s knowledge, no union organizing activities are currently taking place concerning the employees of the Company or the Subsidiaries and (iii) neither the Company nor the Subsidiaries have violated any federal, state, local or foreign law relating to discrimination in the hiring, promotion or pay of employees, any applicable wage or hour laws or any provision of the Employee Retirement Income Security Act of 1974 (“</w:t>
      </w:r>
      <w:r>
        <w:rPr>
          <w:rFonts w:ascii="Arial" w:cs="Arial" w:eastAsia="Arial" w:hAnsi="Arial"/>
          <w:sz w:val="18"/>
          <w:szCs w:val="18"/>
          <w:u w:val="single" w:color="auto"/>
          <w:color w:val="auto"/>
        </w:rPr>
        <w:t>ERISA</w:t>
      </w:r>
      <w:r>
        <w:rPr>
          <w:rFonts w:ascii="Arial" w:cs="Arial" w:eastAsia="Arial" w:hAnsi="Arial"/>
          <w:sz w:val="18"/>
          <w:szCs w:val="18"/>
          <w:color w:val="auto"/>
        </w:rPr>
        <w:t>”) or the rules and regulations promulgated thereunder concerning the employees of the Company or the Subsidiaries;</w:t>
      </w:r>
    </w:p>
    <w:p>
      <w:pPr>
        <w:spacing w:after="0" w:line="85" w:lineRule="exact"/>
        <w:rPr>
          <w:sz w:val="20"/>
          <w:szCs w:val="20"/>
          <w:color w:val="auto"/>
        </w:rPr>
      </w:pPr>
    </w:p>
    <w:p>
      <w:pPr>
        <w:ind w:firstLine="221"/>
        <w:spacing w:after="0" w:line="268"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and the Subsidiaries and their respective properties, assets and operations are in compliance with, and the Company and the Subsidiaries hold all permits, authorizations and approvals required under, Environmental Laws (as defined below), except to the extent that failure to so comply or to hold such permits, authorizations or approvals would not, individually or in the aggregate, have a Material Adverse Effect; there are no past, present or, to the Company’s knowledge, reasonably anticipated future events, conditions, circumstances, activities, practices, actions, omissions or plans that could reasonably be expected to give rise to any material costs or liabilities to the Company or the Subsidiaries under, or to interfere with or prevent compliance by the Company or the Subsidiaries with, Environmental Laws; except as would not, individually or in the aggregate, have a Material Adverse Effect, neither the Company nor the Subsidiaries (i) is the subject of any investigation, (ii) has received any notice or claim, (iii) is a party to or affected by any pending or, to the Company’s knowledge, threatened action, suit or proceeding, (iv) is bound by any judgment, decree or order or (v) has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any material (including, without limitation, pollutants, contaminants, hazardous or toxic substances or wastes) that is regulated by or may give rise to liability under any Environmental Law);</w:t>
      </w:r>
    </w:p>
    <w:p>
      <w:pPr>
        <w:spacing w:after="0" w:line="75" w:lineRule="exact"/>
        <w:rPr>
          <w:rFonts w:ascii="Arial" w:cs="Arial" w:eastAsia="Arial" w:hAnsi="Arial"/>
          <w:sz w:val="17"/>
          <w:szCs w:val="17"/>
          <w:color w:val="auto"/>
        </w:rPr>
      </w:pPr>
    </w:p>
    <w:p>
      <w:pPr>
        <w:ind w:right="560" w:firstLine="221"/>
        <w:spacing w:after="0" w:line="259" w:lineRule="auto"/>
        <w:tabs>
          <w:tab w:leader="none" w:pos="4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and the Subsidiaries periodically review the effect of the Environmental Laws on their respective businesses, operations and properties, in the course of which they identify and evaluate associated costs and liabilities (including, without limitation, any capital or operating expenditures required for cleanup, closure of properties or compliance with the Environmental Laws or any permit, license or approval, any related constraints on operating activities and any potential liabilities to third parties);</w:t>
      </w:r>
    </w:p>
    <w:p>
      <w:pPr>
        <w:spacing w:after="0" w:line="79" w:lineRule="exact"/>
        <w:rPr>
          <w:sz w:val="20"/>
          <w:szCs w:val="20"/>
          <w:color w:val="auto"/>
        </w:rPr>
      </w:pPr>
    </w:p>
    <w:p>
      <w:pPr>
        <w:ind w:left="540" w:hanging="319"/>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tax returns required to be filed by the Company or the Subsidiaries</w:t>
      </w:r>
    </w:p>
    <w:p>
      <w:pPr>
        <w:spacing w:after="0" w:line="209" w:lineRule="exact"/>
        <w:rPr>
          <w:rFonts w:ascii="Arial" w:cs="Arial" w:eastAsia="Arial" w:hAnsi="Arial"/>
          <w:sz w:val="17"/>
          <w:szCs w:val="17"/>
          <w:color w:val="auto"/>
        </w:rPr>
      </w:pPr>
    </w:p>
    <w:p>
      <w:pPr>
        <w:ind w:left="5380" w:hanging="101"/>
        <w:spacing w:after="0"/>
        <w:tabs>
          <w:tab w:leader="none" w:pos="5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1" w:name="page22"/>
    <w:bookmarkEnd w:id="21"/>
    <w:p>
      <w:pPr>
        <w:ind w:right="260"/>
        <w:spacing w:after="0" w:line="264" w:lineRule="auto"/>
        <w:rPr>
          <w:sz w:val="20"/>
          <w:szCs w:val="20"/>
          <w:color w:val="auto"/>
        </w:rPr>
      </w:pPr>
      <w:r>
        <w:rPr>
          <w:rFonts w:ascii="Arial" w:cs="Arial" w:eastAsia="Arial" w:hAnsi="Arial"/>
          <w:sz w:val="18"/>
          <w:szCs w:val="18"/>
          <w:color w:val="auto"/>
        </w:rPr>
        <w:t>have been timely filed or corrected,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w:t>
      </w:r>
    </w:p>
    <w:p>
      <w:pPr>
        <w:spacing w:after="0" w:line="73" w:lineRule="exact"/>
        <w:rPr>
          <w:sz w:val="20"/>
          <w:szCs w:val="20"/>
          <w:color w:val="auto"/>
        </w:rPr>
      </w:pPr>
    </w:p>
    <w:p>
      <w:pPr>
        <w:ind w:right="20" w:firstLine="221"/>
        <w:spacing w:after="0" w:line="257" w:lineRule="auto"/>
        <w:tabs>
          <w:tab w:leader="none" w:pos="5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the Subsidiaries maintain insurance covering their respective properties, operations, personnel and businesses as the Company reasonably deems adequate; such insurance insures against such losses and risks to an extent which is adequate in accordance with customary industry practice to protect the Company and the Subsidiaries and their respective businesses; all such insurance is fully in force on the date hereof and will be fully in force at the time of purchase; neither the Company nor the Subsidiaries have reason to believe that it will not be able to renew any such insurance as and when such insurance expires;</w:t>
      </w:r>
    </w:p>
    <w:p>
      <w:pPr>
        <w:spacing w:after="0" w:line="80" w:lineRule="exact"/>
        <w:rPr>
          <w:rFonts w:ascii="Arial" w:cs="Arial" w:eastAsia="Arial" w:hAnsi="Arial"/>
          <w:sz w:val="18"/>
          <w:szCs w:val="18"/>
          <w:color w:val="auto"/>
        </w:rPr>
      </w:pPr>
    </w:p>
    <w:p>
      <w:pPr>
        <w:ind w:right="360" w:firstLine="221"/>
        <w:spacing w:after="0" w:line="297" w:lineRule="auto"/>
        <w:tabs>
          <w:tab w:leader="none" w:pos="55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nor the Subsidiaries have sent or received any communication regarding termination of, or intent not to renew, any of the contracts or agreements referred to or described in the Basic Prospectus, the Prospectus or any Permitted Free Writing Prospectus, or referred to or described in, or filed as an exhibit to, the Registration Statement or any Incorporated Document, and no such termination or non-renewal has been threatened by the Company or the Subsidiaries or, to the Company’s knowledge, any other party to any such contract or agreement, except where the terminations or non-renewals of such contracts or agreements would not, individually or in the aggregate, have a Material Adverse Effect;</w:t>
      </w:r>
    </w:p>
    <w:p>
      <w:pPr>
        <w:spacing w:after="0" w:line="50" w:lineRule="exact"/>
        <w:rPr>
          <w:rFonts w:ascii="Arial" w:cs="Arial" w:eastAsia="Arial" w:hAnsi="Arial"/>
          <w:sz w:val="16"/>
          <w:szCs w:val="16"/>
          <w:color w:val="auto"/>
        </w:rPr>
      </w:pPr>
    </w:p>
    <w:p>
      <w:pPr>
        <w:ind w:firstLine="221"/>
        <w:spacing w:after="0" w:line="276" w:lineRule="auto"/>
        <w:tabs>
          <w:tab w:leader="none" w:pos="5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and the Subsidiaries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64" w:lineRule="exact"/>
        <w:rPr>
          <w:rFonts w:ascii="Arial" w:cs="Arial" w:eastAsia="Arial" w:hAnsi="Arial"/>
          <w:sz w:val="17"/>
          <w:szCs w:val="17"/>
          <w:color w:val="auto"/>
        </w:rPr>
      </w:pPr>
    </w:p>
    <w:p>
      <w:pPr>
        <w:ind w:right="40" w:firstLine="221"/>
        <w:spacing w:after="0" w:line="255" w:lineRule="auto"/>
        <w:tabs>
          <w:tab w:leader="none" w:pos="5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established and maintains and evaluates “disclosure controls and procedures” (as such term is defined in Rule 13a-15 and 15d-15 under the Exchange Act) and “internal control over financial reporting” (as such term is defined in Rule 13a-15 and 15d-15 under the Exchange Act); such disclosure controls and procedures are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the Company’s independent auditors and the Audit Committee of the Board of Directors of the Company have been advised of: (i) all significant deficiencies, if any, in the design or operation of internal controls which could adversely affect the</w:t>
      </w:r>
    </w:p>
    <w:p>
      <w:pPr>
        <w:spacing w:after="0" w:line="162" w:lineRule="exact"/>
        <w:rPr>
          <w:rFonts w:ascii="Arial" w:cs="Arial" w:eastAsia="Arial" w:hAnsi="Arial"/>
          <w:sz w:val="18"/>
          <w:szCs w:val="18"/>
          <w:color w:val="auto"/>
        </w:rPr>
      </w:pPr>
    </w:p>
    <w:p>
      <w:pPr>
        <w:ind w:left="5380" w:hanging="101"/>
        <w:spacing w:after="0"/>
        <w:tabs>
          <w:tab w:leader="none" w:pos="5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2" w:name="page23"/>
    <w:bookmarkEnd w:id="22"/>
    <w:p>
      <w:pPr>
        <w:ind w:right="60"/>
        <w:spacing w:after="0" w:line="287" w:lineRule="auto"/>
        <w:rPr>
          <w:sz w:val="20"/>
          <w:szCs w:val="20"/>
          <w:color w:val="auto"/>
        </w:rPr>
      </w:pPr>
      <w:r>
        <w:rPr>
          <w:rFonts w:ascii="Arial" w:cs="Arial" w:eastAsia="Arial" w:hAnsi="Arial"/>
          <w:sz w:val="16"/>
          <w:szCs w:val="16"/>
          <w:color w:val="auto"/>
        </w:rPr>
        <w:t>Company’s ability to record, process, summarize and report financial data; and (ii) all fraud, if any, whether or not material, that involves management or other employees who have a role in the Company’s internal controls; all material weaknesses, if any, in internal controls have been identified to the Company’s independent auditors;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the Company remediated the material weakness, significant deficiencies and ineffectiveness of internal controls over financial reporting disclosed in the Company’s Annual Report on Form 10-K filed with the Commission on March 15, 2005; all “significant deficiencies” and “material weaknesses” (as such terms are defined in PCAOB Auditing Standard No. 2) of the Company, if any, have been disclosed in the Registration Statement, the Basic Prospectus and the Prospectus; the principal executive officers (or their equivalents) and principal financial officers (or their equivalents) of the Company have made all certifications required by the Sarbanes-Oxley Act of 2002 (the “</w:t>
      </w:r>
      <w:r>
        <w:rPr>
          <w:rFonts w:ascii="Arial" w:cs="Arial" w:eastAsia="Arial" w:hAnsi="Arial"/>
          <w:sz w:val="16"/>
          <w:szCs w:val="16"/>
          <w:u w:val="single" w:color="auto"/>
          <w:color w:val="auto"/>
        </w:rPr>
        <w:t>Sarbanes-Oxley</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and any related rules and regulations promulgated by the Commission, and the statements contained in each such certification are complete and correct; the Company, the Subsidiaries and the Company’s directors and officers are each in compliance in all material respects with all applicable effective provisions of the Sarbanes-Oxley Act and the rules and regulations of the Commission and the NASDAQ promulgated thereunder;</w:t>
      </w:r>
    </w:p>
    <w:p>
      <w:pPr>
        <w:spacing w:after="0" w:line="61" w:lineRule="exact"/>
        <w:rPr>
          <w:sz w:val="20"/>
          <w:szCs w:val="20"/>
          <w:color w:val="auto"/>
        </w:rPr>
      </w:pPr>
    </w:p>
    <w:p>
      <w:pPr>
        <w:ind w:firstLine="221"/>
        <w:spacing w:after="0" w:line="264" w:lineRule="auto"/>
        <w:tabs>
          <w:tab w:leader="none" w:pos="5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statistical or market-related data included or incorporated by reference in the Registration Statement, the Basic Prospectus, the Prospectus or any Permitted Free Writing Prospectus are based on or derived from sources that the Company believes to be reliable and accurate, and the Company has obtained the written consent to the use of such data from such sources to the extent required;</w:t>
      </w:r>
    </w:p>
    <w:p>
      <w:pPr>
        <w:spacing w:after="0" w:line="73" w:lineRule="exact"/>
        <w:rPr>
          <w:rFonts w:ascii="Arial" w:cs="Arial" w:eastAsia="Arial" w:hAnsi="Arial"/>
          <w:sz w:val="18"/>
          <w:szCs w:val="18"/>
          <w:color w:val="auto"/>
        </w:rPr>
      </w:pPr>
    </w:p>
    <w:p>
      <w:pPr>
        <w:jc w:val="both"/>
        <w:ind w:right="80" w:firstLine="221"/>
        <w:spacing w:after="0" w:line="259" w:lineRule="auto"/>
        <w:tabs>
          <w:tab w:leader="none" w:pos="5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the Basic Prospectus or the Prospectus;</w:t>
      </w:r>
    </w:p>
    <w:p>
      <w:pPr>
        <w:spacing w:after="0" w:line="78" w:lineRule="exact"/>
        <w:rPr>
          <w:rFonts w:ascii="Arial" w:cs="Arial" w:eastAsia="Arial" w:hAnsi="Arial"/>
          <w:sz w:val="18"/>
          <w:szCs w:val="18"/>
          <w:color w:val="auto"/>
        </w:rPr>
      </w:pPr>
    </w:p>
    <w:p>
      <w:pPr>
        <w:jc w:val="both"/>
        <w:ind w:right="20" w:firstLine="221"/>
        <w:spacing w:after="0" w:line="312" w:lineRule="auto"/>
        <w:tabs>
          <w:tab w:leader="none" w:pos="5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Subsidiaries are not currently prohibited, directly or indirectly, from paying any dividends to the Company, from making any other distribution on the Subsidiaries’ capital stock, from repaying to the Company any loans or advances to the Subsidiaries from the Company or from transferring any of the Subsidiaries’ property or assets to the Company, except as described in the Registration Statement, the Basic Prospectus and the Prospectus;</w:t>
      </w:r>
    </w:p>
    <w:p>
      <w:pPr>
        <w:spacing w:after="0" w:line="38" w:lineRule="exact"/>
        <w:rPr>
          <w:rFonts w:ascii="Arial" w:cs="Arial" w:eastAsia="Arial" w:hAnsi="Arial"/>
          <w:sz w:val="16"/>
          <w:szCs w:val="16"/>
          <w:color w:val="auto"/>
        </w:rPr>
      </w:pPr>
    </w:p>
    <w:p>
      <w:pPr>
        <w:ind w:right="780" w:firstLine="221"/>
        <w:spacing w:after="0" w:line="308" w:lineRule="auto"/>
        <w:tabs>
          <w:tab w:leader="none" w:pos="4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preclinical tests and clinical trials that are described in, or the results of which are referred to in, the Registration Statement, the Basic Prospectus, the Prospectus or any Permitted Free Writing Prospectus were and, if begun and still pending, are being</w:t>
      </w:r>
    </w:p>
    <w:p>
      <w:pPr>
        <w:spacing w:after="0" w:line="119" w:lineRule="exact"/>
        <w:rPr>
          <w:rFonts w:ascii="Arial" w:cs="Arial" w:eastAsia="Arial" w:hAnsi="Arial"/>
          <w:sz w:val="17"/>
          <w:szCs w:val="17"/>
          <w:color w:val="auto"/>
        </w:rPr>
      </w:pPr>
    </w:p>
    <w:p>
      <w:pPr>
        <w:ind w:left="5380" w:hanging="101"/>
        <w:spacing w:after="0"/>
        <w:tabs>
          <w:tab w:leader="none" w:pos="5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23" w:name="page24"/>
    <w:bookmarkEnd w:id="23"/>
    <w:p>
      <w:pPr>
        <w:ind w:right="80"/>
        <w:spacing w:after="0" w:line="269" w:lineRule="auto"/>
        <w:rPr>
          <w:sz w:val="20"/>
          <w:szCs w:val="20"/>
          <w:color w:val="auto"/>
        </w:rPr>
      </w:pPr>
      <w:r>
        <w:rPr>
          <w:rFonts w:ascii="Arial" w:cs="Arial" w:eastAsia="Arial" w:hAnsi="Arial"/>
          <w:sz w:val="17"/>
          <w:szCs w:val="17"/>
          <w:color w:val="auto"/>
        </w:rPr>
        <w:t>conducted in all material respects in accordance with protocols, if any, filed with the appropriate regulatory authorities for each such test or trial, as the case may be, and with standard medical and scientific research procedures; the description of the results of such tests and trials contained in the Registration Statement, the Basic Prospectus, the Prospectus or any Permitted Free Writing Prospectus are accurate and complete in all material respects and fairly present the data derived from such tests and trials, and the Company and the Subsidiaries have no knowledge of any other studies or tests the results of which are inconsistent with, or otherwise call into question, the results described or referred to in the Registration Statement, the Basic Prospectus, the Prospectus or any Permitted Free Writing Prospectus; except as disclosed in the Registration Statement, the Basic Prospectus and the Prospectus, neither the Company nor the Subsidiaries have received any notices or other correspondence from the Food and Drug Administration of the U.S. Department of Health and Human Services or any committee thereof or from any other U.S. or foreign government or drug or medical device regulatory agency (the “</w:t>
      </w:r>
      <w:r>
        <w:rPr>
          <w:rFonts w:ascii="Arial" w:cs="Arial" w:eastAsia="Arial" w:hAnsi="Arial"/>
          <w:sz w:val="17"/>
          <w:szCs w:val="17"/>
          <w:u w:val="single" w:color="auto"/>
          <w:color w:val="auto"/>
        </w:rPr>
        <w:t>Regulatory Agencies</w:t>
      </w:r>
      <w:r>
        <w:rPr>
          <w:rFonts w:ascii="Arial" w:cs="Arial" w:eastAsia="Arial" w:hAnsi="Arial"/>
          <w:sz w:val="17"/>
          <w:szCs w:val="17"/>
          <w:color w:val="auto"/>
        </w:rPr>
        <w:t>”) prohibiting the commencement or requiring the termination, suspension or modification of any preclinical tests or clinical trials that are described or referred to in the Registration Statement, the Basic Prospectus, the Prospectus or any Permitted Free Writing Prospectus; and the Company and the Subsidiaries have all operated and currently are in compliance in all material respects with all applicable rules, regulations and policies of the Regulatory Agencies;</w:t>
      </w:r>
    </w:p>
    <w:p>
      <w:pPr>
        <w:spacing w:after="0" w:line="72" w:lineRule="exact"/>
        <w:rPr>
          <w:sz w:val="20"/>
          <w:szCs w:val="20"/>
          <w:color w:val="auto"/>
        </w:rPr>
      </w:pPr>
    </w:p>
    <w:p>
      <w:pPr>
        <w:ind w:right="440" w:firstLine="221"/>
        <w:spacing w:after="0" w:line="286" w:lineRule="auto"/>
        <w:tabs>
          <w:tab w:leader="none" w:pos="49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issuance and sale of the Securities and the Warrant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57" w:lineRule="exact"/>
        <w:rPr>
          <w:rFonts w:ascii="Arial" w:cs="Arial" w:eastAsia="Arial" w:hAnsi="Arial"/>
          <w:sz w:val="17"/>
          <w:szCs w:val="17"/>
          <w:color w:val="auto"/>
        </w:rPr>
      </w:pPr>
    </w:p>
    <w:p>
      <w:pPr>
        <w:ind w:left="560" w:hanging="339"/>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since September 30, 2007, the Company has not received any notice from the NASDAQ regarding the delisting of the Common Stock from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102" w:lineRule="exact"/>
        <w:rPr>
          <w:rFonts w:ascii="Arial" w:cs="Arial" w:eastAsia="Arial" w:hAnsi="Arial"/>
          <w:sz w:val="16"/>
          <w:szCs w:val="16"/>
          <w:color w:val="auto"/>
        </w:rPr>
      </w:pPr>
    </w:p>
    <w:p>
      <w:pPr>
        <w:ind w:right="440" w:firstLine="221"/>
        <w:spacing w:after="0" w:line="286" w:lineRule="auto"/>
        <w:tabs>
          <w:tab w:leader="none" w:pos="49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neither the Company nor the Subsidiaries nor, to the Company’s knowledge, any of their respective directors, officers, affiliates or controlling persons has taken, directly or indirectly, any action designed, or which has constituted or might reasonably be expected to cause or result in the stabilization or manipulation of the price of any security of the Company to facilitate the sale or resale of the Securities;</w:t>
      </w:r>
    </w:p>
    <w:p>
      <w:pPr>
        <w:spacing w:after="0" w:line="57" w:lineRule="exact"/>
        <w:rPr>
          <w:rFonts w:ascii="Arial" w:cs="Arial" w:eastAsia="Arial" w:hAnsi="Arial"/>
          <w:sz w:val="17"/>
          <w:szCs w:val="17"/>
          <w:color w:val="auto"/>
        </w:rPr>
      </w:pPr>
    </w:p>
    <w:p>
      <w:pPr>
        <w:ind w:firstLine="221"/>
        <w:spacing w:after="0" w:line="259" w:lineRule="auto"/>
        <w:tabs>
          <w:tab w:leader="none" w:pos="6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the Basic Prospectus and the Prospectus;</w:t>
      </w:r>
    </w:p>
    <w:p>
      <w:pPr>
        <w:spacing w:after="0" w:line="78" w:lineRule="exact"/>
        <w:rPr>
          <w:rFonts w:ascii="Arial" w:cs="Arial" w:eastAsia="Arial" w:hAnsi="Arial"/>
          <w:sz w:val="18"/>
          <w:szCs w:val="18"/>
          <w:color w:val="auto"/>
        </w:rPr>
      </w:pPr>
    </w:p>
    <w:p>
      <w:pPr>
        <w:ind w:right="520" w:firstLine="221"/>
        <w:spacing w:after="0" w:line="277" w:lineRule="auto"/>
        <w:tabs>
          <w:tab w:leader="none" w:pos="5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not offered, or caused any Placement Agent to offer, Securities to any person with the intent to influence unlawfully (A) a customer or supplier</w:t>
      </w:r>
    </w:p>
    <w:p>
      <w:pPr>
        <w:spacing w:after="0" w:line="143" w:lineRule="exact"/>
        <w:rPr>
          <w:rFonts w:ascii="Arial" w:cs="Arial" w:eastAsia="Arial" w:hAnsi="Arial"/>
          <w:sz w:val="18"/>
          <w:szCs w:val="18"/>
          <w:color w:val="auto"/>
        </w:rPr>
      </w:pPr>
    </w:p>
    <w:p>
      <w:pPr>
        <w:ind w:left="5380" w:hanging="101"/>
        <w:spacing w:after="0"/>
        <w:tabs>
          <w:tab w:leader="none" w:pos="5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24" w:name="page25"/>
    <w:bookmarkEnd w:id="24"/>
    <w:p>
      <w:pPr>
        <w:ind w:left="240" w:right="220"/>
        <w:spacing w:after="0" w:line="264" w:lineRule="auto"/>
        <w:rPr>
          <w:sz w:val="20"/>
          <w:szCs w:val="20"/>
          <w:color w:val="auto"/>
        </w:rPr>
      </w:pPr>
      <w:r>
        <w:rPr>
          <w:rFonts w:ascii="Arial" w:cs="Arial" w:eastAsia="Arial" w:hAnsi="Arial"/>
          <w:sz w:val="18"/>
          <w:szCs w:val="18"/>
          <w:color w:val="auto"/>
        </w:rPr>
        <w:t>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w:t>
      </w:r>
    </w:p>
    <w:p>
      <w:pPr>
        <w:spacing w:after="0" w:line="73" w:lineRule="exact"/>
        <w:rPr>
          <w:sz w:val="20"/>
          <w:szCs w:val="20"/>
          <w:color w:val="auto"/>
        </w:rPr>
      </w:pPr>
    </w:p>
    <w:p>
      <w:pPr>
        <w:ind w:left="240" w:right="140" w:firstLine="221"/>
        <w:spacing w:after="0" w:line="264" w:lineRule="auto"/>
        <w:tabs>
          <w:tab w:leader="none" w:pos="8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pursuant to this Agreement or as would not, individually or in the aggregate, have a Material Adverse Effect, neither the Company nor the Subsidiaries have incurred any liability for any finder’s or broker’s fee or agent’s commission in connection with the execution and delivery of this Agreement or the consummation of the transactions contemplated hereby or by the Registration Statement.</w:t>
      </w:r>
    </w:p>
    <w:p>
      <w:pPr>
        <w:spacing w:after="0" w:line="73"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In addition, any certificate signed by any officer of the Company or any of its Subsidiaries and delivered to the Placement Agent or counsel for the Placement Agent in connection with the offering of the Securities shall be deemed to be a representation and warranty by the Company, as to matters covered thereby, to the Placement Agent.</w:t>
      </w:r>
    </w:p>
    <w:p>
      <w:pPr>
        <w:spacing w:after="0" w:line="73" w:lineRule="exact"/>
        <w:rPr>
          <w:sz w:val="20"/>
          <w:szCs w:val="20"/>
          <w:color w:val="auto"/>
        </w:rPr>
      </w:pPr>
    </w:p>
    <w:p>
      <w:pPr>
        <w:ind w:left="420" w:hanging="187"/>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w:t>
      </w:r>
      <w:r>
        <w:rPr>
          <w:rFonts w:ascii="Arial" w:cs="Arial" w:eastAsia="Arial" w:hAnsi="Arial"/>
          <w:sz w:val="18"/>
          <w:szCs w:val="18"/>
          <w:color w:val="auto"/>
        </w:rPr>
        <w:t>. The Company hereby agrees:</w:t>
      </w:r>
    </w:p>
    <w:p>
      <w:pPr>
        <w:spacing w:after="0" w:line="117" w:lineRule="exact"/>
        <w:rPr>
          <w:rFonts w:ascii="Arial" w:cs="Arial" w:eastAsia="Arial" w:hAnsi="Arial"/>
          <w:sz w:val="18"/>
          <w:szCs w:val="18"/>
          <w:color w:val="auto"/>
        </w:rPr>
      </w:pPr>
    </w:p>
    <w:p>
      <w:pPr>
        <w:ind w:left="240" w:firstLine="221"/>
        <w:spacing w:after="0" w:line="255" w:lineRule="auto"/>
        <w:tabs>
          <w:tab w:leader="none" w:pos="7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to furnish such information as may be required and otherwise to cooperate in qualifying the Securities and the Warrants Shares for offering and sale under the securities or blue sky laws of such states or other jurisdictions as you may designate and to maintain such qualifications in effect so long as you may request for the distribution of the Securities and the Warrant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as a foreign corporation or to consent to the service of process under the laws of any such jurisdiction (except service of process with respect to the offering and sale of the Securities and the Warrant Shares); and to promptly advise you of the receipt by the Company of any notification with respect to the suspension of the qualification of the Securities and the Warrant Shares for offer or sale in any jurisdiction or the initiation or threatening of any proceeding for such purpose;</w:t>
      </w:r>
    </w:p>
    <w:p>
      <w:pPr>
        <w:spacing w:after="0" w:line="81" w:lineRule="exact"/>
        <w:rPr>
          <w:rFonts w:ascii="Arial" w:cs="Arial" w:eastAsia="Arial" w:hAnsi="Arial"/>
          <w:sz w:val="18"/>
          <w:szCs w:val="18"/>
          <w:color w:val="auto"/>
        </w:rPr>
      </w:pPr>
    </w:p>
    <w:p>
      <w:pPr>
        <w:ind w:left="240" w:firstLine="221"/>
        <w:spacing w:after="0" w:line="271" w:lineRule="auto"/>
        <w:tabs>
          <w:tab w:leader="none" w:pos="7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to make available to the Placement Agent, as soon as practicable after this Agreement becomes effective, and thereafter from time to time to furnish to the Placement Agent, as many copies of the Prospectus (or of the Prospectus as amended or supplemented if the Company shall have made any amendments or supplements thereto after the effective date of the Registration Statement) as the Placement Agent may reasonably request; in case delivery (whether physically or through compliance with Rule 172 under the Act or any similar rule) of a prospectus in connection with the sale of the Securities and the Warrant Shares is required after the nine-month period referred to in Section 10(a)(3) of the Act, and after the time a post-effective amendment to the Registration Statement is required pursuant to Item 512(a) of Regulation S-K under the Act, the Company will promptly prepare, at its expense, such amendment or amendments to the Registration Statement and the Prospectus as may be necessary to permit compliance with the requirements of Section 10(a)(3) of the Act or Item 512(a) of Regulation S-K under the Act, as the case may be;</w:t>
      </w:r>
    </w:p>
    <w:p>
      <w:pPr>
        <w:spacing w:after="0" w:line="70" w:lineRule="exact"/>
        <w:rPr>
          <w:rFonts w:ascii="Arial" w:cs="Arial" w:eastAsia="Arial" w:hAnsi="Arial"/>
          <w:sz w:val="17"/>
          <w:szCs w:val="17"/>
          <w:color w:val="auto"/>
        </w:rPr>
      </w:pPr>
    </w:p>
    <w:p>
      <w:pPr>
        <w:ind w:left="700" w:hanging="239"/>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at the time this Agreement is executed and delivered, it is necessary for</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left="4" w:right="160"/>
        <w:spacing w:after="0" w:line="286" w:lineRule="auto"/>
        <w:rPr>
          <w:sz w:val="20"/>
          <w:szCs w:val="20"/>
          <w:color w:val="auto"/>
        </w:rPr>
      </w:pPr>
      <w:r>
        <w:rPr>
          <w:rFonts w:ascii="Arial" w:cs="Arial" w:eastAsia="Arial" w:hAnsi="Arial"/>
          <w:sz w:val="16"/>
          <w:szCs w:val="16"/>
          <w:color w:val="auto"/>
        </w:rPr>
        <w:t>a post-effective amendment to the Registration Statement, or a Registration Statement under Rule 462(b) under the Act, to be filed with the Commission and become effective before the Securities and the Warrant Shares may be sold, the Company will use its best efforts to cause such post-effective amendment or such Registration Statement to be filed and become effective as soon as possible, and the Company will advise you promptly and, if requested by you, will confirm such advice in writing, (i) when such post-effective amendment or such Registration Statement has become effective, and</w:t>
      </w:r>
    </w:p>
    <w:p>
      <w:pPr>
        <w:spacing w:after="0" w:line="2" w:lineRule="exact"/>
        <w:rPr>
          <w:sz w:val="20"/>
          <w:szCs w:val="20"/>
          <w:color w:val="auto"/>
        </w:rPr>
      </w:pPr>
    </w:p>
    <w:p>
      <w:pPr>
        <w:ind w:left="4" w:right="360" w:hanging="4"/>
        <w:spacing w:after="0" w:line="261" w:lineRule="auto"/>
        <w:tabs>
          <w:tab w:leader="none" w:pos="2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Rule 430A under the Act is used, when the Prospectus is filed with the Commission pursuant to Rule 424(b) under the Act (which the Company agrees to file in a timely manner in accordance with such Rules);</w:t>
      </w:r>
    </w:p>
    <w:p>
      <w:pPr>
        <w:spacing w:after="0" w:line="75" w:lineRule="exact"/>
        <w:rPr>
          <w:rFonts w:ascii="Arial" w:cs="Arial" w:eastAsia="Arial" w:hAnsi="Arial"/>
          <w:sz w:val="18"/>
          <w:szCs w:val="18"/>
          <w:color w:val="auto"/>
        </w:rPr>
      </w:pPr>
    </w:p>
    <w:p>
      <w:pPr>
        <w:jc w:val="both"/>
        <w:ind w:left="4" w:right="100" w:firstLine="221"/>
        <w:spacing w:after="0" w:line="288" w:lineRule="auto"/>
        <w:tabs>
          <w:tab w:leader="none" w:pos="484"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at any time during the period when a prospectus is required by the Act to be delivered (whether physically or through compliance with Rule 172 under the Act or any similar rule) in connection with any sale of Securities and the Warrant Shares, the Registration Statement shall cease to comply with the requirements of the Act with respect to eligibility for the use of the form on which the Registration Statement was filed with the Commission, to</w:t>
      </w:r>
    </w:p>
    <w:p>
      <w:pPr>
        <w:ind w:left="4" w:right="60" w:hanging="4"/>
        <w:spacing w:after="0" w:line="290" w:lineRule="auto"/>
        <w:tabs>
          <w:tab w:leader="none" w:pos="2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promptly notify you, (ii) promptly file with the Commission a new registration statement under the Act, relating to the Securities and the Warrant Shares, or a post-effective amendment to the Registration Statement, which new registration statement or post-effective amendment shall comply with the requirements of the Act and shall be in a form satisfactory to you, (iii) use its best efforts to cause such new registration statement or post-effective amendment to become effective under the Act as soon as practicable, (iv) promptly notify you of such effectiveness and (v) take all other action necessary or appropriate to permit the offering and sale of the Securities and the Warrant Shares to continue as contemplated in the Prospectus; all references herein to the Registration Statement shall be deemed to include each such new registration statement or post-effective amendment, if any;</w:t>
      </w:r>
    </w:p>
    <w:p>
      <w:pPr>
        <w:spacing w:after="0" w:line="56" w:lineRule="exact"/>
        <w:rPr>
          <w:rFonts w:ascii="Arial" w:cs="Arial" w:eastAsia="Arial" w:hAnsi="Arial"/>
          <w:sz w:val="16"/>
          <w:szCs w:val="16"/>
          <w:color w:val="auto"/>
        </w:rPr>
      </w:pPr>
    </w:p>
    <w:p>
      <w:pPr>
        <w:ind w:left="4" w:firstLine="221"/>
        <w:spacing w:after="0" w:line="271" w:lineRule="auto"/>
        <w:tabs>
          <w:tab w:leader="none" w:pos="474"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the period during which a prospectus is required by the Act to be delivered (whether physically or through compliance with Rule 172 under the Act or any similar rule) in connection with any sale of Securities and the Warrant Shares shall extend to or beyond July 18, 2011, to (i) file with the Commission, prior to July 18, 2011, a new registration statement under the Act relating to the Securities and the Warrant Shares, which new registration statement shall comply with the requirements of the Act (including, without limitation, Rule 415(a)(6) under the Act) and shall be in a form satisfactory to you; and (ii) use its best efforts to cause such new registration statement to become effective under the Act as soon as practicable, but in any event within 180 days after July 18, 2011 and promptly notify you of such effectiveness; the Company shall take all other action necessary or appropriate to permit the offering and sale of the Securities and the Warrant Shares to continue as contemplated in the Prospectus; all references herein to the Registration Statement shall be deemed to include each such new registration statement, if any;</w:t>
      </w:r>
    </w:p>
    <w:p>
      <w:pPr>
        <w:spacing w:after="0" w:line="70" w:lineRule="exact"/>
        <w:rPr>
          <w:rFonts w:ascii="Arial" w:cs="Arial" w:eastAsia="Arial" w:hAnsi="Arial"/>
          <w:sz w:val="17"/>
          <w:szCs w:val="17"/>
          <w:color w:val="auto"/>
        </w:rPr>
      </w:pPr>
    </w:p>
    <w:p>
      <w:pPr>
        <w:ind w:left="4" w:right="260" w:firstLine="221"/>
        <w:spacing w:after="0" w:line="277" w:lineRule="auto"/>
        <w:tabs>
          <w:tab w:leader="none" w:pos="4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advise you promptly, confirming such advice in writing, of any request by the Commission for amendments or supplements to the Registration Statement, the Basic Prospectus, the Prospectus or any Permitted Free Writing Prospectus, or for</w:t>
      </w:r>
    </w:p>
    <w:p>
      <w:pPr>
        <w:spacing w:after="0" w:line="143" w:lineRule="exact"/>
        <w:rPr>
          <w:rFonts w:ascii="Arial" w:cs="Arial" w:eastAsia="Arial" w:hAnsi="Arial"/>
          <w:sz w:val="18"/>
          <w:szCs w:val="18"/>
          <w:color w:val="auto"/>
        </w:rPr>
      </w:pPr>
    </w:p>
    <w:p>
      <w:pPr>
        <w:ind w:left="5384" w:hanging="101"/>
        <w:spacing w:after="0"/>
        <w:tabs>
          <w:tab w:leader="none" w:pos="5384" w:val="left"/>
        </w:tabs>
        <w:numPr>
          <w:ilvl w:val="2"/>
          <w:numId w:val="24"/>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6" w:name="page27"/>
    <w:bookmarkEnd w:id="26"/>
    <w:p>
      <w:pPr>
        <w:ind w:right="80"/>
        <w:spacing w:after="0" w:line="297" w:lineRule="auto"/>
        <w:rPr>
          <w:sz w:val="20"/>
          <w:szCs w:val="20"/>
          <w:color w:val="auto"/>
        </w:rPr>
      </w:pPr>
      <w:r>
        <w:rPr>
          <w:rFonts w:ascii="Arial" w:cs="Arial" w:eastAsia="Arial" w:hAnsi="Arial"/>
          <w:sz w:val="16"/>
          <w:szCs w:val="16"/>
          <w:color w:val="auto"/>
        </w:rPr>
        <w:t>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Basic Prospectus or the Prospectus, and to provide you and Placement Agent’s counsel copies of any such documents for review and comment a reasonable amount of time prior to any proposed filing and to file no such amendment or supplement to which you shall object in writing;</w:t>
      </w:r>
    </w:p>
    <w:p>
      <w:pPr>
        <w:spacing w:after="0" w:line="50" w:lineRule="exact"/>
        <w:rPr>
          <w:sz w:val="20"/>
          <w:szCs w:val="20"/>
          <w:color w:val="auto"/>
        </w:rPr>
      </w:pPr>
    </w:p>
    <w:p>
      <w:pPr>
        <w:ind w:firstLine="221"/>
        <w:spacing w:after="0" w:line="293"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subject to Section 4(f)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sale of Securities and the Warrant Shares; and to provide you, for your review and comment, with a copy of such reports and statements and other documents to be filed by the Company pursuant to Section 13, 14 or 15(d) of the Exchange Act during such period a reasonable amount of time prior to any proposed filing, and to file no such report, statement or document to which you shall have objected in writing; and to promptly notify you of such filing;</w:t>
      </w:r>
    </w:p>
    <w:p>
      <w:pPr>
        <w:spacing w:after="0" w:line="56" w:lineRule="exact"/>
        <w:rPr>
          <w:rFonts w:ascii="Arial" w:cs="Arial" w:eastAsia="Arial" w:hAnsi="Arial"/>
          <w:sz w:val="16"/>
          <w:szCs w:val="16"/>
          <w:color w:val="auto"/>
        </w:rPr>
      </w:pPr>
    </w:p>
    <w:p>
      <w:pPr>
        <w:ind w:right="20" w:firstLine="221"/>
        <w:spacing w:after="0" w:line="271"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advise the Placement Agent promptly of the happening of any event within the period during which a prospectus is required by the Act to be delivered (whether physically or through compliance with Rule 172 under the Act or any similar rule) in connection with any sale of Securities and the Warrant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Placement Agent promptly if, during such period, it shall become necessary to amend or supplement the Prospectus to cause the Prospectus to comply with the requirements of the Act, and, in each case, during such time, subject to Section 4(f) hereof, to prepare and furnish, at the Company’s expense, to the Placement Agent promptly such amendments or supplements to such Prospectus as may be necessary to reflect any such change or to effect such compliance;</w:t>
      </w:r>
    </w:p>
    <w:p>
      <w:pPr>
        <w:spacing w:after="0" w:line="70" w:lineRule="exact"/>
        <w:rPr>
          <w:rFonts w:ascii="Arial" w:cs="Arial" w:eastAsia="Arial" w:hAnsi="Arial"/>
          <w:sz w:val="17"/>
          <w:szCs w:val="17"/>
          <w:color w:val="auto"/>
        </w:rPr>
      </w:pPr>
    </w:p>
    <w:p>
      <w:pPr>
        <w:ind w:right="20" w:firstLine="221"/>
        <w:spacing w:after="0" w:line="312"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make generally available to its security holders, and to deliver to you,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such twelve-month period but in any case not later than March 15, 2011;</w:t>
      </w:r>
    </w:p>
    <w:p>
      <w:pPr>
        <w:spacing w:after="0" w:line="38" w:lineRule="exact"/>
        <w:rPr>
          <w:rFonts w:ascii="Arial" w:cs="Arial" w:eastAsia="Arial" w:hAnsi="Arial"/>
          <w:sz w:val="16"/>
          <w:szCs w:val="16"/>
          <w:color w:val="auto"/>
        </w:rPr>
      </w:pPr>
    </w:p>
    <w:p>
      <w:pPr>
        <w:ind w:right="420" w:firstLine="221"/>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furnish to you two copies of the Registration Statement, as initially filed with the Commission, and of all amendments thereto (including all exhibits thereto and documents incorporated by reference therein);</w:t>
      </w:r>
    </w:p>
    <w:p>
      <w:pPr>
        <w:spacing w:after="0" w:line="143" w:lineRule="exact"/>
        <w:rPr>
          <w:rFonts w:ascii="Arial" w:cs="Arial" w:eastAsia="Arial" w:hAnsi="Arial"/>
          <w:sz w:val="18"/>
          <w:szCs w:val="18"/>
          <w:color w:val="auto"/>
        </w:rPr>
      </w:pPr>
    </w:p>
    <w:p>
      <w:pPr>
        <w:ind w:left="5380" w:hanging="101"/>
        <w:spacing w:after="0"/>
        <w:tabs>
          <w:tab w:leader="none" w:pos="5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80" w:top="935" w:right="319" w:bottom="1440" w:gutter="0" w:footer="0" w:header="0"/>
        </w:sectPr>
      </w:pPr>
    </w:p>
    <w:bookmarkStart w:id="27" w:name="page28"/>
    <w:bookmarkEnd w:id="27"/>
    <w:p>
      <w:pPr>
        <w:ind w:left="259" w:hanging="259"/>
        <w:spacing w:after="0"/>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21" w:right="180" w:firstLine="221"/>
        <w:spacing w:after="0" w:line="277"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apply the net proceeds from the sale of the Securities in the manner set forth under the caption “Use of proceeds” in the Basic Prospectus and in the Prospectus Supplement;</w:t>
      </w:r>
    </w:p>
    <w:p>
      <w:pPr>
        <w:spacing w:after="0" w:line="62" w:lineRule="exact"/>
        <w:rPr>
          <w:rFonts w:ascii="Arial" w:cs="Arial" w:eastAsia="Arial" w:hAnsi="Arial"/>
          <w:sz w:val="18"/>
          <w:szCs w:val="18"/>
          <w:color w:val="auto"/>
        </w:rPr>
      </w:pPr>
    </w:p>
    <w:p>
      <w:pPr>
        <w:ind w:left="-221" w:firstLine="221"/>
        <w:spacing w:after="0" w:line="285" w:lineRule="auto"/>
        <w:tabs>
          <w:tab w:leader="none" w:pos="3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pay all costs, expenses, fees and taxes in connection with (i) the preparation and filing of the Registration Statement, the Basic Prospectus, the Prospectus Supplement, the Prospectus, the Permitted Free Writing Prospectuses and any amendments or supplements thereto, and the printing and furnishing of copies of each thereof to the Placement Agent and to dealers (including costs of mailing and shipment), (ii) the registration, issue, sale and delivery of the Securities and the Warrant Shares including any stock or transfer taxes and stamp or similar duties payable upon the sale, issuance or delivery of the Securities and the Warrant Shares to the Placement Agent, (iii) the producing, word processing and/or printing of this Agreement and any closing documents (including compilations thereof) and the reproduction and/or printing and furnishing of copies of each thereof to the Placement Agent and (except closing documents) to dealers (including costs of mailing and shipment), (iv) the qualification of the Securities and the Warrant Shares for offering and sale under state or foreign laws and the determination of their eligibility for investment under state or foreign law (including the legal fees and filing fees and other disbursements of counsel for the Placement Agent) and the printing and furnishing of copies of any blue sky surveys or legal investment surveys to the Placement Agent and to dealers, (v) any listing of the Shares on any securities exchange or qualification of the Shares for quotation on the NASDAQ and any registration thereof under the Exchange Act, (vi) any filing for review of the offering of the Securities and the Warrant Shares by FINRA, including the legal fees and filing fees and other disbursements of counsel to the Placement Agent relating to FINRA matters, (vii) the fees and disbursements of any transfer agent or registrar for the Securities and the Warrant Shares, (viii) the costs and expenses of the Company relating to presentations or meetings undertaken in connection with the marketing of the offering and sale of the Securities to prospective investors and the Placement Agent’s sales forces, including, without limitation, expenses associated with the production of road show slides and graphics, fees and expenses of any consultants engaged in connection with the road show presentations, travel, lodging and other expenses incurred by the officers of the Company and any such consultants, and the cost of any aircraft chartered by the Company in connection with the road show, and (ix) the performance of the Company’s other obligations hereunder;</w:t>
      </w:r>
    </w:p>
    <w:p>
      <w:pPr>
        <w:spacing w:after="0" w:line="283" w:lineRule="exact"/>
        <w:rPr>
          <w:rFonts w:ascii="Arial" w:cs="Arial" w:eastAsia="Arial" w:hAnsi="Arial"/>
          <w:sz w:val="16"/>
          <w:szCs w:val="16"/>
          <w:color w:val="auto"/>
        </w:rPr>
      </w:pPr>
    </w:p>
    <w:p>
      <w:pPr>
        <w:ind w:left="259" w:hanging="259"/>
        <w:spacing w:after="0"/>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Rule 433(d) under the Act (without reliance on Rule 164(b) under the Act) and with Rule 433(g) under the Act;</w:t>
      </w:r>
    </w:p>
    <w:p>
      <w:pPr>
        <w:spacing w:after="0" w:line="117" w:lineRule="exact"/>
        <w:rPr>
          <w:rFonts w:ascii="Arial" w:cs="Arial" w:eastAsia="Arial" w:hAnsi="Arial"/>
          <w:sz w:val="18"/>
          <w:szCs w:val="18"/>
          <w:color w:val="auto"/>
        </w:rPr>
      </w:pPr>
    </w:p>
    <w:p>
      <w:pPr>
        <w:jc w:val="both"/>
        <w:ind w:left="-221" w:right="40" w:firstLine="221"/>
        <w:spacing w:after="0" w:line="264"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beginning on the date hereof and ending on, and including, the date that is 30 business days after the date of the Prospectus Supplement (the “</w:t>
      </w:r>
      <w:r>
        <w:rPr>
          <w:rFonts w:ascii="Arial" w:cs="Arial" w:eastAsia="Arial" w:hAnsi="Arial"/>
          <w:sz w:val="18"/>
          <w:szCs w:val="18"/>
          <w:u w:val="single" w:color="auto"/>
          <w:color w:val="auto"/>
        </w:rPr>
        <w:t>Lock-Up Period</w:t>
      </w:r>
      <w:r>
        <w:rPr>
          <w:rFonts w:ascii="Arial" w:cs="Arial" w:eastAsia="Arial" w:hAnsi="Arial"/>
          <w:sz w:val="18"/>
          <w:szCs w:val="18"/>
          <w:color w:val="auto"/>
        </w:rPr>
        <w:t>”), without the prior written consent of Chardan, not to (i) issue, sell, offer to sell, contract or agree to sell, hypothecate, pledge, grant any option to purchase or otherwise dispose of or</w:t>
      </w:r>
    </w:p>
    <w:p>
      <w:pPr>
        <w:spacing w:after="0" w:line="154" w:lineRule="exact"/>
        <w:rPr>
          <w:rFonts w:ascii="Arial" w:cs="Arial" w:eastAsia="Arial" w:hAnsi="Arial"/>
          <w:sz w:val="18"/>
          <w:szCs w:val="18"/>
          <w:color w:val="auto"/>
        </w:rPr>
      </w:pPr>
    </w:p>
    <w:p>
      <w:pPr>
        <w:ind w:left="5159" w:hanging="101"/>
        <w:spacing w:after="0"/>
        <w:tabs>
          <w:tab w:leader="none" w:pos="5159" w:val="left"/>
        </w:tabs>
        <w:numPr>
          <w:ilvl w:val="1"/>
          <w:numId w:val="26"/>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39"/>
          </w:cols>
          <w:pgMar w:left="701" w:top="935" w:right="259" w:bottom="1440" w:gutter="0" w:footer="0" w:header="0"/>
        </w:sectPr>
      </w:pPr>
    </w:p>
    <w:bookmarkStart w:id="28" w:name="page29"/>
    <w:bookmarkEnd w:id="28"/>
    <w:p>
      <w:pPr>
        <w:spacing w:after="0" w:line="284" w:lineRule="auto"/>
        <w:rPr>
          <w:sz w:val="20"/>
          <w:szCs w:val="20"/>
          <w:color w:val="auto"/>
        </w:rPr>
      </w:pPr>
      <w:r>
        <w:rPr>
          <w:rFonts w:ascii="Arial" w:cs="Arial" w:eastAsia="Arial" w:hAnsi="Arial"/>
          <w:sz w:val="16"/>
          <w:szCs w:val="16"/>
          <w:color w:val="auto"/>
        </w:rPr>
        <w:t>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other securities of the Company that are substantially similar to Common Stock, or any securities convertible into or exchangeable or exercisable for, or any warrants or other rights to purchase, the foregoing, (ii) file or cause to become effective a registration statement under the Act relating to the offer and sale of any Common Stock or any other securities of the Company that are substantially similar to Common Stock, or any securities convertible into or exchangeable or exercisable for, or any warrants or other rights to purchase, the foregoing, (iii) enter into any swap or other arrangement that transfers to another, in whole or in part, any of the economic consequences of ownership of Common Stock or any other securities of the Company that are substantially similar to Common Stock, or any securities convertible into or exchangeable or exercisable for, or any warrants or other rights to purchase, the foregoing, whether any such transaction is to be settled by delivery of Common Stock or such other securities, in cash or otherwise or (iv) publicly announce an intention to effect any transaction specified in clause (i), (ii) or (iii), except, in each case, for (A) the registration of the offer and sale of the Securities and Warrant Shares as contemplated by this Agreement, (B) issuances of Common Stock upon the exercise of options or warrants disclosed as outstanding in the Registration Statement, the Basic Prospectus and the Prospectus, (C) the issuance of employee stock options not exercisable during the Lock-Up Period pursuant to stock option plans described in the Registration Statement, the Basic Prospectus and the Prospectus, (D) the issuance, other than pursuant to stock option plans described in the Registration Statement, the Basic Prospectus or the Prospectus, of options and warrants for Common Stock to directors, officers, employees or consultants of the Company, as compensation for services rendered or to be rendered by them to the Company, provided such options and warrants are not exercisable during the Lock-Up Period and (E) the issuance of Common Stock or securities convertible into or exercisable for Common Stock in connection with a partnership, research, licensing, collaboration, joint venture or similar arrangement, or an acquisition of any other business or entity, or any stock, assets or technology thereof (any such arrangement or transaction, a “</w:t>
      </w:r>
      <w:r>
        <w:rPr>
          <w:rFonts w:ascii="Arial" w:cs="Arial" w:eastAsia="Arial" w:hAnsi="Arial"/>
          <w:sz w:val="16"/>
          <w:szCs w:val="16"/>
          <w:u w:val="single" w:color="auto"/>
          <w:color w:val="auto"/>
        </w:rPr>
        <w:t>Strategic Transaction</w:t>
      </w:r>
      <w:r>
        <w:rPr>
          <w:rFonts w:ascii="Arial" w:cs="Arial" w:eastAsia="Arial" w:hAnsi="Arial"/>
          <w:sz w:val="16"/>
          <w:szCs w:val="16"/>
          <w:color w:val="auto"/>
        </w:rPr>
        <w:t>”), provided that, in each case, (x) the aggregate number of shares of Common Stock issued or issuable (or underlying convertible or exercisable securities issued or issuable) pursuant to Strategic Transactions in reliance upon this clause (E) does not exceed 20% of the number of shares of Common Stock outstanding immediately prior to the Strategic Transaction (or the first Strategic Transaction, if more than one) and (y) each recipient of such shares of Common Stock or securities convertible into or exercisable for Common Stock has theretofore executed a binding lock-up agreement agreeing with Chardan not to transfer, directly or indirectly, any such shares or securities (or shares of Common Stock underlying such securities) during the Lock-Up Period; provided, however, that if (a) during the period that begins on the date that is fifteen (15) calendar days plus three (3) business days before the last day of the Lock-Up Period and ends on the last day of the Lock-Up Period, the Company issues an earnings release or material news or a material event relating to the Company occurs; or (b) prior to the expiration of the Lock-Up Period, the Company announces that it will release earnings results during the sixteen (16) day period beginning on the last</w:t>
      </w:r>
    </w:p>
    <w:p>
      <w:pPr>
        <w:spacing w:after="0" w:line="36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9" w:name="page30"/>
    <w:bookmarkEnd w:id="29"/>
    <w:p>
      <w:pPr>
        <w:ind w:left="7"/>
        <w:spacing w:after="0"/>
        <w:rPr>
          <w:sz w:val="20"/>
          <w:szCs w:val="20"/>
          <w:color w:val="auto"/>
        </w:rPr>
      </w:pPr>
      <w:r>
        <w:rPr>
          <w:rFonts w:ascii="Arial" w:cs="Arial" w:eastAsia="Arial" w:hAnsi="Arial"/>
          <w:sz w:val="17"/>
          <w:szCs w:val="17"/>
          <w:color w:val="auto"/>
        </w:rPr>
        <w:t>day of the Lock-Up Period, then the restrictions imposed by this Section 4(o) shall continue to apply until the expiration of the date that is fifteen</w:t>
      </w:r>
    </w:p>
    <w:p>
      <w:pPr>
        <w:spacing w:after="0" w:line="35" w:lineRule="exact"/>
        <w:rPr>
          <w:sz w:val="20"/>
          <w:szCs w:val="20"/>
          <w:color w:val="auto"/>
        </w:rPr>
      </w:pPr>
    </w:p>
    <w:p>
      <w:pPr>
        <w:ind w:left="347" w:hanging="344"/>
        <w:spacing w:after="0"/>
        <w:tabs>
          <w:tab w:leader="none" w:pos="347" w:val="left"/>
        </w:tabs>
        <w:numPr>
          <w:ilvl w:val="1"/>
          <w:numId w:val="27"/>
        </w:numPr>
        <w:rPr>
          <w:rFonts w:ascii="Arial" w:cs="Arial" w:eastAsia="Arial" w:hAnsi="Arial"/>
          <w:sz w:val="16"/>
          <w:szCs w:val="16"/>
          <w:color w:val="auto"/>
        </w:rPr>
      </w:pPr>
      <w:r>
        <w:rPr>
          <w:rFonts w:ascii="Arial" w:cs="Arial" w:eastAsia="Arial" w:hAnsi="Arial"/>
          <w:sz w:val="16"/>
          <w:szCs w:val="16"/>
          <w:color w:val="auto"/>
        </w:rPr>
        <w:t>calendar days plus three (3) business days after the date on which the issuance of the earnings release or the material news or material event occurs;</w:t>
      </w:r>
    </w:p>
    <w:p>
      <w:pPr>
        <w:spacing w:after="0" w:line="125" w:lineRule="exact"/>
        <w:rPr>
          <w:rFonts w:ascii="Arial" w:cs="Arial" w:eastAsia="Arial" w:hAnsi="Arial"/>
          <w:sz w:val="16"/>
          <w:szCs w:val="16"/>
          <w:color w:val="auto"/>
        </w:rPr>
      </w:pPr>
    </w:p>
    <w:p>
      <w:pPr>
        <w:ind w:left="7" w:right="180" w:firstLine="221"/>
        <w:spacing w:after="0" w:line="264" w:lineRule="auto"/>
        <w:tabs>
          <w:tab w:leader="none" w:pos="487" w:val="left"/>
        </w:tabs>
        <w:numPr>
          <w:ilvl w:val="2"/>
          <w:numId w:val="27"/>
        </w:numPr>
        <w:rPr>
          <w:rFonts w:ascii="Arial" w:cs="Arial" w:eastAsia="Arial" w:hAnsi="Arial"/>
          <w:sz w:val="18"/>
          <w:szCs w:val="18"/>
          <w:color w:val="auto"/>
        </w:rPr>
      </w:pPr>
      <w:r>
        <w:rPr>
          <w:rFonts w:ascii="Arial" w:cs="Arial" w:eastAsia="Arial" w:hAnsi="Arial"/>
          <w:sz w:val="18"/>
          <w:szCs w:val="18"/>
          <w:color w:val="auto"/>
        </w:rPr>
        <w:t>prior to the time of purchase, to issue no press release or other communication directly or indirectly and hold no press conferences with respect to the Company or the Subsidiaries, the financial condition, results of operations, business, properties, assets, or liabilities of the Company or the Subsidiaries, or the offering of the Securities, without your prior consent;</w:t>
      </w:r>
    </w:p>
    <w:p>
      <w:pPr>
        <w:spacing w:after="0" w:line="73" w:lineRule="exact"/>
        <w:rPr>
          <w:rFonts w:ascii="Arial" w:cs="Arial" w:eastAsia="Arial" w:hAnsi="Arial"/>
          <w:sz w:val="18"/>
          <w:szCs w:val="18"/>
          <w:color w:val="auto"/>
        </w:rPr>
      </w:pPr>
    </w:p>
    <w:p>
      <w:pPr>
        <w:ind w:left="487" w:hanging="259"/>
        <w:spacing w:after="0"/>
        <w:tabs>
          <w:tab w:leader="none" w:pos="487" w:val="left"/>
        </w:tabs>
        <w:numPr>
          <w:ilvl w:val="2"/>
          <w:numId w:val="27"/>
        </w:numPr>
        <w:rPr>
          <w:rFonts w:ascii="Arial" w:cs="Arial" w:eastAsia="Arial" w:hAnsi="Arial"/>
          <w:sz w:val="17"/>
          <w:szCs w:val="17"/>
          <w:color w:val="auto"/>
        </w:rPr>
      </w:pPr>
      <w:r>
        <w:rPr>
          <w:rFonts w:ascii="Arial" w:cs="Arial" w:eastAsia="Arial" w:hAnsi="Arial"/>
          <w:sz w:val="17"/>
          <w:szCs w:val="17"/>
          <w:color w:val="auto"/>
        </w:rPr>
        <w:t>not, at any time at or after the execution of this Agreement, to, directly or indirectly, offer or sell any Securities by means of any “prospectus”</w:t>
      </w:r>
    </w:p>
    <w:p>
      <w:pPr>
        <w:spacing w:after="0" w:line="34" w:lineRule="exact"/>
        <w:rPr>
          <w:rFonts w:ascii="Arial" w:cs="Arial" w:eastAsia="Arial" w:hAnsi="Arial"/>
          <w:sz w:val="17"/>
          <w:szCs w:val="17"/>
          <w:color w:val="auto"/>
        </w:rPr>
      </w:pPr>
    </w:p>
    <w:p>
      <w:pPr>
        <w:ind w:left="7" w:right="20"/>
        <w:spacing w:after="0" w:line="261" w:lineRule="auto"/>
        <w:rPr>
          <w:rFonts w:ascii="Arial" w:cs="Arial" w:eastAsia="Arial" w:hAnsi="Arial"/>
          <w:sz w:val="17"/>
          <w:szCs w:val="17"/>
          <w:color w:val="auto"/>
        </w:rPr>
      </w:pPr>
      <w:r>
        <w:rPr>
          <w:rFonts w:ascii="Arial" w:cs="Arial" w:eastAsia="Arial" w:hAnsi="Arial"/>
          <w:sz w:val="18"/>
          <w:szCs w:val="18"/>
          <w:color w:val="auto"/>
        </w:rPr>
        <w:t>(within the meaning of the Act), or use any “prospectus” (within the meaning of the Act) in connection with the offer or sale of the Securities, in each case other than the Prospectus;</w:t>
      </w:r>
    </w:p>
    <w:p>
      <w:pPr>
        <w:spacing w:after="0" w:line="75" w:lineRule="exact"/>
        <w:rPr>
          <w:rFonts w:ascii="Arial" w:cs="Arial" w:eastAsia="Arial" w:hAnsi="Arial"/>
          <w:sz w:val="17"/>
          <w:szCs w:val="17"/>
          <w:color w:val="auto"/>
        </w:rPr>
      </w:pPr>
    </w:p>
    <w:p>
      <w:pPr>
        <w:jc w:val="both"/>
        <w:ind w:left="7" w:right="340" w:firstLine="221"/>
        <w:spacing w:after="0" w:line="264" w:lineRule="auto"/>
        <w:tabs>
          <w:tab w:leader="none" w:pos="457"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not to, and to cause any of its Subsidiaries not to, take, directly or indirectly, any action designed, or which will constitute, or has constituted, or might reasonably be expected to cause or result in the stabilization or manipulation of the price of any security of the Company to facilitate the sale or resale of the Securities and the Warrant Shares;</w:t>
      </w:r>
    </w:p>
    <w:p>
      <w:pPr>
        <w:spacing w:after="0" w:line="73" w:lineRule="exact"/>
        <w:rPr>
          <w:rFonts w:ascii="Arial" w:cs="Arial" w:eastAsia="Arial" w:hAnsi="Arial"/>
          <w:sz w:val="18"/>
          <w:szCs w:val="18"/>
          <w:color w:val="auto"/>
        </w:rPr>
      </w:pPr>
    </w:p>
    <w:p>
      <w:pPr>
        <w:ind w:left="7" w:right="80" w:firstLine="221"/>
        <w:spacing w:after="0" w:line="277" w:lineRule="auto"/>
        <w:tabs>
          <w:tab w:leader="none" w:pos="467"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use its best efforts to cause the Shares to be listed for quotation on the NASDAQ and to maintain the listing of the Common Stock, including the Shares, on the NASDAQ;</w:t>
      </w:r>
    </w:p>
    <w:p>
      <w:pPr>
        <w:spacing w:after="0" w:line="62" w:lineRule="exact"/>
        <w:rPr>
          <w:rFonts w:ascii="Arial" w:cs="Arial" w:eastAsia="Arial" w:hAnsi="Arial"/>
          <w:sz w:val="18"/>
          <w:szCs w:val="18"/>
          <w:color w:val="auto"/>
        </w:rPr>
      </w:pPr>
    </w:p>
    <w:p>
      <w:pPr>
        <w:ind w:left="447" w:hanging="219"/>
        <w:spacing w:after="0"/>
        <w:tabs>
          <w:tab w:leader="none" w:pos="447" w:val="left"/>
        </w:tabs>
        <w:numPr>
          <w:ilvl w:val="2"/>
          <w:numId w:val="27"/>
        </w:numPr>
        <w:rPr>
          <w:rFonts w:ascii="Arial" w:cs="Arial" w:eastAsia="Arial" w:hAnsi="Arial"/>
          <w:sz w:val="17"/>
          <w:szCs w:val="17"/>
          <w:color w:val="auto"/>
        </w:rPr>
      </w:pPr>
      <w:r>
        <w:rPr>
          <w:rFonts w:ascii="Arial" w:cs="Arial" w:eastAsia="Arial" w:hAnsi="Arial"/>
          <w:sz w:val="17"/>
          <w:szCs w:val="17"/>
          <w:color w:val="auto"/>
        </w:rPr>
        <w:t>to maintain a transfer agent and, if necessary under the jurisdiction of incorporation of the Company, a registrar for the Common Stock; and</w:t>
      </w:r>
    </w:p>
    <w:p>
      <w:pPr>
        <w:spacing w:after="0" w:line="128" w:lineRule="exact"/>
        <w:rPr>
          <w:rFonts w:ascii="Arial" w:cs="Arial" w:eastAsia="Arial" w:hAnsi="Arial"/>
          <w:sz w:val="17"/>
          <w:szCs w:val="17"/>
          <w:color w:val="auto"/>
        </w:rPr>
      </w:pPr>
    </w:p>
    <w:p>
      <w:pPr>
        <w:ind w:left="487" w:hanging="259"/>
        <w:spacing w:after="0"/>
        <w:tabs>
          <w:tab w:leader="none" w:pos="487" w:val="left"/>
        </w:tabs>
        <w:numPr>
          <w:ilvl w:val="2"/>
          <w:numId w:val="27"/>
        </w:numPr>
        <w:rPr>
          <w:rFonts w:ascii="Arial" w:cs="Arial" w:eastAsia="Arial" w:hAnsi="Arial"/>
          <w:sz w:val="16"/>
          <w:szCs w:val="16"/>
          <w:color w:val="auto"/>
        </w:rPr>
      </w:pPr>
      <w:r>
        <w:rPr>
          <w:rFonts w:ascii="Arial" w:cs="Arial" w:eastAsia="Arial" w:hAnsi="Arial"/>
          <w:sz w:val="16"/>
          <w:szCs w:val="16"/>
          <w:color w:val="auto"/>
        </w:rPr>
        <w:t>by 9:30 a.m. (New York City time) on the date hereof, issue a press release disclosing the material terms of the offering and sale of the Securities.</w:t>
      </w:r>
    </w:p>
    <w:p>
      <w:pPr>
        <w:spacing w:after="0" w:line="140" w:lineRule="exact"/>
        <w:rPr>
          <w:rFonts w:ascii="Arial" w:cs="Arial" w:eastAsia="Arial" w:hAnsi="Arial"/>
          <w:sz w:val="16"/>
          <w:szCs w:val="16"/>
          <w:color w:val="auto"/>
        </w:rPr>
      </w:pPr>
    </w:p>
    <w:p>
      <w:pPr>
        <w:ind w:left="-233" w:right="60" w:firstLine="233"/>
        <w:spacing w:after="0" w:line="276" w:lineRule="auto"/>
        <w:tabs>
          <w:tab w:leader="none" w:pos="17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Reimbursement of Placement Agent’s Expenses</w:t>
      </w:r>
      <w:r>
        <w:rPr>
          <w:rFonts w:ascii="Arial" w:cs="Arial" w:eastAsia="Arial" w:hAnsi="Arial"/>
          <w:sz w:val="17"/>
          <w:szCs w:val="17"/>
          <w:color w:val="auto"/>
        </w:rPr>
        <w:t>. If this Agreement is terminated by the Placement Agent pursuant to Section 7, if any of the conditions set forth in Section 6 are not satisfied in accordance with Section 6 or if the sale of the Securities to the Investors is not consummated because of any refusal, inability or failure on the part of the Company to perform any agreement or obligation, or to comply with any provision, of this Agreement or any Subscription Agreement, then the Company shall, in addition to paying the amounts described in Section 4(m) hereof, reimburse Chardan for all of its reasonable out-of-pocket expenses, including the fees and disbursements of its counsel, up to an aggregate amount of $25,000.</w:t>
      </w:r>
    </w:p>
    <w:p>
      <w:pPr>
        <w:spacing w:after="0" w:line="64" w:lineRule="exact"/>
        <w:rPr>
          <w:rFonts w:ascii="Arial" w:cs="Arial" w:eastAsia="Arial" w:hAnsi="Arial"/>
          <w:sz w:val="17"/>
          <w:szCs w:val="17"/>
          <w:color w:val="auto"/>
        </w:rPr>
      </w:pPr>
    </w:p>
    <w:p>
      <w:pPr>
        <w:ind w:left="-233" w:firstLine="233"/>
        <w:spacing w:after="0" w:line="264" w:lineRule="auto"/>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of Placement Agent’s Obligations</w:t>
      </w:r>
      <w:r>
        <w:rPr>
          <w:rFonts w:ascii="Arial" w:cs="Arial" w:eastAsia="Arial" w:hAnsi="Arial"/>
          <w:sz w:val="18"/>
          <w:szCs w:val="18"/>
          <w:color w:val="auto"/>
        </w:rPr>
        <w:t>. The obligations of the Placement Agent hereunder are subject to the accuracy of the representations and warranties on the part of the Company on the date hereof and at the time of purchase and the performance by the Company of its obligations hereunder and to the following additional conditions precedent:</w:t>
      </w:r>
    </w:p>
    <w:p>
      <w:pPr>
        <w:spacing w:after="0" w:line="154" w:lineRule="exact"/>
        <w:rPr>
          <w:rFonts w:ascii="Arial" w:cs="Arial" w:eastAsia="Arial" w:hAnsi="Arial"/>
          <w:sz w:val="18"/>
          <w:szCs w:val="18"/>
          <w:color w:val="auto"/>
        </w:rPr>
      </w:pPr>
    </w:p>
    <w:p>
      <w:pPr>
        <w:ind w:left="5387" w:hanging="101"/>
        <w:spacing w:after="0"/>
        <w:tabs>
          <w:tab w:leader="none" w:pos="5387" w:val="left"/>
        </w:tabs>
        <w:numPr>
          <w:ilvl w:val="3"/>
          <w:numId w:val="28"/>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30" w:name="page31"/>
    <w:bookmarkEnd w:id="30"/>
    <w:p>
      <w:pPr>
        <w:ind w:left="4" w:right="200" w:firstLine="221"/>
        <w:spacing w:after="0" w:line="264" w:lineRule="auto"/>
        <w:tabs>
          <w:tab w:leader="none" w:pos="4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opinions of Ropes &amp; Gray LLP, counsel for the Company, addressed to the Placement Agent, and dated the time of purchase, and in form and substance satisfactory to the Placement Agent, substantially in the form set forth in </w:t>
      </w:r>
      <w:r>
        <w:rPr>
          <w:rFonts w:ascii="Arial" w:cs="Arial" w:eastAsia="Arial" w:hAnsi="Arial"/>
          <w:sz w:val="18"/>
          <w:szCs w:val="18"/>
          <w:u w:val="single" w:color="auto"/>
          <w:color w:val="auto"/>
        </w:rPr>
        <w:t>Exhibits C-1</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C-2</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4" w:right="140" w:firstLine="221"/>
        <w:spacing w:after="0" w:line="264" w:lineRule="auto"/>
        <w:tabs>
          <w:tab w:leader="none" w:pos="4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 opinion of Mintz Levin Cohn Ferris Glovsky and Popeo P.C., special counsel for the Company with respect to patents and proprietary rights, addressed to the Placement Agent, and dated the time of purchase, and in form and substance satisfactory to the Placement Agent, substantially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4" w:right="380" w:firstLine="221"/>
        <w:spacing w:after="0" w:line="264" w:lineRule="auto"/>
        <w:tabs>
          <w:tab w:leader="none" w:pos="4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 opinion of Ropes &amp; Gray LLP, special counsel for the Company with respect to regulatory matters, addressed to the Placement Agent, and dated the time of purchase, and in form and substance satisfactory to the Placement Agent, substantially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73" w:lineRule="exact"/>
        <w:rPr>
          <w:rFonts w:ascii="Arial" w:cs="Arial" w:eastAsia="Arial" w:hAnsi="Arial"/>
          <w:sz w:val="18"/>
          <w:szCs w:val="18"/>
          <w:color w:val="auto"/>
        </w:rPr>
      </w:pPr>
    </w:p>
    <w:p>
      <w:pPr>
        <w:ind w:left="4" w:right="100" w:firstLine="221"/>
        <w:spacing w:after="0" w:line="277" w:lineRule="auto"/>
        <w:tabs>
          <w:tab w:leader="none" w:pos="484"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Prospectus or amendment or supplement to the Registration Statement or the Prospectus shall have been filed to which you shall have objected in writing.</w:t>
      </w:r>
    </w:p>
    <w:p>
      <w:pPr>
        <w:spacing w:after="0" w:line="62" w:lineRule="exact"/>
        <w:rPr>
          <w:rFonts w:ascii="Arial" w:cs="Arial" w:eastAsia="Arial" w:hAnsi="Arial"/>
          <w:sz w:val="18"/>
          <w:szCs w:val="18"/>
          <w:color w:val="auto"/>
        </w:rPr>
      </w:pPr>
    </w:p>
    <w:p>
      <w:pPr>
        <w:ind w:left="4" w:right="20" w:firstLine="221"/>
        <w:spacing w:after="0" w:line="259" w:lineRule="auto"/>
        <w:tabs>
          <w:tab w:leader="none" w:pos="4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Registration Statement and any registration statement required to be filed, prior to the sale of the Securities, under the Act pursuant to Rule 462(b) shall have been filed and shall have become effective under the Act. The Prospectus Supplement shall have been filed with the Commission pursuant to Rule 424(b) under the Act at or before 5:30 PM, New York City time, on the second full business day after the date of this Agreement (or such earlier time as may be required under the Act).</w:t>
      </w:r>
    </w:p>
    <w:p>
      <w:pPr>
        <w:spacing w:after="0" w:line="78" w:lineRule="exact"/>
        <w:rPr>
          <w:rFonts w:ascii="Arial" w:cs="Arial" w:eastAsia="Arial" w:hAnsi="Arial"/>
          <w:sz w:val="18"/>
          <w:szCs w:val="18"/>
          <w:color w:val="auto"/>
        </w:rPr>
      </w:pPr>
    </w:p>
    <w:p>
      <w:pPr>
        <w:ind w:left="4" w:right="40" w:firstLine="221"/>
        <w:spacing w:after="0" w:line="288" w:lineRule="auto"/>
        <w:tabs>
          <w:tab w:leader="none" w:pos="454" w:val="left"/>
        </w:tabs>
        <w:numPr>
          <w:ilvl w:val="1"/>
          <w:numId w:val="29"/>
        </w:numPr>
        <w:rPr>
          <w:rFonts w:ascii="Arial" w:cs="Arial" w:eastAsia="Arial" w:hAnsi="Arial"/>
          <w:sz w:val="16"/>
          <w:szCs w:val="16"/>
          <w:color w:val="auto"/>
        </w:rPr>
      </w:pPr>
      <w:r>
        <w:rPr>
          <w:rFonts w:ascii="Arial" w:cs="Arial" w:eastAsia="Arial" w:hAnsi="Arial"/>
          <w:sz w:val="16"/>
          <w:szCs w:val="16"/>
          <w:color w:val="auto"/>
        </w:rPr>
        <w:t>Prior to and at the time of purchase, (i) no stop order with respect to the effectiveness of the Registration Statement shall have been issued under the Act or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w:t>
      </w:r>
    </w:p>
    <w:p>
      <w:pPr>
        <w:jc w:val="both"/>
        <w:ind w:left="4" w:right="60" w:hanging="4"/>
        <w:spacing w:after="0" w:line="281" w:lineRule="auto"/>
        <w:tabs>
          <w:tab w:leader="none" w:pos="319"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none of the Basic Prospectus or the Prospectus, and no amendment or supplement thereto, shall include an untrue statement of a material fact or omit to state a material fact necessary in order to make the statements therein, in the light of the circumstances under which they are made, not misleading; and</w:t>
      </w:r>
    </w:p>
    <w:p>
      <w:pPr>
        <w:spacing w:after="0" w:line="1" w:lineRule="exact"/>
        <w:rPr>
          <w:rFonts w:ascii="Arial" w:cs="Arial" w:eastAsia="Arial" w:hAnsi="Arial"/>
          <w:sz w:val="16"/>
          <w:szCs w:val="16"/>
          <w:color w:val="auto"/>
        </w:rPr>
      </w:pPr>
    </w:p>
    <w:p>
      <w:pPr>
        <w:ind w:left="4" w:hanging="4"/>
        <w:spacing w:after="0" w:line="261" w:lineRule="auto"/>
        <w:tabs>
          <w:tab w:leader="none" w:pos="3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 of the Permitted Free Writing Prospectuses, if any, shall include an untrue statement of a material fact or omit to state a material fact necessary in order to make the statements therein, in the light of the circumstances under which they are made, not misleading.</w:t>
      </w:r>
    </w:p>
    <w:p>
      <w:pPr>
        <w:spacing w:after="0" w:line="75" w:lineRule="exact"/>
        <w:rPr>
          <w:rFonts w:ascii="Arial" w:cs="Arial" w:eastAsia="Arial" w:hAnsi="Arial"/>
          <w:sz w:val="18"/>
          <w:szCs w:val="18"/>
          <w:color w:val="auto"/>
        </w:rPr>
      </w:pPr>
    </w:p>
    <w:p>
      <w:pPr>
        <w:ind w:left="4" w:right="80" w:firstLine="221"/>
        <w:spacing w:after="0" w:line="308" w:lineRule="auto"/>
        <w:tabs>
          <w:tab w:leader="none" w:pos="484"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The Company will, at the time of purchase, deliver to you a certificate of its Chief Executive Officer and its Chief Financial Officer, dated the time of purchase, in the form attached as </w:t>
      </w:r>
      <w:r>
        <w:rPr>
          <w:rFonts w:ascii="Arial" w:cs="Arial" w:eastAsia="Arial" w:hAnsi="Arial"/>
          <w:sz w:val="17"/>
          <w:szCs w:val="17"/>
          <w:u w:val="single" w:color="auto"/>
          <w:color w:val="auto"/>
        </w:rPr>
        <w:t>Exhibit F-1</w:t>
      </w:r>
      <w:r>
        <w:rPr>
          <w:rFonts w:ascii="Arial" w:cs="Arial" w:eastAsia="Arial" w:hAnsi="Arial"/>
          <w:sz w:val="17"/>
          <w:szCs w:val="17"/>
          <w:color w:val="auto"/>
        </w:rPr>
        <w:t xml:space="preserve"> hereto and a certificate of its Secretary in the form attached as </w:t>
      </w:r>
      <w:r>
        <w:rPr>
          <w:rFonts w:ascii="Arial" w:cs="Arial" w:eastAsia="Arial" w:hAnsi="Arial"/>
          <w:sz w:val="17"/>
          <w:szCs w:val="17"/>
          <w:u w:val="single" w:color="auto"/>
          <w:color w:val="auto"/>
        </w:rPr>
        <w:t>Exhibit F-2</w:t>
      </w:r>
      <w:r>
        <w:rPr>
          <w:rFonts w:ascii="Arial" w:cs="Arial" w:eastAsia="Arial" w:hAnsi="Arial"/>
          <w:sz w:val="17"/>
          <w:szCs w:val="17"/>
          <w:color w:val="auto"/>
        </w:rPr>
        <w:t xml:space="preserve"> hereto;</w:t>
      </w:r>
    </w:p>
    <w:p>
      <w:pPr>
        <w:spacing w:after="0" w:line="38" w:lineRule="exact"/>
        <w:rPr>
          <w:rFonts w:ascii="Arial" w:cs="Arial" w:eastAsia="Arial" w:hAnsi="Arial"/>
          <w:sz w:val="17"/>
          <w:szCs w:val="17"/>
          <w:color w:val="auto"/>
        </w:rPr>
      </w:pPr>
    </w:p>
    <w:p>
      <w:pPr>
        <w:ind w:left="484" w:hanging="259"/>
        <w:spacing w:after="0"/>
        <w:tabs>
          <w:tab w:leader="none" w:pos="48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shall, on the Closing, deliver to the Placement Agent a</w:t>
      </w:r>
    </w:p>
    <w:p>
      <w:pPr>
        <w:spacing w:after="0" w:line="198" w:lineRule="exact"/>
        <w:rPr>
          <w:rFonts w:ascii="Arial" w:cs="Arial" w:eastAsia="Arial" w:hAnsi="Arial"/>
          <w:sz w:val="18"/>
          <w:szCs w:val="18"/>
          <w:color w:val="auto"/>
        </w:rPr>
      </w:pPr>
    </w:p>
    <w:p>
      <w:pPr>
        <w:ind w:left="5384" w:hanging="101"/>
        <w:spacing w:after="0"/>
        <w:tabs>
          <w:tab w:leader="none" w:pos="5384" w:val="left"/>
        </w:tabs>
        <w:numPr>
          <w:ilvl w:val="2"/>
          <w:numId w:val="30"/>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31" w:name="page32"/>
    <w:bookmarkEnd w:id="31"/>
    <w:p>
      <w:pPr>
        <w:ind w:left="240" w:right="700"/>
        <w:spacing w:after="0" w:line="308" w:lineRule="auto"/>
        <w:rPr>
          <w:sz w:val="20"/>
          <w:szCs w:val="20"/>
          <w:color w:val="auto"/>
        </w:rPr>
      </w:pPr>
      <w:r>
        <w:rPr>
          <w:rFonts w:ascii="Arial" w:cs="Arial" w:eastAsia="Arial" w:hAnsi="Arial"/>
          <w:sz w:val="17"/>
          <w:szCs w:val="17"/>
          <w:color w:val="auto"/>
        </w:rPr>
        <w:t>certificate of its Chief Financial Officer regarding certain statistical data and other information contained in the Registration Statement, the Basic Prospectus, the Prospectus and any Permitted Free Writing Prospectus, in a form reasonably satisfactory to the Placement Agent;</w:t>
      </w:r>
    </w:p>
    <w:p>
      <w:pPr>
        <w:spacing w:after="0" w:line="38" w:lineRule="exact"/>
        <w:rPr>
          <w:sz w:val="20"/>
          <w:szCs w:val="20"/>
          <w:color w:val="auto"/>
        </w:rPr>
      </w:pPr>
    </w:p>
    <w:p>
      <w:pPr>
        <w:ind w:left="240" w:firstLine="221"/>
        <w:spacing w:after="0" w:line="264"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shall have received the agreement (a “</w:t>
      </w:r>
      <w:r>
        <w:rPr>
          <w:rFonts w:ascii="Arial" w:cs="Arial" w:eastAsia="Arial" w:hAnsi="Arial"/>
          <w:sz w:val="18"/>
          <w:szCs w:val="18"/>
          <w:u w:val="single" w:color="auto"/>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of each of the Company’s directors and “officers” (within the meaning of Rule 16a-1(f) under the Exchange Act), and each such Lock-Up Agreement shall be in full force and effect at the time of purchase.</w:t>
      </w:r>
    </w:p>
    <w:p>
      <w:pPr>
        <w:spacing w:after="0" w:line="73" w:lineRule="exact"/>
        <w:rPr>
          <w:rFonts w:ascii="Arial" w:cs="Arial" w:eastAsia="Arial" w:hAnsi="Arial"/>
          <w:sz w:val="18"/>
          <w:szCs w:val="18"/>
          <w:color w:val="auto"/>
        </w:rPr>
      </w:pPr>
    </w:p>
    <w:p>
      <w:pPr>
        <w:ind w:left="680" w:hanging="219"/>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shall have furnished to you such other documents and certificates as to the accuracy and completeness of any statement in the</w:t>
      </w:r>
    </w:p>
    <w:p>
      <w:pPr>
        <w:spacing w:after="0" w:line="34" w:lineRule="exact"/>
        <w:rPr>
          <w:rFonts w:ascii="Arial" w:cs="Arial" w:eastAsia="Arial" w:hAnsi="Arial"/>
          <w:sz w:val="17"/>
          <w:szCs w:val="17"/>
          <w:color w:val="auto"/>
        </w:rPr>
      </w:pPr>
    </w:p>
    <w:p>
      <w:pPr>
        <w:ind w:left="240" w:right="160"/>
        <w:spacing w:after="0" w:line="302" w:lineRule="auto"/>
        <w:rPr>
          <w:rFonts w:ascii="Arial" w:cs="Arial" w:eastAsia="Arial" w:hAnsi="Arial"/>
          <w:sz w:val="17"/>
          <w:szCs w:val="17"/>
          <w:color w:val="auto"/>
        </w:rPr>
      </w:pPr>
      <w:r>
        <w:rPr>
          <w:rFonts w:ascii="Arial" w:cs="Arial" w:eastAsia="Arial" w:hAnsi="Arial"/>
          <w:sz w:val="16"/>
          <w:szCs w:val="16"/>
          <w:color w:val="auto"/>
        </w:rPr>
        <w:t>Registration Statement, the Basic Prospectus, the Prospectus or any Permitted Free Writing Prospectus as of the time of purchase as you may reasonably request on the basis of any change in circumstances or potential change in circumstances from the time of execution of this Agreement until the time of purchase which affects or could reasonably be expected to affect, or otherwise calls into question, the accuracy and completeness of any such statement.</w:t>
      </w:r>
    </w:p>
    <w:p>
      <w:pPr>
        <w:spacing w:after="0" w:line="47" w:lineRule="exact"/>
        <w:rPr>
          <w:rFonts w:ascii="Arial" w:cs="Arial" w:eastAsia="Arial" w:hAnsi="Arial"/>
          <w:sz w:val="17"/>
          <w:szCs w:val="17"/>
          <w:color w:val="auto"/>
        </w:rPr>
      </w:pPr>
    </w:p>
    <w:p>
      <w:pPr>
        <w:ind w:left="720" w:hanging="259"/>
        <w:spacing w:after="0"/>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Shares shall have been approved for quotation on the NASDAQ, subject only to notice of issuance at or prior to the time of purchase.</w:t>
      </w:r>
    </w:p>
    <w:p>
      <w:pPr>
        <w:spacing w:after="0" w:line="128" w:lineRule="exact"/>
        <w:rPr>
          <w:rFonts w:ascii="Arial" w:cs="Arial" w:eastAsia="Arial" w:hAnsi="Arial"/>
          <w:sz w:val="17"/>
          <w:szCs w:val="17"/>
          <w:color w:val="auto"/>
        </w:rPr>
      </w:pPr>
    </w:p>
    <w:p>
      <w:pPr>
        <w:ind w:left="240" w:right="420" w:firstLine="2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placement agency, or other arrangements of the transactions, contemplated hereby.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u w:val="single" w:color="auto"/>
          <w:color w:val="auto"/>
        </w:rPr>
        <w:t>Effective Date of Agreement; Termination</w:t>
      </w:r>
      <w:r>
        <w:rPr>
          <w:rFonts w:ascii="Arial" w:cs="Arial" w:eastAsia="Arial" w:hAnsi="Arial"/>
          <w:sz w:val="16"/>
          <w:szCs w:val="16"/>
          <w:color w:val="auto"/>
        </w:rPr>
        <w:t>. This Agreement shall become effective when the parties hereto have executed and delivered this Agreement.</w:t>
      </w:r>
    </w:p>
    <w:p>
      <w:pPr>
        <w:spacing w:after="0" w:line="140" w:lineRule="exact"/>
        <w:rPr>
          <w:sz w:val="20"/>
          <w:szCs w:val="20"/>
          <w:color w:val="auto"/>
        </w:rPr>
      </w:pPr>
    </w:p>
    <w:p>
      <w:pPr>
        <w:ind w:firstLine="447"/>
        <w:spacing w:after="0" w:line="269" w:lineRule="auto"/>
        <w:rPr>
          <w:sz w:val="20"/>
          <w:szCs w:val="20"/>
          <w:color w:val="auto"/>
        </w:rPr>
      </w:pPr>
      <w:r>
        <w:rPr>
          <w:rFonts w:ascii="Arial" w:cs="Arial" w:eastAsia="Arial" w:hAnsi="Arial"/>
          <w:sz w:val="17"/>
          <w:szCs w:val="17"/>
          <w:color w:val="auto"/>
        </w:rPr>
        <w:t>The obligations of the Placement Agent hereunder shall be subject to termination in the absolute discretion of the Placement Agent, if (1) since the time of execution of this Agreement or the earlier respective dates as of which information is given in the Registration Statement, the Basic Prospectus, the Prospectus and the Permitted Free Writing Prospectuses, if any, there has been any change or any development involving a prospective change in the business, properties, management, financial condition or results of operations of the Company and the Subsidiaries taken as a whole, the effect of which change or development is, in the sole judgment of the Placement Agent, so material and adverse as to make it impractical or inadvisable to proceed with the offering or the delivery of the Securities on the terms and in the manner contemplated in the Registration Statement, the Basic Prospectus, the Prospectus and the Permitted Free Writing Prospectuses, if any, or (2) since the time of execution of this Agreement, there shall have occurred: (A) a suspension or material limitation in trading in securities generally on the NYSE or the NASDAQ; (B) a suspension or material limitation in trading in the Company’s securities on the NASDAQ; (C) a general moratorium on commercial banking activities declared by either federal or New York State authorities or a material disruption in commercial banking or securities settlement or clearance services in the United States; (D) an outbreak or escalation of hostilities or acts of terrorism involving the United States or a</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p>
      <w:pPr>
        <w:ind w:right="20"/>
        <w:spacing w:after="0" w:line="285" w:lineRule="auto"/>
        <w:rPr>
          <w:sz w:val="20"/>
          <w:szCs w:val="20"/>
          <w:color w:val="auto"/>
        </w:rPr>
      </w:pPr>
      <w:r>
        <w:rPr>
          <w:rFonts w:ascii="Arial" w:cs="Arial" w:eastAsia="Arial" w:hAnsi="Arial"/>
          <w:sz w:val="16"/>
          <w:szCs w:val="16"/>
          <w:color w:val="auto"/>
        </w:rPr>
        <w:t>declaration by the United States of a national emergency or war; or (E) any other calamity or crisis or any change in financial, political or economic conditions in the United States or elsewhere, if the effect of any such event specified in clause (D) or (E), in the sole judgment of the Placement Agent, makes it impractical or inadvisable to proceed with the offering or the delivery of the Securities on the terms and in the manner contemplated in the Registration Statement, the Basic Prospectus, the Prospectus and the Permitted Free Writing Prospectuses, if any, or (3) since the time of execution of this Agreement, there shall have occurred any downgrading, or any notice or announcement shall have been given or made of: (A) any intended or potential downgrading or</w:t>
      </w:r>
    </w:p>
    <w:p>
      <w:pPr>
        <w:spacing w:after="0" w:line="2" w:lineRule="exact"/>
        <w:rPr>
          <w:sz w:val="20"/>
          <w:szCs w:val="20"/>
          <w:color w:val="auto"/>
        </w:rPr>
      </w:pPr>
    </w:p>
    <w:p>
      <w:pPr>
        <w:ind w:right="200" w:firstLine="8"/>
        <w:spacing w:after="0" w:line="323" w:lineRule="auto"/>
        <w:tabs>
          <w:tab w:leader="none" w:pos="2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watch, review or possible change that does not indicate an affirmation or improvement in the rating accorded any securities of or guaranteed by the Company or the Subsidiaries by any “nationally recognized statistical rating organization,” as that term is defined in Rule 436(g)(2) under the Act.</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Placement Agent elects to terminate this Agreement as provided in this Section 7, the Company shall be notified promptly in writing.</w:t>
      </w:r>
    </w:p>
    <w:p>
      <w:pPr>
        <w:spacing w:after="0" w:line="117"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If the sale of the Securities, as contemplated by this Agreement and the Subscription Agreements, is not carried out for any reason permitted under this Agreement or the Subscription Agreements, or if such sale is not carried out because the Company shall be unable to comply with any of the terms of this Agreement or the Subscription Agreements, the Company shall not be under any obligation or liability under this Agreement (except to the extent provided in Sections 4(m), 5 and 8 hereof), and the Placement Agent shall be under no obligation or liability to the Company under this Agreement (except to the extent provided in Section 8 hereof).</w:t>
      </w:r>
    </w:p>
    <w:p>
      <w:pPr>
        <w:spacing w:after="0" w:line="80" w:lineRule="exact"/>
        <w:rPr>
          <w:sz w:val="20"/>
          <w:szCs w:val="20"/>
          <w:color w:val="auto"/>
        </w:rPr>
      </w:pPr>
    </w:p>
    <w:p>
      <w:pPr>
        <w:ind w:left="420" w:hanging="187"/>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283" w:lineRule="auto"/>
        <w:tabs>
          <w:tab w:leader="none" w:pos="71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Company agrees (i) to indemnify, defend and hold harmless the Placement Agent, their respective, directors, officers, employees and agents, and each person, if any, who controls the Placement Agent within the meaning of Section 15 of the Act or Section 20 of the Exchange Act, and the successors and assigns of all of the foregoing persons, from and against any loss, damage, expense, liability or claim (or actions in respect thereof as contemplated below) which the Placement Agent or any such person may incur under the Act, the Exchange Act, the common law or otherwise, insofar as such loss, damage, expense, liability or claim (or actions in respect thereof as contemplated below) arises out of or is based (A) in whole or in part upon any inaccuracy in the representations and warranties of the Company contained herein, (B) in whole or in part upon any failure of the Company to perform its obligations hereunder or under law, (C) upon any untrue statement or alleged untrue statement of a material fact contained in the Registration Statement, or any amendment thereto, including any information deemed to be a part thereof pursuant to Rule 430B or Rule 430C under the Act, or the omission or alleged omission therefrom of a material fact required to be stated therein or necessary to make the statements therein not misleading,</w:t>
      </w:r>
    </w:p>
    <w:p>
      <w:pPr>
        <w:spacing w:after="0" w:line="6" w:lineRule="exact"/>
        <w:rPr>
          <w:rFonts w:ascii="Arial" w:cs="Arial" w:eastAsia="Arial" w:hAnsi="Arial"/>
          <w:sz w:val="16"/>
          <w:szCs w:val="16"/>
          <w:color w:val="auto"/>
        </w:rPr>
      </w:pPr>
    </w:p>
    <w:p>
      <w:pPr>
        <w:ind w:left="240" w:right="640" w:hanging="4"/>
        <w:spacing w:after="0" w:line="323" w:lineRule="auto"/>
        <w:tabs>
          <w:tab w:leader="none" w:pos="535" w:val="left"/>
        </w:tabs>
        <w:numPr>
          <w:ilvl w:val="1"/>
          <w:numId w:val="33"/>
        </w:numPr>
        <w:rPr>
          <w:rFonts w:ascii="Arial" w:cs="Arial" w:eastAsia="Arial" w:hAnsi="Arial"/>
          <w:sz w:val="16"/>
          <w:szCs w:val="16"/>
          <w:color w:val="auto"/>
        </w:rPr>
      </w:pPr>
      <w:r>
        <w:rPr>
          <w:rFonts w:ascii="Arial" w:cs="Arial" w:eastAsia="Arial" w:hAnsi="Arial"/>
          <w:sz w:val="16"/>
          <w:szCs w:val="16"/>
          <w:color w:val="auto"/>
        </w:rPr>
        <w:t>upon any untrue statement or alleged untrue statement of a material fact contained in the Basic Prospectus (as amended or supplemented), any Permitted Free Writing Prospectus, the Prospectus (or any amendment or supplement thereto) or the omission or alleged omission therefrom of a</w:t>
      </w:r>
    </w:p>
    <w:p>
      <w:pPr>
        <w:spacing w:after="0" w:line="111" w:lineRule="exact"/>
        <w:rPr>
          <w:rFonts w:ascii="Arial" w:cs="Arial" w:eastAsia="Arial" w:hAnsi="Arial"/>
          <w:sz w:val="16"/>
          <w:szCs w:val="16"/>
          <w:color w:val="auto"/>
        </w:rPr>
      </w:pPr>
    </w:p>
    <w:p>
      <w:pPr>
        <w:ind w:left="5620" w:hanging="101"/>
        <w:spacing w:after="0"/>
        <w:tabs>
          <w:tab w:leader="none" w:pos="5620" w:val="left"/>
        </w:tabs>
        <w:numPr>
          <w:ilvl w:val="3"/>
          <w:numId w:val="33"/>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right="60"/>
        <w:spacing w:after="0" w:line="268" w:lineRule="auto"/>
        <w:rPr>
          <w:sz w:val="20"/>
          <w:szCs w:val="20"/>
          <w:color w:val="auto"/>
        </w:rPr>
      </w:pPr>
      <w:r>
        <w:rPr>
          <w:rFonts w:ascii="Arial" w:cs="Arial" w:eastAsia="Arial" w:hAnsi="Arial"/>
          <w:sz w:val="17"/>
          <w:szCs w:val="17"/>
          <w:color w:val="auto"/>
        </w:rPr>
        <w:t>material fact necessary in order to make the statements therein, in the light of the circumstances under which they were made, not misleading, or (E) in whole or in part upon any act or failure to act or alleged act or failure to act by the Placement Agent in reliance upon (A), (B), (C) or (D), and in connection with or relating in any manner to the Securities or the offering contemplated hereby, and which is included as part of or referred to in any loss, claim, damage, liability or action arising out of or based upon any matter covered by clause (A), (B), (C) or (D) above, provided that the Company shall not be liable under this clause (E) to the extent that a court of competent jurisdiction shall have determined by a final judgment that such loss, claim, damage, liability or action resulted primarily from any such acts or failures to act undertaken or omitted to be taken by such Placement Agent through its bad faith or willful misconduct; and (ii) to reimburse each Placement Agent, its respective officers, directors, employees, agents and each such controlling person for any and all expenses (including the fees and disbursements of counsel chosen by the Placement Agent) as such expenses are reasonably incurred by the Placement Agent, or its respective officers, directors, employees and agents or such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Placement Agent expressly for use in the Registration Statement, any Permitted Free Writing Prospectus, or the Prospectus (or any amendment or supplement thereto). The indemnity agreement set forth in this Section 8(a) shall be in addition to any liabilities that the Company may otherwise have.</w:t>
      </w:r>
    </w:p>
    <w:p>
      <w:pPr>
        <w:spacing w:after="0" w:line="75" w:lineRule="exact"/>
        <w:rPr>
          <w:sz w:val="20"/>
          <w:szCs w:val="20"/>
          <w:color w:val="auto"/>
        </w:rPr>
      </w:pPr>
    </w:p>
    <w:p>
      <w:pPr>
        <w:ind w:firstLine="221"/>
        <w:spacing w:after="0" w:line="287"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Placement Agent agrees to indemnify and hold harmless the Company, each of its directors, each of its officers who signed the Registration Statement and each person, if any, who controls the Company within the meaning of the Act or the Exchange Act, against any loss, claim, damage, liability or expense, as incurred, to which the Company or any such director, officer or controlling person may become subject, insofar as such loss, claim, damage, liability or expense (or actions in respect thereof as contemplated below) arises out of or is based upon any untrue or alleged untrue statement of a material fact contained in the Registration Statement, any Permitted Free Writing Prospectus or the Prospectus (or any amendment or supplement thereto), or arises out of or is based upon the omission or alleged omission to state therein a material fact required to be stated therein or necessary to make the statements therein not misleading, in each case to the extent, and only to the extent, that such untrue statement or alleged untrue statement or omission or alleged omission was made in the Registration Statement, any Permitted Free Writing Prospectus or the Prospectus (or any amendment or supplement thereto), in reliance upon and in conformity with written information furnished to the Company by the Placement Agent expressly for use therein; and to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The Company hereby</w:t>
      </w:r>
    </w:p>
    <w:p>
      <w:pPr>
        <w:spacing w:after="0" w:line="141" w:lineRule="exact"/>
        <w:rPr>
          <w:rFonts w:ascii="Arial" w:cs="Arial" w:eastAsia="Arial" w:hAnsi="Arial"/>
          <w:sz w:val="16"/>
          <w:szCs w:val="16"/>
          <w:color w:val="auto"/>
        </w:rPr>
      </w:pPr>
    </w:p>
    <w:p>
      <w:pPr>
        <w:ind w:left="5380" w:hanging="101"/>
        <w:spacing w:after="0"/>
        <w:tabs>
          <w:tab w:leader="none" w:pos="53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4" w:name="page35"/>
    <w:bookmarkEnd w:id="34"/>
    <w:p>
      <w:pPr>
        <w:ind w:left="7" w:right="460"/>
        <w:spacing w:after="0" w:line="342" w:lineRule="auto"/>
        <w:rPr>
          <w:sz w:val="20"/>
          <w:szCs w:val="20"/>
          <w:color w:val="auto"/>
        </w:rPr>
      </w:pPr>
      <w:r>
        <w:rPr>
          <w:rFonts w:ascii="Arial" w:cs="Arial" w:eastAsia="Arial" w:hAnsi="Arial"/>
          <w:sz w:val="16"/>
          <w:szCs w:val="16"/>
          <w:color w:val="auto"/>
        </w:rPr>
        <w:t>acknowledges that the only information that the Placement Agent has furnished to the Company expressly for use in the Registration Statement, any Permitted Free Writing Prospectus or the Prospectus (or any amendment or supplement thereto) are the statements set forth in Section 9.</w:t>
      </w:r>
    </w:p>
    <w:p>
      <w:pPr>
        <w:spacing w:after="0" w:line="16" w:lineRule="exact"/>
        <w:rPr>
          <w:sz w:val="20"/>
          <w:szCs w:val="20"/>
          <w:color w:val="auto"/>
        </w:rPr>
      </w:pPr>
    </w:p>
    <w:p>
      <w:pPr>
        <w:ind w:left="-233" w:firstLine="233"/>
        <w:spacing w:after="0" w:line="267" w:lineRule="auto"/>
        <w:tabs>
          <w:tab w:leader="none" w:pos="237"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8 of notice of the commencement of any action, such indemnified party will, if a claim in respect thereof is to be made against an indemnifying party under this Section 8, notify the indemnifying party in writing of the commencement thereof; but the failure to so notify the indemnifying party a) will not relieve it from liability under paragraph (a) or (b) above unless and to the extent it did not otherwise learn of such action and such failure results in the forfeiture by the indemnifying party of substantial rights and defenses and b) will not, in any event, relieve the indemnifying party from any liability other than the indemnification obligation provided in paragraph (a) or (b) above.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expenses of more than one separate counsel (other than local counsel), reasonably approved by the indemnifying party,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79" w:lineRule="exact"/>
        <w:rPr>
          <w:rFonts w:ascii="Arial" w:cs="Arial" w:eastAsia="Arial" w:hAnsi="Arial"/>
          <w:sz w:val="17"/>
          <w:szCs w:val="17"/>
          <w:color w:val="auto"/>
        </w:rPr>
      </w:pPr>
    </w:p>
    <w:p>
      <w:pPr>
        <w:ind w:left="7" w:right="400" w:firstLine="221"/>
        <w:spacing w:after="0" w:line="277" w:lineRule="auto"/>
        <w:tabs>
          <w:tab w:leader="none" w:pos="4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indemnifying party under this Section 8 shall not be liable for any settlement of any proceeding effected without its written consent, but if settled with such consent or if there be a final judgment for the plaintiff, the indemnifying party agrees to</w:t>
      </w:r>
    </w:p>
    <w:p>
      <w:pPr>
        <w:spacing w:after="0" w:line="143" w:lineRule="exact"/>
        <w:rPr>
          <w:rFonts w:ascii="Arial" w:cs="Arial" w:eastAsia="Arial" w:hAnsi="Arial"/>
          <w:sz w:val="18"/>
          <w:szCs w:val="18"/>
          <w:color w:val="auto"/>
        </w:rPr>
      </w:pPr>
    </w:p>
    <w:p>
      <w:pPr>
        <w:ind w:left="5387" w:hanging="101"/>
        <w:spacing w:after="0"/>
        <w:tabs>
          <w:tab w:leader="none" w:pos="5387" w:val="left"/>
        </w:tabs>
        <w:numPr>
          <w:ilvl w:val="2"/>
          <w:numId w:val="35"/>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6" w:right="279" w:bottom="1440" w:gutter="0" w:footer="0" w:header="0"/>
        </w:sectPr>
      </w:pPr>
    </w:p>
    <w:bookmarkStart w:id="35" w:name="page36"/>
    <w:bookmarkEnd w:id="35"/>
    <w:p>
      <w:pPr>
        <w:ind w:right="60"/>
        <w:spacing w:after="0" w:line="273" w:lineRule="auto"/>
        <w:rPr>
          <w:sz w:val="20"/>
          <w:szCs w:val="20"/>
          <w:color w:val="auto"/>
        </w:rPr>
      </w:pPr>
      <w:r>
        <w:rPr>
          <w:rFonts w:ascii="Arial" w:cs="Arial" w:eastAsia="Arial" w:hAnsi="Arial"/>
          <w:sz w:val="17"/>
          <w:szCs w:val="17"/>
          <w:color w:val="auto"/>
        </w:rPr>
        <w:t>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70" w:lineRule="exact"/>
        <w:rPr>
          <w:sz w:val="20"/>
          <w:szCs w:val="20"/>
          <w:color w:val="auto"/>
        </w:rPr>
      </w:pPr>
    </w:p>
    <w:p>
      <w:pPr>
        <w:ind w:firstLine="221"/>
        <w:spacing w:after="0" w:line="285" w:lineRule="auto"/>
        <w:tabs>
          <w:tab w:leader="none" w:pos="4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indemnification provided for in Section 8(a) or (b), as applicable,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Placement Agent, on the other hand, from the placement of the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Placement Agent, on the other hand, in connection with the statements or omissions contained in the Registration Statement, the Basic Prospectus (as amended or supplemented), any Permitted Free Writing Prospectus or the Prospectus (or any amendment or supplement thereto) or inaccuracies in the representations and warranties herein which resulted in such losses, claims, damages, liabilities or expenses, as well as any other relevant equitable considerations. The relative benefits received by the Company, on the one hand, and the Placement Agent, on the other hand, in connection with the placement of the Securities pursuant to this Agreement shall be deemed to be in the same respective proportions as the total net proceeds from the placement of the Securities pursuant to this Agreement (before deducting expenses) received by the Company, and the total compensation received by the Placement Agent bears to the aggregate proceeds from the placement of the Securities. The relative fault of the Company, on the one hand, and the Placement Agent, on the other hand, shall be determined by reference to, among other things, whether any such untrue or alleged untrue statement of a material fact or omission or alleged omission to state a material fact or any such inaccurate or alleged inaccurate representation or warranty relates to information supplied by the Company, on the one hand, or the Placement Agent, on the other hand, and the parties’ relative intent, knowledge, access to information and opportunity to correct or prevent such statement or omission.</w:t>
      </w:r>
    </w:p>
    <w:p>
      <w:pPr>
        <w:spacing w:after="0" w:line="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6" w:name="page37"/>
    <w:bookmarkEnd w:id="36"/>
    <w:p>
      <w:pPr>
        <w:ind w:left="7" w:right="200"/>
        <w:spacing w:after="0" w:line="342" w:lineRule="auto"/>
        <w:rPr>
          <w:sz w:val="20"/>
          <w:szCs w:val="20"/>
          <w:color w:val="auto"/>
        </w:rPr>
      </w:pPr>
      <w:r>
        <w:rPr>
          <w:rFonts w:ascii="Arial" w:cs="Arial" w:eastAsia="Arial" w:hAnsi="Arial"/>
          <w:sz w:val="16"/>
          <w:szCs w:val="16"/>
          <w:color w:val="auto"/>
        </w:rPr>
        <w:t>The Company and the Placement Agent agree that it would not be just and equitable if contribution pursuant to this Section 8(e) were determined by pro rata allocation or by any other method of allocation that does not take account of the equitable considerations referred to in this Section 8(e).</w:t>
      </w:r>
    </w:p>
    <w:p>
      <w:pPr>
        <w:spacing w:after="0" w:line="16" w:lineRule="exact"/>
        <w:rPr>
          <w:sz w:val="20"/>
          <w:szCs w:val="20"/>
          <w:color w:val="auto"/>
        </w:rPr>
      </w:pPr>
    </w:p>
    <w:p>
      <w:pPr>
        <w:ind w:left="7" w:right="20" w:firstLine="221"/>
        <w:spacing w:after="0" w:line="290" w:lineRule="auto"/>
        <w:tabs>
          <w:tab w:leader="none" w:pos="457" w:val="left"/>
        </w:tabs>
        <w:numPr>
          <w:ilvl w:val="1"/>
          <w:numId w:val="37"/>
        </w:numPr>
        <w:rPr>
          <w:rFonts w:ascii="Arial" w:cs="Arial" w:eastAsia="Arial" w:hAnsi="Arial"/>
          <w:sz w:val="16"/>
          <w:szCs w:val="16"/>
          <w:color w:val="auto"/>
        </w:rPr>
      </w:pPr>
      <w:r>
        <w:rPr>
          <w:rFonts w:ascii="Arial" w:cs="Arial" w:eastAsia="Arial" w:hAnsi="Arial"/>
          <w:sz w:val="16"/>
          <w:szCs w:val="16"/>
          <w:color w:val="auto"/>
        </w:rPr>
        <w:t>Notwithstanding the provisions of Section 8(e), the Placement Agent shall not be required to contribute any amount in excess of the compensation received by the Placement Agent in connection with the placement contemplated by this Agreement. No person guilty of fraudulent misrepresentation (within the meaning of Section 11(f) of the Act) shall be entitled to contribution from any person who was not guilty of such fraudulent misrepresentation. The Placement Agent’s obligations to contribute pursuant to Section 8(e) is in proportion to itsrespective percentage allocations of the compensation payable by the Company pursuant to Section 1 hereof. For purposes of Section 8(e), each director, officer, employee and agent of the Placement Agent and each person, if any, who controls the Placement Agent within the meaning of the Act or the Exchange Act shall have the same rights to contribution as the Placement Agent, and each director of the Company, each officer of the Company who signed the Registration Statement and each person, if any, who controls the Company within the meaning of the Act or the Exchange Act shall have the same rights to contribution as the Company.</w:t>
      </w:r>
    </w:p>
    <w:p>
      <w:pPr>
        <w:spacing w:after="0" w:line="58" w:lineRule="exact"/>
        <w:rPr>
          <w:rFonts w:ascii="Arial" w:cs="Arial" w:eastAsia="Arial" w:hAnsi="Arial"/>
          <w:sz w:val="16"/>
          <w:szCs w:val="16"/>
          <w:color w:val="auto"/>
        </w:rPr>
      </w:pPr>
    </w:p>
    <w:p>
      <w:pPr>
        <w:ind w:left="-233" w:right="160" w:firstLine="233"/>
        <w:spacing w:after="0" w:line="264" w:lineRule="auto"/>
        <w:tabs>
          <w:tab w:leader="none" w:pos="17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Placement Agent</w:t>
      </w:r>
      <w:r>
        <w:rPr>
          <w:rFonts w:ascii="Arial" w:cs="Arial" w:eastAsia="Arial" w:hAnsi="Arial"/>
          <w:sz w:val="18"/>
          <w:szCs w:val="18"/>
          <w:color w:val="auto"/>
        </w:rPr>
        <w:t>. The statements set forth under the caption “Plan of distribution—Price stabilization” in the Prospectus Supplement, only insofar as such statements relate to the stabilization activities that may be undertaken by the Placement Agent, constitute the only information furnished by the Placement Agent, as such information is referred to in Sections 3 and 8 hereof.</w:t>
      </w:r>
    </w:p>
    <w:p>
      <w:pPr>
        <w:spacing w:after="0" w:line="73" w:lineRule="exact"/>
        <w:rPr>
          <w:rFonts w:ascii="Arial" w:cs="Arial" w:eastAsia="Arial" w:hAnsi="Arial"/>
          <w:sz w:val="18"/>
          <w:szCs w:val="18"/>
          <w:color w:val="auto"/>
        </w:rPr>
      </w:pPr>
    </w:p>
    <w:p>
      <w:pPr>
        <w:ind w:left="-233" w:firstLine="233"/>
        <w:spacing w:after="0" w:line="297" w:lineRule="auto"/>
        <w:tabs>
          <w:tab w:leader="none" w:pos="26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or facsimile and, if to the Placement Agent, shall be sufficient in all respects if delivered or sent to Chardan Capital Markets, LLC, 17 State Street, Suite 1600, New York, NY 10004, Attention: Kerry Propper, Head of Investment Banking, with a copy to General Counsel at the same address, and, if to the Company, shall be sufficient in all respects if delivered or sent to the Company at the offices of the Company at 3155 Porter Drive, Palo Alto, CA 94304, Attention: Martin McGlynn, President and Chief Executive Officer, with a copy to Ropes &amp; Gray LLP, One International Place, Boston, MA 02110-2624, Attention: Geoffrey Davis.</w:t>
      </w:r>
    </w:p>
    <w:p>
      <w:pPr>
        <w:spacing w:after="0" w:line="50" w:lineRule="exact"/>
        <w:rPr>
          <w:rFonts w:ascii="Arial" w:cs="Arial" w:eastAsia="Arial" w:hAnsi="Arial"/>
          <w:sz w:val="16"/>
          <w:szCs w:val="16"/>
          <w:color w:val="auto"/>
        </w:rPr>
      </w:pPr>
    </w:p>
    <w:p>
      <w:pPr>
        <w:jc w:val="both"/>
        <w:ind w:left="-233" w:right="220" w:firstLine="233"/>
        <w:spacing w:after="0" w:line="286"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u w:val="single" w:color="auto"/>
          <w:color w:val="auto"/>
        </w:rPr>
        <w:t>Claim</w:t>
      </w:r>
      <w:r>
        <w:rPr>
          <w:rFonts w:ascii="Arial" w:cs="Arial" w:eastAsia="Arial" w:hAnsi="Arial"/>
          <w:sz w:val="17"/>
          <w:szCs w:val="17"/>
          <w:color w:val="auto"/>
        </w:rPr>
        <w:t>”),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57" w:lineRule="exact"/>
        <w:rPr>
          <w:rFonts w:ascii="Arial" w:cs="Arial" w:eastAsia="Arial" w:hAnsi="Arial"/>
          <w:sz w:val="17"/>
          <w:szCs w:val="17"/>
          <w:color w:val="auto"/>
        </w:rPr>
      </w:pPr>
    </w:p>
    <w:p>
      <w:pPr>
        <w:ind w:left="-233" w:right="160" w:firstLine="233"/>
        <w:spacing w:after="0" w:line="277" w:lineRule="auto"/>
        <w:tabs>
          <w:tab w:leader="none" w:pos="26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Except as set forth below, no Claim may be commenced, prosecuted or continued in any court other than the courts of the State of New York located in the City and County of New York or in the United States District Court for the</w:t>
      </w:r>
    </w:p>
    <w:p>
      <w:pPr>
        <w:spacing w:after="0" w:line="143" w:lineRule="exact"/>
        <w:rPr>
          <w:rFonts w:ascii="Arial" w:cs="Arial" w:eastAsia="Arial" w:hAnsi="Arial"/>
          <w:sz w:val="18"/>
          <w:szCs w:val="18"/>
          <w:color w:val="auto"/>
        </w:rPr>
      </w:pPr>
    </w:p>
    <w:p>
      <w:pPr>
        <w:ind w:left="5387" w:hanging="101"/>
        <w:spacing w:after="0"/>
        <w:tabs>
          <w:tab w:leader="none" w:pos="5387" w:val="left"/>
        </w:tabs>
        <w:numPr>
          <w:ilvl w:val="2"/>
          <w:numId w:val="38"/>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37" w:name="page38"/>
    <w:bookmarkEnd w:id="37"/>
    <w:p>
      <w:pPr>
        <w:spacing w:after="0" w:line="291" w:lineRule="auto"/>
        <w:rPr>
          <w:sz w:val="20"/>
          <w:szCs w:val="20"/>
          <w:color w:val="auto"/>
        </w:rPr>
      </w:pPr>
      <w:r>
        <w:rPr>
          <w:rFonts w:ascii="Arial" w:cs="Arial" w:eastAsia="Arial" w:hAnsi="Arial"/>
          <w:sz w:val="16"/>
          <w:szCs w:val="16"/>
          <w:color w:val="auto"/>
        </w:rPr>
        <w:t>Southern District of New York, which courts shall have jurisdiction over the adjudication of such matters, and the Company consents to the jurisdiction of such courts and personal service with respect thereto. The Company hereby consents to personal jurisdiction, service and venue in any court in which any Claim arising out of or in any way relating to this Agreement is brought by any third party against the Placement Agent or any indemnified party. The Placement Agent and the Company (on its behalf and, to the extent permitted by applicable law, on behalf of its stockholders and affiliates) waive all right to trial by jury in any action, proceeding or counterclaim (whether based upon contract, tort or otherwise) in any way arising out of or relating to this Agreement.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spacing w:after="0" w:line="59" w:lineRule="exact"/>
        <w:rPr>
          <w:sz w:val="20"/>
          <w:szCs w:val="20"/>
          <w:color w:val="auto"/>
        </w:rPr>
      </w:pPr>
    </w:p>
    <w:p>
      <w:pPr>
        <w:jc w:val="both"/>
        <w:ind w:right="100" w:firstLine="233"/>
        <w:spacing w:after="0" w:line="302" w:lineRule="auto"/>
        <w:tabs>
          <w:tab w:leader="none" w:pos="49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Except as set forth in the Subscription Agreement, the Agreement herein set forth has been and is made solely for the benefit of the Placement Agent and the Company and to the extent provided in Section 8 hereof the controlling persons, partners, directors and officers referred to in such Section 8, and their respective successors, assigns, heirs, personal representatives and executors and administrators. No other person, partnership, association or corporation (including a purchaser, as such purchaser, from the Company) shall acquire or have any right under or by virtue of this Agreement.</w:t>
      </w:r>
    </w:p>
    <w:p>
      <w:pPr>
        <w:spacing w:after="0" w:line="46" w:lineRule="exact"/>
        <w:rPr>
          <w:rFonts w:ascii="Arial" w:cs="Arial" w:eastAsia="Arial" w:hAnsi="Arial"/>
          <w:sz w:val="16"/>
          <w:szCs w:val="16"/>
          <w:color w:val="auto"/>
        </w:rPr>
      </w:pPr>
    </w:p>
    <w:p>
      <w:pPr>
        <w:ind w:firstLine="233"/>
        <w:spacing w:after="0" w:line="287" w:lineRule="auto"/>
        <w:tabs>
          <w:tab w:leader="none" w:pos="49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Placement Agent is acting solely as a Placement Agent in connection with the purchase and sale of the Company’s securities. The Company further acknowledges that the Placement Agent is acting pursuant to a contractual relationship created solely by this Agreement entered into on an arm’s length basis, and in no event do the parties intend that the Placement Agent act or be responsible as a fiduciary to the Company, its management, stockholders or creditors or any other person in connection with any activity that the Placement Agent may undertake or have undertaken in furtherance of the purchase and sale of the Company’s securities, either before or after the date hereof. The Placement Agent hereby expressly disclaims any fiduciary or similar obligations to the Company, either in connection with the transactions contemplated by this Agreement or any matters leading up to such transactions, and the Company hereby confirms its understanding and agreement to that effect. The Company and the Placement Agent agree that they are each responsible for making their own independent judgments with respect to any such transactions and that any opinions or views expressed by a Placement Agent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Placement Agent with respect to any breach or alleged breach of any fiduciary or similar duty to the Company in connection with the transactions contemplated by this Agreement or any matters leading up to such transactions.</w:t>
      </w:r>
    </w:p>
    <w:p>
      <w:pPr>
        <w:spacing w:after="0" w:line="60" w:lineRule="exact"/>
        <w:rPr>
          <w:rFonts w:ascii="Arial" w:cs="Arial" w:eastAsia="Arial" w:hAnsi="Arial"/>
          <w:sz w:val="16"/>
          <w:szCs w:val="16"/>
          <w:color w:val="auto"/>
        </w:rPr>
      </w:pPr>
    </w:p>
    <w:p>
      <w:pPr>
        <w:ind w:right="260" w:firstLine="233"/>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Placement</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Agent and the Company and their successors and assigns and any successor or assign of any substantial portion of the Company’s and the Placement Agent’s respective businesses and/or assets.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9" w:name="page40"/>
    <w:bookmarkEnd w:id="39"/>
    <w:p>
      <w:pPr>
        <w:ind w:firstLine="450"/>
        <w:spacing w:after="0" w:line="342" w:lineRule="auto"/>
        <w:rPr>
          <w:sz w:val="20"/>
          <w:szCs w:val="20"/>
          <w:color w:val="auto"/>
        </w:rPr>
      </w:pPr>
      <w:r>
        <w:rPr>
          <w:rFonts w:ascii="Arial" w:cs="Arial" w:eastAsia="Arial" w:hAnsi="Arial"/>
          <w:sz w:val="16"/>
          <w:szCs w:val="16"/>
          <w:color w:val="auto"/>
        </w:rPr>
        <w:t>If the foregoing correctly sets forth the understanding between the Company and the Placement Agent, please so indicate in the space provided below for that purpose, whereupon this Agreement and your acceptance shall constitute a binding agreement between the Company and the Placement Agent.</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TEM</w:t>
      </w:r>
      <w:r>
        <w:rPr>
          <w:rFonts w:ascii="Arial" w:cs="Arial" w:eastAsia="Arial" w:hAnsi="Arial"/>
          <w:sz w:val="18"/>
          <w:szCs w:val="18"/>
          <w:color w:val="auto"/>
        </w:rPr>
        <w:t>C</w:t>
      </w:r>
      <w:r>
        <w:rPr>
          <w:rFonts w:ascii="Arial" w:cs="Arial" w:eastAsia="Arial" w:hAnsi="Arial"/>
          <w:sz w:val="12"/>
          <w:szCs w:val="12"/>
          <w:color w:val="auto"/>
        </w:rPr>
        <w:t>ELLS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Martin M. McGlynn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52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HARDAN</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LLC</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2980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Kerry Propper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40" w:name="page41"/>
    <w:bookmarkEnd w:id="40"/>
    <w:p>
      <w:pPr>
        <w:jc w:val="center"/>
        <w:ind w:right="-1200"/>
        <w:spacing w:after="0"/>
        <w:rPr>
          <w:sz w:val="20"/>
          <w:szCs w:val="20"/>
          <w:color w:val="auto"/>
        </w:rPr>
      </w:pPr>
      <w:r>
        <w:rPr>
          <w:rFonts w:ascii="Arial" w:cs="Arial" w:eastAsia="Arial" w:hAnsi="Arial"/>
          <w:sz w:val="18"/>
          <w:szCs w:val="18"/>
          <w:b w:val="1"/>
          <w:bCs w:val="1"/>
          <w:u w:val="single" w:color="auto"/>
          <w:color w:val="auto"/>
        </w:rPr>
        <w:t>SCHEDULE A</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PERMITTED FREE WRITING PROSPECTUSES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959" w:right="1440" w:bottom="1440" w:gutter="0" w:footer="0" w:header="0"/>
        </w:sectPr>
      </w:pPr>
    </w:p>
    <w:bookmarkStart w:id="41" w:name="page42"/>
    <w:bookmarkEnd w:id="41"/>
    <w:tbl>
      <w:tblPr>
        <w:tblLayout w:type="fixed"/>
        <w:tblInd w:w="2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Exhibit 4.1</w:t>
            </w:r>
          </w:p>
        </w:tc>
      </w:tr>
      <w:tr>
        <w:trPr>
          <w:trHeight w:val="500"/>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Form of Warrant</w:t>
            </w:r>
          </w:p>
        </w:tc>
        <w:tc>
          <w:tcPr>
            <w:tcW w:w="5100" w:type="dxa"/>
            <w:vAlign w:val="bottom"/>
            <w:gridSpan w:val="2"/>
          </w:tcPr>
          <w:p>
            <w:pPr>
              <w:spacing w:after="0"/>
              <w:rPr>
                <w:sz w:val="24"/>
                <w:szCs w:val="24"/>
                <w:color w:val="auto"/>
              </w:rPr>
            </w:pPr>
          </w:p>
        </w:tc>
      </w:tr>
      <w:tr>
        <w:trPr>
          <w:trHeight w:val="345"/>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4"/>
          </w:tcPr>
          <w:p>
            <w:pPr>
              <w:jc w:val="center"/>
              <w:ind w:right="4410"/>
              <w:spacing w:after="0"/>
              <w:rPr>
                <w:sz w:val="20"/>
                <w:szCs w:val="20"/>
                <w:color w:val="auto"/>
              </w:rPr>
            </w:pPr>
            <w:r>
              <w:rPr>
                <w:rFonts w:ascii="Arial" w:cs="Arial" w:eastAsia="Arial" w:hAnsi="Arial"/>
                <w:sz w:val="18"/>
                <w:szCs w:val="18"/>
                <w:b w:val="1"/>
                <w:bCs w:val="1"/>
                <w:color w:val="auto"/>
              </w:rPr>
              <w:t>STEMCELLS, INC.</w:t>
            </w:r>
          </w:p>
        </w:tc>
      </w:tr>
      <w:tr>
        <w:trPr>
          <w:trHeight w:val="324"/>
        </w:trPr>
        <w:tc>
          <w:tcPr>
            <w:tcW w:w="3300" w:type="dxa"/>
            <w:vAlign w:val="bottom"/>
          </w:tcPr>
          <w:p>
            <w:pPr>
              <w:spacing w:after="0"/>
              <w:rPr>
                <w:sz w:val="24"/>
                <w:szCs w:val="24"/>
                <w:color w:val="auto"/>
              </w:rPr>
            </w:pPr>
          </w:p>
        </w:tc>
        <w:tc>
          <w:tcPr>
            <w:tcW w:w="7900" w:type="dxa"/>
            <w:vAlign w:val="bottom"/>
            <w:gridSpan w:val="6"/>
          </w:tcPr>
          <w:p>
            <w:pPr>
              <w:jc w:val="center"/>
              <w:ind w:right="3430"/>
              <w:spacing w:after="0"/>
              <w:rPr>
                <w:sz w:val="20"/>
                <w:szCs w:val="20"/>
                <w:color w:val="auto"/>
              </w:rPr>
            </w:pPr>
            <w:r>
              <w:rPr>
                <w:rFonts w:ascii="Arial" w:cs="Arial" w:eastAsia="Arial" w:hAnsi="Arial"/>
                <w:sz w:val="18"/>
                <w:szCs w:val="18"/>
                <w:b w:val="1"/>
                <w:bCs w:val="1"/>
                <w:color w:val="auto"/>
                <w:w w:val="99"/>
              </w:rPr>
              <w:t>WARRANT TO PURCHASE COMMON STOCK</w:t>
            </w:r>
          </w:p>
        </w:tc>
      </w:tr>
      <w:tr>
        <w:trPr>
          <w:trHeight w:val="324"/>
        </w:trPr>
        <w:tc>
          <w:tcPr>
            <w:tcW w:w="3300" w:type="dxa"/>
            <w:vAlign w:val="bottom"/>
          </w:tcPr>
          <w:p>
            <w:pPr>
              <w:spacing w:after="0"/>
              <w:rPr>
                <w:sz w:val="24"/>
                <w:szCs w:val="24"/>
                <w:color w:val="auto"/>
              </w:rPr>
            </w:pPr>
          </w:p>
        </w:tc>
        <w:tc>
          <w:tcPr>
            <w:tcW w:w="7900" w:type="dxa"/>
            <w:vAlign w:val="bottom"/>
            <w:gridSpan w:val="6"/>
          </w:tcPr>
          <w:p>
            <w:pPr>
              <w:jc w:val="center"/>
              <w:ind w:right="3430"/>
              <w:spacing w:after="0"/>
              <w:rPr>
                <w:sz w:val="20"/>
                <w:szCs w:val="20"/>
                <w:color w:val="auto"/>
              </w:rPr>
            </w:pPr>
            <w:r>
              <w:rPr>
                <w:rFonts w:ascii="Arial" w:cs="Arial" w:eastAsia="Arial" w:hAnsi="Arial"/>
                <w:sz w:val="18"/>
                <w:szCs w:val="18"/>
                <w:b w:val="1"/>
                <w:bCs w:val="1"/>
                <w:color w:val="auto"/>
                <w:w w:val="88"/>
              </w:rPr>
              <w:t>To Purchase 2,000,000 Shares of Common Stock</w:t>
            </w:r>
          </w:p>
        </w:tc>
      </w:tr>
      <w:tr>
        <w:trPr>
          <w:trHeight w:val="432"/>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00" w:type="dxa"/>
            <w:vAlign w:val="bottom"/>
          </w:tcPr>
          <w:p>
            <w:pPr>
              <w:jc w:val="right"/>
              <w:spacing w:after="0"/>
              <w:rPr>
                <w:sz w:val="20"/>
                <w:szCs w:val="20"/>
                <w:color w:val="auto"/>
              </w:rPr>
            </w:pPr>
            <w:r>
              <w:rPr>
                <w:rFonts w:ascii="Arial" w:cs="Arial" w:eastAsia="Arial" w:hAnsi="Arial"/>
                <w:sz w:val="18"/>
                <w:szCs w:val="18"/>
                <w:color w:val="auto"/>
              </w:rPr>
              <w:t>Date of Issuance: October 28, 2009</w:t>
            </w:r>
          </w:p>
        </w:tc>
      </w:tr>
      <w:tr>
        <w:trPr>
          <w:trHeight w:val="500"/>
        </w:trPr>
        <w:tc>
          <w:tcPr>
            <w:tcW w:w="3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VOID AFTER APRIL 28, 2015</w:t>
            </w:r>
          </w:p>
        </w:tc>
        <w:tc>
          <w:tcPr>
            <w:tcW w:w="4500" w:type="dxa"/>
            <w:vAlign w:val="bottom"/>
          </w:tcPr>
          <w:p>
            <w:pPr>
              <w:spacing w:after="0"/>
              <w:rPr>
                <w:sz w:val="24"/>
                <w:szCs w:val="24"/>
                <w:color w:val="auto"/>
              </w:rPr>
            </w:pPr>
          </w:p>
        </w:tc>
      </w:tr>
      <w:tr>
        <w:trPr>
          <w:trHeight w:val="304"/>
        </w:trPr>
        <w:tc>
          <w:tcPr>
            <w:tcW w:w="3300" w:type="dxa"/>
            <w:vAlign w:val="bottom"/>
          </w:tcPr>
          <w:p>
            <w:pPr>
              <w:spacing w:after="0"/>
              <w:rPr>
                <w:sz w:val="20"/>
                <w:szCs w:val="20"/>
                <w:color w:val="auto"/>
              </w:rPr>
            </w:pPr>
            <w:r>
              <w:rPr>
                <w:rFonts w:ascii="Arial" w:cs="Arial" w:eastAsia="Arial" w:hAnsi="Arial"/>
                <w:sz w:val="18"/>
                <w:szCs w:val="18"/>
                <w:color w:val="auto"/>
                <w:w w:val="93"/>
              </w:rPr>
              <w:t>THIS CERTIFIES THAT, for value received,</w:t>
            </w:r>
          </w:p>
        </w:tc>
        <w:tc>
          <w:tcPr>
            <w:tcW w:w="900" w:type="dxa"/>
            <w:vAlign w:val="bottom"/>
            <w:tcBorders>
              <w:bottom w:val="single" w:sz="8" w:color="auto"/>
            </w:tcBorders>
          </w:tcPr>
          <w:p>
            <w:pPr>
              <w:spacing w:after="0"/>
              <w:rPr>
                <w:sz w:val="24"/>
                <w:szCs w:val="24"/>
                <w:color w:val="auto"/>
              </w:rPr>
            </w:pPr>
          </w:p>
        </w:tc>
        <w:tc>
          <w:tcPr>
            <w:tcW w:w="7000" w:type="dxa"/>
            <w:vAlign w:val="bottom"/>
            <w:gridSpan w:val="5"/>
          </w:tcPr>
          <w:p>
            <w:pPr>
              <w:jc w:val="right"/>
              <w:ind w:right="50"/>
              <w:spacing w:after="0"/>
              <w:rPr>
                <w:sz w:val="20"/>
                <w:szCs w:val="20"/>
                <w:color w:val="auto"/>
              </w:rPr>
            </w:pPr>
            <w:r>
              <w:rPr>
                <w:rFonts w:ascii="Arial" w:cs="Arial" w:eastAsia="Arial" w:hAnsi="Arial"/>
                <w:sz w:val="18"/>
                <w:szCs w:val="18"/>
                <w:color w:val="auto"/>
                <w:w w:val="91"/>
              </w:rPr>
              <w:t>, or permitted registered assigns (the “</w:t>
            </w:r>
            <w:r>
              <w:rPr>
                <w:rFonts w:ascii="Arial" w:cs="Arial" w:eastAsia="Arial" w:hAnsi="Arial"/>
                <w:sz w:val="18"/>
                <w:szCs w:val="18"/>
                <w:b w:val="1"/>
                <w:bCs w:val="1"/>
                <w:color w:val="auto"/>
                <w:w w:val="91"/>
              </w:rPr>
              <w:t>Holder</w:t>
            </w:r>
            <w:r>
              <w:rPr>
                <w:rFonts w:ascii="Arial" w:cs="Arial" w:eastAsia="Arial" w:hAnsi="Arial"/>
                <w:sz w:val="18"/>
                <w:szCs w:val="18"/>
                <w:color w:val="auto"/>
                <w:w w:val="91"/>
              </w:rPr>
              <w:t>”), is entitled to subscribe for and purchase at the</w:t>
            </w:r>
          </w:p>
        </w:tc>
      </w:tr>
    </w:tbl>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Exercise Price (defined below) from StemCells,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up to 2,000,000 shares of the common stock of the Company,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This warrant is one of a series of warrants issued by the Company as of the date hereof (individually a “</w:t>
      </w:r>
      <w:r>
        <w:rPr>
          <w:rFonts w:ascii="Arial" w:cs="Arial" w:eastAsia="Arial" w:hAnsi="Arial"/>
          <w:sz w:val="18"/>
          <w:szCs w:val="18"/>
          <w:b w:val="1"/>
          <w:bCs w:val="1"/>
          <w:color w:val="auto"/>
        </w:rPr>
        <w:t>Warrant</w:t>
      </w:r>
      <w:r>
        <w:rPr>
          <w:rFonts w:ascii="Arial" w:cs="Arial" w:eastAsia="Arial" w:hAnsi="Arial"/>
          <w:sz w:val="18"/>
          <w:szCs w:val="18"/>
          <w:color w:val="auto"/>
        </w:rPr>
        <w:t>”; collectively, “</w:t>
      </w:r>
      <w:r>
        <w:rPr>
          <w:rFonts w:ascii="Arial" w:cs="Arial" w:eastAsia="Arial" w:hAnsi="Arial"/>
          <w:sz w:val="18"/>
          <w:szCs w:val="18"/>
          <w:b w:val="1"/>
          <w:bCs w:val="1"/>
          <w:color w:val="auto"/>
        </w:rPr>
        <w:t>Company Warrants</w:t>
      </w:r>
      <w:r>
        <w:rPr>
          <w:rFonts w:ascii="Arial" w:cs="Arial" w:eastAsia="Arial" w:hAnsi="Arial"/>
          <w:sz w:val="18"/>
          <w:szCs w:val="18"/>
          <w:color w:val="auto"/>
        </w:rPr>
        <w:t>”) pursuant to that certain subscription agreement between the Company and the Holder, dated as of October 28, 2009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w:t>
      </w:r>
    </w:p>
    <w:p>
      <w:pPr>
        <w:spacing w:after="0" w:line="76" w:lineRule="exact"/>
        <w:rPr>
          <w:sz w:val="20"/>
          <w:szCs w:val="20"/>
          <w:color w:val="auto"/>
        </w:rPr>
      </w:pPr>
    </w:p>
    <w:p>
      <w:pPr>
        <w:ind w:right="400" w:firstLine="233"/>
        <w:spacing w:after="0" w:line="277" w:lineRule="auto"/>
        <w:tabs>
          <w:tab w:leader="none" w:pos="40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but not otherwise defined herein shall have their respective meanings as set forth in the Subscription Agreement. As used herein, the following terms shall have the following respective meanings:</w:t>
      </w:r>
    </w:p>
    <w:p>
      <w:pPr>
        <w:spacing w:after="0" w:line="58" w:lineRule="exact"/>
        <w:rPr>
          <w:sz w:val="20"/>
          <w:szCs w:val="20"/>
          <w:color w:val="auto"/>
        </w:rPr>
      </w:pPr>
    </w:p>
    <w:p>
      <w:pPr>
        <w:ind w:right="260" w:firstLine="233"/>
        <w:spacing w:after="0" w:line="282" w:lineRule="auto"/>
        <w:tabs>
          <w:tab w:leader="none" w:pos="4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Period</w:t>
      </w:r>
      <w:r>
        <w:rPr>
          <w:rFonts w:ascii="Arial" w:cs="Arial" w:eastAsia="Arial" w:hAnsi="Arial"/>
          <w:sz w:val="18"/>
          <w:szCs w:val="18"/>
          <w:color w:val="auto"/>
        </w:rPr>
        <w:t>” shall mean the period commencing with the date occurring six months after the date hereof and ending five years and six months from the date hereof, unless sooner terminated as provided below.</w:t>
      </w:r>
    </w:p>
    <w:p>
      <w:pPr>
        <w:spacing w:after="0" w:line="53" w:lineRule="exact"/>
        <w:rPr>
          <w:rFonts w:ascii="Arial" w:cs="Arial" w:eastAsia="Arial" w:hAnsi="Arial"/>
          <w:sz w:val="18"/>
          <w:szCs w:val="18"/>
          <w:color w:val="auto"/>
        </w:rPr>
      </w:pPr>
    </w:p>
    <w:p>
      <w:pPr>
        <w:ind w:left="480" w:hanging="247"/>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shall mean $1.50 per share, subject to adjustment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Shares</w:t>
      </w:r>
      <w:r>
        <w:rPr>
          <w:rFonts w:ascii="Arial" w:cs="Arial" w:eastAsia="Arial" w:hAnsi="Arial"/>
          <w:sz w:val="18"/>
          <w:szCs w:val="18"/>
          <w:color w:val="auto"/>
        </w:rPr>
        <w:t>” shall mean the shares of Common Stock issuable upon exercise of this Warrant.</w:t>
      </w:r>
    </w:p>
    <w:p>
      <w:pPr>
        <w:spacing w:after="0" w:line="117" w:lineRule="exact"/>
        <w:rPr>
          <w:rFonts w:ascii="Arial" w:cs="Arial" w:eastAsia="Arial" w:hAnsi="Arial"/>
          <w:sz w:val="18"/>
          <w:szCs w:val="18"/>
          <w:color w:val="auto"/>
        </w:rPr>
      </w:pPr>
    </w:p>
    <w:p>
      <w:pPr>
        <w:ind w:right="80" w:firstLine="233"/>
        <w:spacing w:after="0" w:line="314" w:lineRule="auto"/>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shall mean (i) any day on which the Common Stock is listed or quoted and traded on its primary Trading Market, (ii) if the Common Stock is not then listed or quoted and traded on any eligible market (meaning any of the NYSE, AMEX or NASDAQ), then a day on which trading occurs on the OTC Bulletin Board (or any successor thereto), or (iii) if trading does not occur on the OTC Bulletin Board (or any successor thereto), any business day.</w:t>
      </w:r>
    </w:p>
    <w:p>
      <w:pPr>
        <w:spacing w:after="0" w:line="38" w:lineRule="exact"/>
        <w:rPr>
          <w:sz w:val="20"/>
          <w:szCs w:val="20"/>
          <w:color w:val="auto"/>
        </w:rPr>
      </w:pPr>
    </w:p>
    <w:p>
      <w:pPr>
        <w:ind w:left="420" w:hanging="187"/>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STANDARD EXERCISE OF WARRANT</w:t>
      </w:r>
      <w:r>
        <w:rPr>
          <w:rFonts w:ascii="Arial" w:cs="Arial" w:eastAsia="Arial" w:hAnsi="Arial"/>
          <w:sz w:val="18"/>
          <w:szCs w:val="18"/>
          <w:color w:val="auto"/>
        </w:rPr>
        <w:t>. The rights represented by this Warrant may be exercised in whole or in part at any time during the Exercise Period, by delivery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following to the Company at its address set forth on the signature page hereto (or at such other address as it may designate by notice in writing to the Holder):</w:t>
      </w:r>
    </w:p>
    <w:p>
      <w:pPr>
        <w:spacing w:after="0" w:line="140" w:lineRule="exact"/>
        <w:rPr>
          <w:sz w:val="20"/>
          <w:szCs w:val="20"/>
          <w:color w:val="auto"/>
        </w:rPr>
      </w:pPr>
    </w:p>
    <w:p>
      <w:pPr>
        <w:ind w:left="460" w:hanging="227"/>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executed Notice of Exercise in the form attached hereto; and</w:t>
      </w:r>
    </w:p>
    <w:p>
      <w:pPr>
        <w:spacing w:after="0" w:line="117" w:lineRule="exact"/>
        <w:rPr>
          <w:rFonts w:ascii="Arial" w:cs="Arial" w:eastAsia="Arial" w:hAnsi="Arial"/>
          <w:sz w:val="18"/>
          <w:szCs w:val="18"/>
          <w:color w:val="auto"/>
        </w:rPr>
      </w:pPr>
    </w:p>
    <w:p>
      <w:pPr>
        <w:ind w:right="480" w:firstLine="233"/>
        <w:spacing w:after="0" w:line="27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Payment of the Exercise Price either (i) in cash or by check (subject to the limitations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below), or (ii) pursuant to net exercise terms outlined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below.</w:t>
      </w:r>
    </w:p>
    <w:p>
      <w:pPr>
        <w:spacing w:after="0" w:line="62" w:lineRule="exact"/>
        <w:rPr>
          <w:sz w:val="20"/>
          <w:szCs w:val="20"/>
          <w:color w:val="auto"/>
        </w:rPr>
      </w:pPr>
    </w:p>
    <w:p>
      <w:pPr>
        <w:ind w:right="200" w:firstLine="222"/>
        <w:spacing w:after="0" w:line="291" w:lineRule="auto"/>
        <w:rPr>
          <w:sz w:val="20"/>
          <w:szCs w:val="20"/>
          <w:color w:val="auto"/>
        </w:rPr>
      </w:pPr>
      <w:r>
        <w:rPr>
          <w:rFonts w:ascii="Arial" w:cs="Arial" w:eastAsia="Arial" w:hAnsi="Arial"/>
          <w:sz w:val="16"/>
          <w:szCs w:val="16"/>
          <w:color w:val="auto"/>
        </w:rPr>
        <w:t>The Holder shall not be required to physically surrender this Warrant to the Company until the Holder has purchased all of the Exercise Shares available hereunder and the Warrant has been exercised in full, in which case, the Holder shall surrender this Warrant to the Company for cancellation within three</w:t>
      </w:r>
    </w:p>
    <w:p>
      <w:pPr>
        <w:ind w:right="20" w:firstLine="8"/>
        <w:spacing w:after="0" w:line="254" w:lineRule="auto"/>
        <w:tabs>
          <w:tab w:leader="none" w:pos="2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Days of the date the final Notice of Exercise is delivered to the Company. Partial exercises of this Warrant resulting in purchases of a portion of the total number of Exercise Shares available hereunder shall have the effect of lowering the outstanding number of Exercise Shares purchasable hereunder in an amount equal to the applicable number of Exercise Shares purchased. The Holder and the Company shall maintain records showing the number of Exercise Shares purchased and the date of such purchases.</w:t>
      </w:r>
    </w:p>
    <w:p>
      <w:pPr>
        <w:spacing w:after="0" w:line="8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Certificates for shares purchased hereunder shall be transmitted by the transfer agent of the Company to the Holder by crediting the account of the Holder’s prime broker with the Depository Trust Company through its Deposits and Withdrawal at Custodian (DWAC) system if the Company is a participant in such system, and otherwise by physical delivery to the address specified by the Holder in the Notice of Exercise within three Trading Days from the delivery to the Company of the Notice of Exercise, surrender of this Warrant and payment of the aggregate Exercise Price as set forth above. This Warrant shall be deemed to have been exercised on the date the Exercise Price is received by the Company. The Exercise Shares shall be deemed to have been issued, and Holder or any other person so designated to be named therein shall be deemed to have become a holder of record of such shares for all purposes, as of the date this Warrant has been exercised by payment to the Company of the Exercise Price.</w:t>
      </w:r>
    </w:p>
    <w:p>
      <w:pPr>
        <w:spacing w:after="0" w:line="7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If by the close of the fifth Trading Day after delivery of an Notice of Exercise, the Company fails to deliver to the Holder a certificate representing the required number of Exercise Shares in the manner required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such failure to deliver the Exercise Shares is caused by the Company’s failure to use commercially reasonable efforts to comply with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and/or the covenants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herein, and if after such fifth Trading Day and prior to the receipt of such Exercise Shares, the Holder purchases (in an open market transaction or otherwise) shares of Common Stock to deliver in satisfaction of a sale by the Holder of the Exercise Shares which the Holder anticipated receiving upon such exercise (a “</w:t>
      </w:r>
      <w:r>
        <w:rPr>
          <w:rFonts w:ascii="Arial" w:cs="Arial" w:eastAsia="Arial" w:hAnsi="Arial"/>
          <w:sz w:val="17"/>
          <w:szCs w:val="17"/>
          <w:b w:val="1"/>
          <w:bCs w:val="1"/>
          <w:color w:val="auto"/>
        </w:rPr>
        <w:t>Buy-In</w:t>
      </w:r>
      <w:r>
        <w:rPr>
          <w:rFonts w:ascii="Arial" w:cs="Arial" w:eastAsia="Arial" w:hAnsi="Arial"/>
          <w:sz w:val="17"/>
          <w:szCs w:val="17"/>
          <w:color w:val="auto"/>
        </w:rPr>
        <w:t>”), then the Company shall, within three Trading Days after the Holder’s request and in the Holder’s sole discretion, either (1) pay in cash to the Holder an amount equal to the Holder’s total purchase price (including brokerage commissions, if any) for the shares of Common Stock so purchased (the “Buy-In Price”), at which point the Company’s obligation to deliver such certificate (and to issue such Exercise Shares) shall terminate or (ii) promptly honor its obligation to deliver to the Holder a certificate or certificates representing such Exercise Shares and pay cash to the Holder in an amount equal to the excess (if any) of the Buy-In Price over the product of (A) such number of Exercise Shares, times (B) the closing bid price on the 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ind w:right="20" w:firstLine="222"/>
        <w:spacing w:after="0" w:line="257" w:lineRule="auto"/>
        <w:rPr>
          <w:sz w:val="20"/>
          <w:szCs w:val="20"/>
          <w:color w:val="auto"/>
        </w:rPr>
      </w:pPr>
      <w:r>
        <w:rPr>
          <w:rFonts w:ascii="Arial" w:cs="Arial" w:eastAsia="Arial" w:hAnsi="Arial"/>
          <w:sz w:val="18"/>
          <w:szCs w:val="18"/>
          <w:color w:val="auto"/>
        </w:rPr>
        <w:t>The person in whose name any certificate or certificates for Exercise Shares are to be issued upon exercise of this 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80"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To the extent permitted by law, the Company’s obligations to issue and deliver Exercise Shares in accordance with the terms hereof are absolute and unconditional, irrespective of any action or inaction by the Holder to enforce the same, any waiver or consent with respect to any provision hereof, the recovery of any judgment against any person or entity or any action to enforce the same, or any setoff, counterclaim, recoupment, limitation or termination, or any breach or alleged breach by the Holder or any other person or entity of any obligation to the Company or any violation or alleged violation of law by the Holder or any other person or entity, and irrespective of any other circumstance which might otherwise limit such obligation of the Company to the Holder in connection with the issuance of Exercise Shares.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this Warrant as required pursuant to the terms hereof.</w:t>
      </w:r>
    </w:p>
    <w:p>
      <w:pPr>
        <w:spacing w:after="0" w:line="58"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NET EXERCISE</w:t>
      </w:r>
      <w:r>
        <w:rPr>
          <w:rFonts w:ascii="Arial" w:cs="Arial" w:eastAsia="Arial" w:hAnsi="Arial"/>
          <w:sz w:val="17"/>
          <w:szCs w:val="17"/>
          <w:color w:val="auto"/>
        </w:rPr>
        <w:t>. If during the Exercise Period, the issuance of the Exercise Shares to the Holder is not covered by the Registration Statement, as defined in the Subscription Agreement, or any other effective registration statement under the Securities Act of 1933, as amended, and the fair market value of one share of the Common Stock is greater than the Exercise Price (at the date of calculation as set forth below), the Holder shall be permitted to exercise this Warrant by electing to receive (and the Company shall be permitted satisfy its obligation to issue the shares to be issued on exercise of this Warrant by issuing to the Holder) shares equal to the value (as determined below) of this Warrant (or the portion thereof being canceled), in lieu of paying the Exercise Price in immediately available funds. Upon delivery of a properly endorsed Notice of Exercise, the Company shall issue to the Holder a number of shares of Common Stock computed using the following formula:</w:t>
      </w: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(A–B)</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Where X = the number of shares of Common Stock to be issued to the Holder</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Y = the number of shares of Common Stock for which the Warrant is then being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left="740"/>
        <w:spacing w:after="0"/>
        <w:rPr>
          <w:sz w:val="20"/>
          <w:szCs w:val="20"/>
          <w:color w:val="auto"/>
        </w:rPr>
      </w:pPr>
      <w:r>
        <w:rPr>
          <w:rFonts w:ascii="Arial" w:cs="Arial" w:eastAsia="Arial" w:hAnsi="Arial"/>
          <w:sz w:val="18"/>
          <w:szCs w:val="18"/>
          <w:color w:val="auto"/>
        </w:rPr>
        <w:t>A =  the fair market value of one share of the Company’s Common Stock (at the date of such calculation)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 =  Exercise Price in effect at the time of exercise</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For purposes of the above calculation, the “fair market value” of one share of Common Stock shall mean (i) the average of the closing sales prices for the shares of Common Stock on the NASDAQ Global Market or other trading market where such security is listed or traded as reported by Bloomberg Financial Markets (or a comparable reporting service of national reputation selected by the Company and reasonably acceptable to the Holder if Bloomberg Financial Markets is not then reporting sales prices of such security) (collectively, “</w:t>
      </w:r>
      <w:r>
        <w:rPr>
          <w:rFonts w:ascii="Arial" w:cs="Arial" w:eastAsia="Arial" w:hAnsi="Arial"/>
          <w:sz w:val="16"/>
          <w:szCs w:val="16"/>
          <w:b w:val="1"/>
          <w:bCs w:val="1"/>
          <w:color w:val="auto"/>
        </w:rPr>
        <w:t>Bloomberg</w:t>
      </w:r>
      <w:r>
        <w:rPr>
          <w:rFonts w:ascii="Arial" w:cs="Arial" w:eastAsia="Arial" w:hAnsi="Arial"/>
          <w:sz w:val="16"/>
          <w:szCs w:val="16"/>
          <w:color w:val="auto"/>
        </w:rPr>
        <w:t>”) for the ten (10) consecutive trading days immediately preceding such date, or (ii) if the NASDAQ Global Market is not the principal trading market for the shares of Common Stock, the average of the reported sales prices reported by Bloomberg on the principal trading market for the Common Stock during the same period, or, if there is no sales price for such period, the last sales price reported by Bloomberg for such period, or (iii) if neither of the foregoing applies, the last sales price of such security in the over-the-counter market on the pink sheets or bulletin board for such security as reported by Bloomberg, or if no sales price is so reported for such security, the last bid price of such security as reported by Bloomberg or (iv) if fair market value cannot be calculated as of such date on any of the foregoing bases, the fair market value shall be as determined by the Board of Directors of the Company in the exercise of its good faith judgment.</w:t>
      </w:r>
    </w:p>
    <w:p>
      <w:pPr>
        <w:spacing w:after="0" w:line="6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ISSUANCE OF NEW WARRANTS</w:t>
      </w:r>
      <w:r>
        <w:rPr>
          <w:rFonts w:ascii="Arial" w:cs="Arial" w:eastAsia="Arial" w:hAnsi="Arial"/>
          <w:sz w:val="18"/>
          <w:szCs w:val="18"/>
          <w:color w:val="auto"/>
        </w:rPr>
        <w:t>. Upon any partial exercise of this Warrant, the Company, at its expense, will forthwith and, in any event within five Trading Days, issue and deliver to the Holder a new warrant or warrants of like tenor, registered in the name of the Holder, exercisable, in the aggregate, for the balance of the number of shares of Common Stock remaining available for purchase under this Warrant.</w:t>
      </w:r>
    </w:p>
    <w:p>
      <w:pPr>
        <w:spacing w:after="0" w:line="7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EXERCISE LIMITATIONS; HOLDER’S RESTRICTIONS</w:t>
      </w:r>
      <w:r>
        <w:rPr>
          <w:rFonts w:ascii="Arial" w:cs="Arial" w:eastAsia="Arial" w:hAnsi="Arial"/>
          <w:sz w:val="17"/>
          <w:szCs w:val="17"/>
          <w:color w:val="auto"/>
        </w:rPr>
        <w:t xml:space="preserve">. A Holder shall not have the right to exercise any portion of this Warrant,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otherwise, to the extent that after giving effect to such issuance after exercise, such Holder (together with such Holder’s affiliates) would beneficially own in excess of 4.99% of the number of shares of the Common Stock outstanding immediately after giving effect to such issuance. For purposes of the foregoing sentence, the number of shares of Common Stock beneficially owned by such Holder and its affiliates shall include the number of shares of Common Stock issuable upon exercise of this Warrant with respect to which the determination of such sentence is being made, but shall exclude the number of shares of Common Stock which would be issuable upon (A) exercise of the remaining, nonexercised portion of this Warrant beneficially owned by such Holder or any of its affiliates and (B) exercise or conversion of the unexercised or nonconverted portion of any other securities of the Company (including, without limitation, any other shares of Common Stock or Warrants) subject to a limitation on conversion or exercise analogous to the limitation contained herein beneficially owned by such Holder or any of its affiliates. Except as set forth in the preceding sentence, for purposes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beneficial ownership shall be calculated in accordance with Section 13(d) of the Exchange Act, it being acknowledged by a Holder that the Company is not representing to such Holder that such calculation is in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45" w:name="page46"/>
    <w:bookmarkEnd w:id="45"/>
    <w:p>
      <w:pPr>
        <w:spacing w:after="0" w:line="286" w:lineRule="auto"/>
        <w:rPr>
          <w:sz w:val="20"/>
          <w:szCs w:val="20"/>
          <w:color w:val="auto"/>
        </w:rPr>
      </w:pPr>
      <w:r>
        <w:rPr>
          <w:rFonts w:ascii="Arial" w:cs="Arial" w:eastAsia="Arial" w:hAnsi="Arial"/>
          <w:sz w:val="16"/>
          <w:szCs w:val="16"/>
          <w:color w:val="auto"/>
        </w:rPr>
        <w:t xml:space="preserve">Section 13(d) of the Exchange Act and such Holder is solely responsible for any schedules or other filings required to be filed under the Exchange Act. To the extent that the limitation contained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applies, the determination of whether this Warrant is exercisable (in relation to other securities owned by such Holder) and of which a portion of this Warrant is exercisable shall be in the sole discretion of a Holder, and the submission of a Notice of Exercise shall be deemed to be each Holder’s determination of whether this Warrant is exercisable (in relation to other securities owned by such Holder) and of which portion of this Warrant is exercisable, in each case subject to such aggregate percentage limitation, and the Company shall be entitled to rely on the Holder’s determination and shall have no obligation to verify or confirm the accuracy of such determination. For purposes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in determining the number of outstanding shares of Common Stock, a Holder may rely on the number of outstanding shares of Common Stock as reflected in (x) the Company’s most recent Form 10-Q or Form 10-K, as the case may be, (y) a more recent public announcement by the Company or (z) any other notice by the Company or the Company’s Transfer Agent setting forth the number of shares of Common Stock outstanding. Upon the written or oral request of a Holder, the Company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Company, including this Warrant, by such Holder or its affiliates since the date as of which such number of outstanding shares of Common Stock was reported.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may be waived by such Holder, at the election of such Holder, upon not less than 61 days’ prior notice to the Company, and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continue to apply until such 61st day (or such later date, as determined by such Holder, as may be specified in such notice of waiver).</w:t>
      </w:r>
    </w:p>
    <w:p>
      <w:pPr>
        <w:spacing w:after="0" w:line="64" w:lineRule="exact"/>
        <w:rPr>
          <w:sz w:val="20"/>
          <w:szCs w:val="20"/>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COVENANTS AS TO EXERCISE SHARES</w:t>
      </w:r>
      <w:r>
        <w:rPr>
          <w:rFonts w:ascii="Arial" w:cs="Arial" w:eastAsia="Arial" w:hAnsi="Arial"/>
          <w:sz w:val="18"/>
          <w:szCs w:val="18"/>
          <w:color w:val="auto"/>
        </w:rPr>
        <w:t>. The Company covenants and agrees that all Exercise Shares that may be issued upon the exercise of the rights represented by this Warrant will, upon issuance, be validly issued and outstanding, fully paid and nonassessable, and free from all taxes, liens and charges with respect to the issuance thereof.</w:t>
      </w:r>
    </w:p>
    <w:p>
      <w:pPr>
        <w:spacing w:after="0" w:line="73"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further covenants and agrees that the Company will at all times during the Exercise Period, have authorized and reserved, free from preemptive rights, a sufficient number of shares of Common Stock to provide for the exercise of the rights represented by this Warrant. If at any time during the Exercise Period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8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and will at all times in good faith assist in the carrying out of all the provisions of this Warrant and in the taking of all such action as may be necessary or appropriate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protect the exercise rights of the Holder against impairment.</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NOTICES OF RECORD DATE AND CERTAIN OTHER EVENTS</w:t>
      </w:r>
      <w:r>
        <w:rPr>
          <w:rFonts w:ascii="Arial" w:cs="Arial" w:eastAsia="Arial" w:hAnsi="Arial"/>
          <w:sz w:val="16"/>
          <w:szCs w:val="16"/>
          <w:color w:val="auto"/>
        </w:rPr>
        <w:t>. In the event of any taking by the Company of a record of the holders of any class of securities for the purpose of determining the holders thereof who are entitled to receive any dividend or other distribution, the Company shall provide to the Holder, at least ten (10) days prior to the date on which any such record is to be taken for the purpose of such dividend or distribution, a notice specifying such date. In the event of any voluntary dissolution, liquidation or winding up of the Company, the Company shall provide to the Holder, at least ten (10) days prior to the date of the occurrence of any such event, a notice specifying such date. In the event the Company authorizes or approves, enters into any agreement contemplating, or solicits stockholder approval for any Fundamental Transaction, as defined in Section 6 herein, the Company shall provide to the Holder, at least ten (10) days prior to the date of the occurrence of such Fundamental Transaction, a notice specifying such date. Notwithstanding the foregoing, the failure to deliver such notice or any defect therein shall not affect the validity of the corporate action required to be described in such notice.</w:t>
      </w:r>
    </w:p>
    <w:p>
      <w:pPr>
        <w:spacing w:after="0" w:line="58" w:lineRule="exact"/>
        <w:rPr>
          <w:sz w:val="20"/>
          <w:szCs w:val="20"/>
          <w:color w:val="auto"/>
        </w:rPr>
      </w:pPr>
    </w:p>
    <w:p>
      <w:pPr>
        <w:ind w:left="420" w:hanging="187"/>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EXERCISE SHARES</w:t>
      </w:r>
      <w:r>
        <w:rPr>
          <w:rFonts w:ascii="Arial" w:cs="Arial" w:eastAsia="Arial" w:hAnsi="Arial"/>
          <w:sz w:val="18"/>
          <w:szCs w:val="18"/>
          <w:color w:val="auto"/>
        </w:rPr>
        <w:t>.</w:t>
      </w:r>
    </w:p>
    <w:p>
      <w:pPr>
        <w:spacing w:after="0" w:line="117" w:lineRule="exact"/>
        <w:rPr>
          <w:sz w:val="20"/>
          <w:szCs w:val="20"/>
          <w:color w:val="auto"/>
        </w:rPr>
      </w:pPr>
    </w:p>
    <w:p>
      <w:pPr>
        <w:ind w:right="80" w:firstLine="233"/>
        <w:spacing w:after="0" w:line="291" w:lineRule="auto"/>
        <w:tabs>
          <w:tab w:leader="none" w:pos="470"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the Company, at any time while this Warrant is outstanding, (i) pays a stock dividend on its Common Stock or otherwise makes a distribution on any class of capital stock that is payable in shares of Common Stock, (ii) subdivides outstanding shares of Common Stock into a larger number of shares, or</w:t>
      </w:r>
    </w:p>
    <w:p>
      <w:pPr>
        <w:ind w:left="320" w:hanging="312"/>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combines outstanding shares of Common Stock into a smaller number of shares, then in each such case the Exercise Price shall be multiplied by a</w:t>
      </w:r>
    </w:p>
    <w:p>
      <w:pPr>
        <w:spacing w:after="0" w:line="20" w:lineRule="exact"/>
        <w:rPr>
          <w:rFonts w:ascii="Arial" w:cs="Arial" w:eastAsia="Arial" w:hAnsi="Arial"/>
          <w:sz w:val="17"/>
          <w:szCs w:val="17"/>
          <w:color w:val="auto"/>
        </w:rPr>
      </w:pPr>
    </w:p>
    <w:p>
      <w:pPr>
        <w:ind w:right="40"/>
        <w:spacing w:after="0" w:line="292" w:lineRule="auto"/>
        <w:rPr>
          <w:rFonts w:ascii="Arial" w:cs="Arial" w:eastAsia="Arial" w:hAnsi="Arial"/>
          <w:sz w:val="17"/>
          <w:szCs w:val="17"/>
          <w:color w:val="auto"/>
        </w:rPr>
      </w:pPr>
      <w:r>
        <w:rPr>
          <w:rFonts w:ascii="Arial" w:cs="Arial" w:eastAsia="Arial" w:hAnsi="Arial"/>
          <w:sz w:val="16"/>
          <w:szCs w:val="16"/>
          <w:color w:val="auto"/>
        </w:rPr>
        <w:t>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The form of this Warrant need not be changed because of any adjustment in the number of Exercise Shares subject to this Warrant.</w:t>
      </w:r>
    </w:p>
    <w:p>
      <w:pPr>
        <w:spacing w:after="0" w:line="54" w:lineRule="exact"/>
        <w:rPr>
          <w:rFonts w:ascii="Arial" w:cs="Arial" w:eastAsia="Arial" w:hAnsi="Arial"/>
          <w:sz w:val="17"/>
          <w:szCs w:val="17"/>
          <w:color w:val="auto"/>
        </w:rPr>
      </w:pPr>
    </w:p>
    <w:p>
      <w:pPr>
        <w:ind w:right="40" w:firstLine="233"/>
        <w:spacing w:after="0" w:line="290" w:lineRule="auto"/>
        <w:tabs>
          <w:tab w:leader="none" w:pos="4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If the Company, at any time while this Warrant is outstanding, distributes to holders of Common Stock, (i) 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 (other than a dividend or distribution covered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(ii) any cash paid or payable otherwise than as a cash dividend; or (iii) any other asset, then and in each such case, the Holder hereof will,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(ii) and (iii) above) which such Holder would hold on the date of such exercise had such Holder been the holder of record of such Common Stock as of the date on which holders of Common Stock received or became entitled to receive such shares or all other additional stock and other securities and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left="-233" w:right="40" w:firstLine="233"/>
        <w:spacing w:after="0" w:line="276" w:lineRule="auto"/>
        <w:tabs>
          <w:tab w:leader="none" w:pos="237"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Upon the occurrence of each adjustment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Company at its expense will, at the written request of the Holder, promptly compute such adjustment in accordance with the terms of this Warrant and prepare a certificate setting forth such adjustment, including a statement of the adjusted Exercise Price and adjusted number or type of Exercise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64" w:lineRule="exact"/>
        <w:rPr>
          <w:sz w:val="20"/>
          <w:szCs w:val="20"/>
          <w:color w:val="auto"/>
        </w:rPr>
      </w:pPr>
    </w:p>
    <w:p>
      <w:pPr>
        <w:ind w:left="-233" w:right="60" w:firstLine="233"/>
        <w:spacing w:after="0" w:line="257" w:lineRule="auto"/>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upon the exercise of this Warrant as a consequence of any adjustment pursuant hereto. All Exercise Shares (including fractions) issuable upon exercise of this Warrant may be aggregated for purposes of determining whether the exercise would result in the issuance of any fractional share. If, after aggregation, the exercise would result in the issuance of a fractional share, the Company shall, in lieu of issuance of any fractional share, pay the Holder otherwise entitled to such fraction a sum in cash equal to the product resulting from multiplying the then current fair market value of an Exercise Share by such fraction.</w:t>
      </w:r>
    </w:p>
    <w:p>
      <w:pPr>
        <w:spacing w:after="0" w:line="80" w:lineRule="exact"/>
        <w:rPr>
          <w:rFonts w:ascii="Arial" w:cs="Arial" w:eastAsia="Arial" w:hAnsi="Arial"/>
          <w:sz w:val="18"/>
          <w:szCs w:val="18"/>
          <w:color w:val="auto"/>
        </w:rPr>
      </w:pPr>
    </w:p>
    <w:p>
      <w:pPr>
        <w:ind w:left="-233" w:firstLine="233"/>
        <w:spacing w:after="0" w:line="267" w:lineRule="auto"/>
        <w:tabs>
          <w:tab w:leader="none" w:pos="17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xml:space="preserve">. If, at any time while this Warrant is outstanding, (i) the Company effects any merger or consolidation of the Company with or into another entity, in which the shareholders of the Company as of immediately prior to the transaction own less than a majority of the outstanding stock of the surviving entity, (ii) any tender offer or exchange offer (whether by the Company or another person or entity) is completed pursuant to which the holders of more than the 50% of the outstanding shares of Common Stock (not including any shares of Common Stock held by the person or persons making or party to, or associated or affiliated with the Persons making or party to, such purchase, tender or exchange offer) are permitted to tender or exchange their shares for other securities, cash or property, or (iii) the Company effects any sale of all or substantially all of its assets in one or a series of related transactions, or (iv)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above), (v) the Company consummates a stock purchase agreement or other business combination (including, without limitation, a reorganization, recapitalization, spin-off or scheme of arrangement) with another person whereby such other person acquires more than the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(vi) any “person” or “group” (as these terms are used for purposes of Sections 13(d) and 14(d) of the Securities Exchange Act of 1934, as amended) becomes the “beneficial owner” (as defined in Rule 13d-3 under the Securities Exchange Act of 1934, as amended), directly or indirectly, of 50% of the aggregate ordinary voting power represented by issued and outstanding Common Stock (each, a “</w:t>
      </w:r>
      <w:r>
        <w:rPr>
          <w:rFonts w:ascii="Arial" w:cs="Arial" w:eastAsia="Arial" w:hAnsi="Arial"/>
          <w:sz w:val="17"/>
          <w:szCs w:val="17"/>
          <w:b w:val="1"/>
          <w:bCs w:val="1"/>
          <w:color w:val="auto"/>
        </w:rPr>
        <w:t>Fundamental Transaction</w:t>
      </w:r>
      <w:r>
        <w:rPr>
          <w:rFonts w:ascii="Arial" w:cs="Arial" w:eastAsia="Arial" w:hAnsi="Arial"/>
          <w:sz w:val="17"/>
          <w:szCs w:val="17"/>
          <w:color w:val="auto"/>
        </w:rPr>
        <w:t>”), the Holder shall have the right thereafter to receive, upon exercise of this Warrant, the same amount and kind of securities, cash or property as it would have been entitled to receive upon the occurrence of such Fundamental Transaction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386715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48" w:name="page49"/>
    <w:bookmarkEnd w:id="48"/>
    <w:p>
      <w:pPr>
        <w:ind w:right="20"/>
        <w:spacing w:after="0" w:line="286" w:lineRule="auto"/>
        <w:rPr>
          <w:sz w:val="20"/>
          <w:szCs w:val="20"/>
          <w:color w:val="auto"/>
        </w:rPr>
      </w:pPr>
      <w:r>
        <w:rPr>
          <w:rFonts w:ascii="Arial" w:cs="Arial" w:eastAsia="Arial" w:hAnsi="Arial"/>
          <w:sz w:val="16"/>
          <w:szCs w:val="16"/>
          <w:color w:val="auto"/>
        </w:rPr>
        <w:t>it had been, immediately prior to such Fundamental Transaction, the holder of the number of Exercise Shares then issuable upon exercise in full of this Warrant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into Alternate Consideration. In lieu of the Alternate Consideration, the Holder shall have the right to require the Company to redeem this Warrant, for a purchase price, payable in cash on the closing date of such Fundamental Transaction, equal to the Black Scholes Value of the remaining unexercised portion of this Warrant on the closing date of such Fundamental Transaction. “</w:t>
      </w:r>
      <w:r>
        <w:rPr>
          <w:rFonts w:ascii="Arial" w:cs="Arial" w:eastAsia="Arial" w:hAnsi="Arial"/>
          <w:sz w:val="16"/>
          <w:szCs w:val="16"/>
          <w:b w:val="1"/>
          <w:bCs w:val="1"/>
          <w:color w:val="auto"/>
        </w:rPr>
        <w:t>Black Scholes Value</w:t>
      </w:r>
      <w:r>
        <w:rPr>
          <w:rFonts w:ascii="Arial" w:cs="Arial" w:eastAsia="Arial" w:hAnsi="Arial"/>
          <w:sz w:val="16"/>
          <w:szCs w:val="16"/>
          <w:color w:val="auto"/>
        </w:rPr>
        <w:t xml:space="preserve">” means the value of this Warrant based on the Black and Scholes Option Pricing Model obtained from the “OV” function on Bloomberg determined as of the day immediately following the public announcement of the applicable Fundamental Transaction and reflecting (i) a risk-free interest rate corresponding to the U.S. Treasury rate for a period equal to the remaining term of this Warrant as of such date, (ii) an expected volatility equal to the lesser of (x) 60-day volatility or (y) 100-day volatility, in each case obtained from the HVT function on Bloomberg, provided however, the expected volatility used to calculate such value shall not exceed eighty (80%) percent and (iii) an underlying price per share used in such calculation equal to the sum of the price per share being offered in cash, if any, plus the value of any non-cash consideration, if any, being offered in the Fundamental Transaction. The terms of any agreement pursuant to which a Fundamental Transaction is effected shall include terms requiring any such successor or surviving entity to comply with the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ensuring that this Warrant (or any such replacement security) will be similarly adjusted upon any subsequent transaction analogous to a Fundamental Transaction.</w:t>
      </w:r>
    </w:p>
    <w:p>
      <w:pPr>
        <w:spacing w:after="0" w:line="64" w:lineRule="exact"/>
        <w:rPr>
          <w:sz w:val="20"/>
          <w:szCs w:val="20"/>
          <w:color w:val="auto"/>
        </w:rPr>
      </w:pPr>
    </w:p>
    <w:p>
      <w:pPr>
        <w:ind w:right="20" w:firstLine="233"/>
        <w:spacing w:after="0" w:line="290" w:lineRule="auto"/>
        <w:tabs>
          <w:tab w:leader="none" w:pos="40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STOCKHOLDER RIGHTS</w:t>
      </w:r>
      <w:r>
        <w:rPr>
          <w:rFonts w:ascii="Arial" w:cs="Arial" w:eastAsia="Arial" w:hAnsi="Arial"/>
          <w:sz w:val="16"/>
          <w:szCs w:val="16"/>
          <w:color w:val="auto"/>
        </w:rPr>
        <w:t xml:space="preserve">. Other than as provided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otherwise herein, the Holder, solely in such Holder’s capacity as a holder of this Warrant, shall not be entitled to vote or receive dividends or be deemed the holder of share capital of the Company for any purpose, nor shall anything contained in this Warrant be construed to confer upon the Holder, solely in such Holder’s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Exercise Shares which such Holder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58" w:lineRule="exact"/>
        <w:rPr>
          <w:rFonts w:ascii="Arial" w:cs="Arial" w:eastAsia="Arial" w:hAnsi="Arial"/>
          <w:sz w:val="16"/>
          <w:szCs w:val="16"/>
          <w:color w:val="auto"/>
        </w:rPr>
      </w:pPr>
    </w:p>
    <w:p>
      <w:pPr>
        <w:ind w:firstLine="233"/>
        <w:spacing w:after="0" w:line="257" w:lineRule="auto"/>
        <w:tabs>
          <w:tab w:leader="none" w:pos="40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Subject to compliance with any applicable laws, this Warrant and all rights hereunder are transferable, by the Holder in person or by duly authorized attorney, upon delivery of this Warrant and the form of assignment attached hereto to any transferee designated by Holder. If this Warrant is to be transferred, the Holder shall surrender this Warrant to the Company, whereupon the Company will forthwith issue and deliver upon the order of the Holder a new Warrant (in accordance with Section 2.3), registered as the Holder may request, representing the right to purchase the number of Exercise Shares being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right="500"/>
        <w:spacing w:after="0" w:line="277" w:lineRule="auto"/>
        <w:rPr>
          <w:sz w:val="20"/>
          <w:szCs w:val="20"/>
          <w:color w:val="auto"/>
        </w:rPr>
      </w:pPr>
      <w:r>
        <w:rPr>
          <w:rFonts w:ascii="Arial" w:cs="Arial" w:eastAsia="Arial" w:hAnsi="Arial"/>
          <w:sz w:val="18"/>
          <w:szCs w:val="18"/>
          <w:color w:val="auto"/>
        </w:rPr>
        <w:t>by the Holder and, if less then the total number of Exercise Shares then underlying this Warrant is being transferred, a new Warrant (in accordance with Section 2.3) to the Holder representing the right to purchase the number of Exercise Shares not being transferred.</w:t>
      </w:r>
    </w:p>
    <w:p>
      <w:pPr>
        <w:spacing w:after="0" w:line="62" w:lineRule="exact"/>
        <w:rPr>
          <w:sz w:val="20"/>
          <w:szCs w:val="20"/>
          <w:color w:val="auto"/>
        </w:rPr>
      </w:pPr>
    </w:p>
    <w:p>
      <w:pPr>
        <w:jc w:val="both"/>
        <w:ind w:firstLine="233"/>
        <w:spacing w:after="0" w:line="264" w:lineRule="auto"/>
        <w:tabs>
          <w:tab w:leader="none" w:pos="4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LOST, STOLEN, MUTILATED OR DESTROYED WARRANT</w:t>
      </w:r>
      <w:r>
        <w:rPr>
          <w:rFonts w:ascii="Arial" w:cs="Arial" w:eastAsia="Arial" w:hAnsi="Arial"/>
          <w:sz w:val="18"/>
          <w:szCs w:val="18"/>
          <w:color w:val="auto"/>
        </w:rPr>
        <w:t>. If this Warrant is lost, stolen, mutilated or destroyed, the Company may, on such terms as to reasonable bond and indemnity or otherwise as it may reasonably impose (which shall, in the case of a mutilated Warrant, include the surrender thereof), issue a new Warrant of like denomination and tenor as this Warrant so lost, stolen, mutilated or destroyed.</w:t>
      </w:r>
    </w:p>
    <w:p>
      <w:pPr>
        <w:spacing w:after="0" w:line="73" w:lineRule="exact"/>
        <w:rPr>
          <w:rFonts w:ascii="Arial" w:cs="Arial" w:eastAsia="Arial" w:hAnsi="Arial"/>
          <w:sz w:val="18"/>
          <w:szCs w:val="18"/>
          <w:color w:val="auto"/>
        </w:rPr>
      </w:pPr>
    </w:p>
    <w:p>
      <w:pPr>
        <w:ind w:right="20" w:firstLine="233"/>
        <w:spacing w:after="0" w:line="287" w:lineRule="auto"/>
        <w:tabs>
          <w:tab w:leader="none" w:pos="49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In the case of a dispute as to the determination of the Exercise Price or the arithmetic calculation of the Exercise Shares, the Company shall promptly issue to the Holder the number of Exercise Shares that are not disputed and resolve such dispute in accordance with this </w:t>
      </w:r>
      <w:r>
        <w:rPr>
          <w:rFonts w:ascii="Arial" w:cs="Arial" w:eastAsia="Arial" w:hAnsi="Arial"/>
          <w:sz w:val="16"/>
          <w:szCs w:val="16"/>
          <w:u w:val="single" w:color="auto"/>
          <w:color w:val="auto"/>
        </w:rPr>
        <w:t>Section 10</w:t>
      </w:r>
      <w:r>
        <w:rPr>
          <w:rFonts w:ascii="Arial" w:cs="Arial" w:eastAsia="Arial" w:hAnsi="Arial"/>
          <w:sz w:val="16"/>
          <w:szCs w:val="16"/>
          <w:color w:val="auto"/>
        </w:rPr>
        <w:t>. In the case of a dispute as to the determination of the Exercise Price or the arithmetic calculation of the Exercise Shares, the Company shall provide notice to the Holder of the disputed determinations or arithmetic calculations within two Trading Days of receipt of the Notice of Exercise giving rise to such dispute, as the case may be. If the Holder and the Company are unable to agree upon such determination or calculation of the Exercise Price or the Exercise Shares within three Trading Days of such disputed determination or arithmetic calculation being submitted to the Holder, then the Company shall, within two Trading Days provide submit (a) the disputed determination of the Exercise Price to an independent, reputable investment bank selected by the Company and approved by the Holder or (b) the disputed arithmetic calculation of the Exercise Shares to the Company’s independent, outside accountant. The Company shall cause at its expense the investment bank or the accountant, as the case may be, to perform the determinations or calculations and notify the Company and the Holder of the results no later than ten Trading Days from the time it receives the disputed determinations or calculations. Such investment bank’s or accountant’s determination or calculation, as the case may be, shall be binding upon all parties absent demonstrable error.</w:t>
      </w:r>
    </w:p>
    <w:p>
      <w:pPr>
        <w:spacing w:after="0" w:line="64" w:lineRule="exact"/>
        <w:rPr>
          <w:rFonts w:ascii="Arial" w:cs="Arial" w:eastAsia="Arial" w:hAnsi="Arial"/>
          <w:sz w:val="16"/>
          <w:szCs w:val="16"/>
          <w:color w:val="auto"/>
        </w:rPr>
      </w:pPr>
    </w:p>
    <w:p>
      <w:pPr>
        <w:ind w:firstLine="233"/>
        <w:spacing w:after="0" w:line="293" w:lineRule="auto"/>
        <w:tabs>
          <w:tab w:leader="none" w:pos="48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All notices required or permitted hereunder shall be in writing and shall be deemed effectively given: (a) upon personal delivery to the party to be notified, (b) when sent by confirmed telex or facsimile if sent during normal business hours of the recipient, if not, then on the next Trading Day, (c) five days after having been sent by registered or certified mail, return receipt requested, postage prepaid, or (d) one day after deposit with a nationally recognized overnight courier, specifying next day delivery, with written verification of receipt. All communications shall be sent to the Company at the address listed on the signature page hereto and to Holder at the applicable address set forth on the applicable signature page to the Subscription Agreement or at such other address as the Company or Holder may designate by ten (10) days advance written notice to the other parties hereto.</w:t>
      </w:r>
    </w:p>
    <w:p>
      <w:pPr>
        <w:spacing w:after="0" w:line="56" w:lineRule="exact"/>
        <w:rPr>
          <w:rFonts w:ascii="Arial" w:cs="Arial" w:eastAsia="Arial" w:hAnsi="Arial"/>
          <w:sz w:val="16"/>
          <w:szCs w:val="16"/>
          <w:color w:val="auto"/>
        </w:rPr>
      </w:pPr>
    </w:p>
    <w:p>
      <w:pPr>
        <w:ind w:left="500" w:hanging="267"/>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Receipt of this Warrant by the Holder shall constitute acceptance of and agreement to all of the terms and conditions contained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herein.</w:t>
      </w:r>
    </w:p>
    <w:p>
      <w:pPr>
        <w:spacing w:after="0" w:line="102" w:lineRule="exact"/>
        <w:rPr>
          <w:rFonts w:ascii="Arial" w:cs="Arial" w:eastAsia="Arial" w:hAnsi="Arial"/>
          <w:sz w:val="17"/>
          <w:szCs w:val="17"/>
          <w:color w:val="auto"/>
        </w:rPr>
      </w:pPr>
    </w:p>
    <w:p>
      <w:pPr>
        <w:ind w:right="100" w:firstLine="233"/>
        <w:spacing w:after="0" w:line="277"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This Warrant shall be governed by, and construed in accordance with, the laws of the State of New York. The Holder and the Company hereby submit to the non-exclusive jurisdiction of the Federal and state courts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spacing w:after="0" w:line="276" w:lineRule="auto"/>
        <w:rPr>
          <w:sz w:val="20"/>
          <w:szCs w:val="20"/>
          <w:color w:val="auto"/>
        </w:rPr>
      </w:pPr>
      <w:r>
        <w:rPr>
          <w:rFonts w:ascii="Arial" w:cs="Arial" w:eastAsia="Arial" w:hAnsi="Arial"/>
          <w:sz w:val="17"/>
          <w:szCs w:val="17"/>
          <w:color w:val="auto"/>
        </w:rPr>
        <w:t>Borough of Manhattan in The City of New York in any suit or proceeding arising out of or relating to this Agreement or the transactions contemplated thereby. The Holder and the Company irrevocably and unconditionally waive any objection to the laying of venue of any suit or proceeding arising out of or relating to this Warrant in Federal and state courts in the Borough of Manhattan in The City of New York and irrevocably and unconditionally waives and agrees not to plead or claim in any such court that any such suit or proceeding in any such court has been brought in an inconvenient forum. EACH OF THE COMPANY AND THE HOLDER HEREBY WAIVES ALL RIGHTS TO A TRIAL BY JURY.</w:t>
      </w:r>
    </w:p>
    <w:p>
      <w:pPr>
        <w:spacing w:after="0" w:line="64" w:lineRule="exact"/>
        <w:rPr>
          <w:sz w:val="20"/>
          <w:szCs w:val="20"/>
          <w:color w:val="auto"/>
        </w:rPr>
      </w:pPr>
    </w:p>
    <w:p>
      <w:pPr>
        <w:ind w:right="40" w:firstLine="233"/>
        <w:spacing w:after="0" w:line="302" w:lineRule="auto"/>
        <w:tabs>
          <w:tab w:leader="none" w:pos="4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AMENDMENT OR WAIVER</w:t>
      </w:r>
      <w:r>
        <w:rPr>
          <w:rFonts w:ascii="Arial" w:cs="Arial" w:eastAsia="Arial" w:hAnsi="Arial"/>
          <w:sz w:val="16"/>
          <w:szCs w:val="16"/>
          <w:color w:val="auto"/>
        </w:rPr>
        <w:t>. Any term of this Warrant may be amended or waived (either generally or in a particular instance and either retroactively or prospectively) with the written consent of the Company and the Holder. The Company shall give prompt written notice to the Holder of any amendment hereof or waiver hereunder that was effected without the Holder’s written consent. No waivers of any term, condition or provision of this Warrant, in any one or more instances, shall be deemed to be, or construed as, a further or continuing waiver of any such term, condition or provision.</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51" w:name="page52"/>
    <w:bookmarkEnd w:id="51"/>
    <w:p>
      <w:pPr>
        <w:spacing w:after="0"/>
        <w:tabs>
          <w:tab w:leader="none" w:pos="9240" w:val="left"/>
        </w:tabs>
        <w:rPr>
          <w:sz w:val="20"/>
          <w:szCs w:val="20"/>
          <w:color w:val="auto"/>
        </w:rPr>
      </w:pPr>
      <w:r>
        <w:rPr>
          <w:rFonts w:ascii="Arial" w:cs="Arial" w:eastAsia="Arial" w:hAnsi="Arial"/>
          <w:sz w:val="18"/>
          <w:szCs w:val="18"/>
          <w:color w:val="auto"/>
        </w:rPr>
        <w:t>IN WITNESS WHEREOF, the Company has caused this Warrant to be executed by its duly authorized officer as of</w:t>
      </w:r>
      <w:r>
        <w:rPr>
          <w:sz w:val="20"/>
          <w:szCs w:val="20"/>
          <w:color w:val="auto"/>
        </w:rPr>
        <w:tab/>
      </w:r>
      <w:r>
        <w:rPr>
          <w:rFonts w:ascii="Arial" w:cs="Arial" w:eastAsia="Arial" w:hAnsi="Arial"/>
          <w:sz w:val="16"/>
          <w:szCs w:val="16"/>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-10160</wp:posOffset>
            </wp:positionV>
            <wp:extent cx="571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p>
      <w:pPr>
        <w:spacing w:after="0" w:line="22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14605</wp:posOffset>
            </wp:positionV>
            <wp:extent cx="25298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3155 Porter Drive</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Palo Alto, CA 94304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405765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type w:val="continuous"/>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NOTICE OF EXERCISE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STEMCELLS, INC.</w:t>
      </w:r>
    </w:p>
    <w:p>
      <w:pPr>
        <w:spacing w:after="0" w:line="113" w:lineRule="exact"/>
        <w:rPr>
          <w:sz w:val="20"/>
          <w:szCs w:val="20"/>
          <w:color w:val="auto"/>
        </w:rPr>
      </w:pPr>
    </w:p>
    <w:p>
      <w:pPr>
        <w:ind w:firstLine="233"/>
        <w:spacing w:after="0" w:line="26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 The undersigned registered holder hereby elects to purchase [ ] shares of the common stock, par value $0.01 (the “</w:t>
      </w:r>
      <w:r>
        <w:rPr>
          <w:rFonts w:ascii="Arial" w:cs="Arial" w:eastAsia="Arial" w:hAnsi="Arial"/>
          <w:sz w:val="18"/>
          <w:szCs w:val="18"/>
          <w:b w:val="1"/>
          <w:bCs w:val="1"/>
          <w:color w:val="auto"/>
        </w:rPr>
        <w:t>Common Stock</w:t>
      </w:r>
      <w:r>
        <w:rPr>
          <w:rFonts w:ascii="Arial" w:cs="Arial" w:eastAsia="Arial" w:hAnsi="Arial"/>
          <w:sz w:val="18"/>
          <w:szCs w:val="18"/>
          <w:color w:val="auto"/>
        </w:rPr>
        <w:t>”), of STEMCELLS,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pursuant to the terms of the attached Warrant, and tenders herewith payment of the exercise price in full, together with all applicable transfer taxes, if any, subject to the limitations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of the Warrant.</w:t>
      </w:r>
    </w:p>
    <w:p>
      <w:pPr>
        <w:spacing w:after="0" w:line="72"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 xml:space="preserve">o The undersigned hereby elects to purchase [ ] shares of Common Stock of the Company pursuant to the terms of the net exercise provisions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attached Warrant, and shall tender payment of all applicable transfer taxes, if 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Please issue the certificate for shares of Common Stock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246380</wp:posOffset>
            </wp:positionV>
            <wp:extent cx="21697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Print or type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246380</wp:posOffset>
            </wp:positionV>
            <wp:extent cx="21697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246380</wp:posOffset>
            </wp:positionV>
            <wp:extent cx="21697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246380</wp:posOffset>
            </wp:positionV>
            <wp:extent cx="21697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City State Zip Code</w:t>
      </w:r>
    </w:p>
    <w:p>
      <w:pPr>
        <w:spacing w:after="0" w:line="117" w:lineRule="exact"/>
        <w:rPr>
          <w:sz w:val="20"/>
          <w:szCs w:val="20"/>
          <w:color w:val="auto"/>
        </w:rPr>
      </w:pPr>
    </w:p>
    <w:p>
      <w:pPr>
        <w:ind w:right="100" w:firstLine="233"/>
        <w:spacing w:after="0" w:line="277"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such number of shares shall not be all the shares purchasable upon the exercise of the Warrants evidenced by this Warrant, a new warrant certificate for the balance of such Warrants remaining unexercised shall be registered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434340</wp:posOffset>
            </wp:positionV>
            <wp:extent cx="21697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Print or type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246380</wp:posOffset>
            </wp:positionV>
            <wp:extent cx="2169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53" w:name="page54"/>
    <w:bookmarkEnd w:id="53"/>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2704465</wp:posOffset>
            </wp:positionH>
            <wp:positionV relativeFrom="page">
              <wp:posOffset>740410</wp:posOffset>
            </wp:positionV>
            <wp:extent cx="21697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9795" cy="8890"/>
                    </a:xfrm>
                    <a:prstGeom prst="rect">
                      <a:avLst/>
                    </a:prstGeom>
                    <a:noFill/>
                  </pic:spPr>
                </pic:pic>
              </a:graphicData>
            </a:graphic>
          </wp:anchor>
        </w:drawing>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246380</wp:posOffset>
            </wp:positionV>
            <wp:extent cx="21697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City State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7665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31216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246380</wp:posOffset>
            </wp:positionV>
            <wp:extent cx="31216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79" w:right="1440" w:bottom="1440" w:gutter="0" w:footer="0" w:header="0"/>
        </w:sectPr>
      </w:pPr>
    </w:p>
    <w:bookmarkStart w:id="54" w:name="page55"/>
    <w:bookmarkEnd w:id="54"/>
    <w:p>
      <w:pPr>
        <w:ind w:left="4820"/>
        <w:spacing w:after="0"/>
        <w:rPr>
          <w:sz w:val="20"/>
          <w:szCs w:val="20"/>
          <w:color w:val="auto"/>
        </w:rPr>
      </w:pPr>
      <w:r>
        <w:rPr>
          <w:rFonts w:ascii="Arial" w:cs="Arial" w:eastAsia="Arial" w:hAnsi="Arial"/>
          <w:sz w:val="18"/>
          <w:szCs w:val="18"/>
          <w:b w:val="1"/>
          <w:bCs w:val="1"/>
          <w:color w:val="auto"/>
        </w:rPr>
        <w:t>ASSIGNMENT FORM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assign the foregoing Warrant, execute this form and supply required information. Do not use this form to purchase shares.)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Dated:</w:t>
        <w:tab/>
        <w:t>, 200[ ]</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14605</wp:posOffset>
            </wp:positionV>
            <wp:extent cx="2992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14605</wp:posOffset>
            </wp:positionV>
            <wp:extent cx="29927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w:t>
      </w:r>
    </w:p>
    <w:p>
      <w:pPr>
        <w:sectPr>
          <w:pgSz w:w="11900" w:h="16838" w:orient="portrait"/>
          <w:cols w:equalWidth="0" w:num="1">
            <w:col w:w="11240"/>
          </w:cols>
          <w:pgMar w:left="240" w:top="959" w:right="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28,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94394</w:t>
      </w:r>
    </w:p>
    <w:p>
      <w:pPr>
        <w:spacing w:after="0" w:line="211" w:lineRule="exact"/>
        <w:rPr>
          <w:sz w:val="20"/>
          <w:szCs w:val="20"/>
          <w:color w:val="auto"/>
        </w:rPr>
      </w:pPr>
    </w:p>
    <w:p>
      <w:pPr>
        <w:ind w:left="600" w:right="240" w:hanging="359"/>
        <w:spacing w:after="0" w:line="277" w:lineRule="auto"/>
        <w:tabs>
          <w:tab w:leader="none" w:pos="580" w:val="left"/>
        </w:tabs>
        <w:rPr>
          <w:sz w:val="20"/>
          <w:szCs w:val="20"/>
          <w:color w:val="auto"/>
        </w:rPr>
      </w:pPr>
      <w:r>
        <w:rPr>
          <w:rFonts w:ascii="Arial" w:cs="Arial" w:eastAsia="Arial" w:hAnsi="Arial"/>
          <w:sz w:val="18"/>
          <w:szCs w:val="18"/>
          <w:color w:val="auto"/>
        </w:rPr>
        <w:t>Re:</w:t>
        <w:tab/>
        <w:t>Registration Statement on Form S-3 (Registration No. 333-151891), initially filed on June 24, 2008 with the Securities and Exchange Commission (the “Commission”) and declared effective on July 18,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opinion is furnished to you in connection with the above-referenced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dated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July 18, 2008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and the preliminary prospectus supplement dated October 28, 2009 (together with the Base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The Prospectus relates to the offering by StemCells, Inc. (the “</w:t>
      </w:r>
      <w:r>
        <w:rPr>
          <w:rFonts w:ascii="Arial" w:cs="Arial" w:eastAsia="Arial" w:hAnsi="Arial"/>
          <w:sz w:val="16"/>
          <w:szCs w:val="16"/>
          <w:u w:val="single" w:color="auto"/>
          <w:color w:val="auto"/>
        </w:rPr>
        <w:t>Company</w:t>
      </w:r>
      <w:r>
        <w:rPr>
          <w:rFonts w:ascii="Arial" w:cs="Arial" w:eastAsia="Arial" w:hAnsi="Arial"/>
          <w:sz w:val="16"/>
          <w:szCs w:val="16"/>
          <w:color w:val="auto"/>
        </w:rPr>
        <w:t>”) of (i) 10,000,000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4,000,000 shares of the Common Stock (the “</w:t>
      </w:r>
      <w:r>
        <w:rPr>
          <w:rFonts w:ascii="Arial" w:cs="Arial" w:eastAsia="Arial" w:hAnsi="Arial"/>
          <w:sz w:val="16"/>
          <w:szCs w:val="16"/>
          <w:u w:val="single" w:color="auto"/>
          <w:color w:val="auto"/>
        </w:rPr>
        <w:t>Warrant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Shares</w:t>
      </w:r>
      <w:r>
        <w:rPr>
          <w:rFonts w:ascii="Arial" w:cs="Arial" w:eastAsia="Arial" w:hAnsi="Arial"/>
          <w:sz w:val="15"/>
          <w:szCs w:val="15"/>
          <w:color w:val="auto"/>
        </w:rPr>
        <w:t>”), which Shares, Warrants and Warrant Shares are covered by the Registration Statement. We understand that the Shares, Warrants and Warrant Shares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are to be offered and sold in the manner described in the Prospectus.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acted as counsel for the Company in connection with the issuance of the Shares, Warrants and Warrant Shares. For purposes of this opinion, we have examined and relied upon such documents, records, certificates and other instruments as we have deemed necessary.</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opinions expressed below are limited to the Delaware General Corporation Law, including the applicable provisions of the Delaware Constitution and the reported cases interpreting those laws.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upon and subject to the foregoing, we are of the opinion that (i) the Shares, when sold as described in the Prospectus, will be duly authorized, validly issued, fully paid and non-assessable, (ii) provided that the Warrants have been duly executed and delivered by the Company and duly delivered to the purchasers thereof against payment therefor, then the Warrants, when issued and sold as described in the Prospectus,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tabs>
          <w:tab w:leader="none" w:pos="5560" w:val="left"/>
          <w:tab w:leader="none" w:pos="10140" w:val="left"/>
        </w:tabs>
        <w:rPr>
          <w:sz w:val="20"/>
          <w:szCs w:val="20"/>
          <w:color w:val="auto"/>
        </w:rPr>
      </w:pPr>
      <w:r>
        <w:rPr>
          <w:rFonts w:ascii="Arial" w:cs="Arial" w:eastAsia="Arial" w:hAnsi="Arial"/>
          <w:sz w:val="18"/>
          <w:szCs w:val="18"/>
          <w:color w:val="auto"/>
        </w:rPr>
        <w:t>StemCells,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October 28, 2009</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proceeding at law or in equity) and implied covenants of good faith and fair dealing, and (iii) the Warrant Shares, when issued and sold as described in the Prospectus, will be duly authorized, validly issued, fully paid and non-assessable.</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hereby consent to your filing this opinion as an exhibit to a Current Report on Form 8-K to be incorporated by reference in the Registration Statement and to the use of our name under the caption “Legal Matters” in the Prospectus contained therein. Our consent shall not be deemed an admission that we are experts whose consent is required under Section 7 of the Securities Act of 1933, as amended, or the rules and regulations of the Commission thereunder.</w:t>
      </w:r>
    </w:p>
    <w:p>
      <w:pPr>
        <w:spacing w:after="0" w:line="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opinion may be used only in connection with the offer and sale of the Shares, Warrants and Warrant Shares while the Registration Statement remains effective.</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Ropes &amp; Gray LLP</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1420"/>
          </w:cols>
          <w:pgMar w:left="240" w:top="115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Subscription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The undersigned,</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Investor</w:t>
      </w:r>
      <w:r>
        <w:rPr>
          <w:rFonts w:ascii="Arial" w:cs="Arial" w:eastAsia="Arial" w:hAnsi="Arial"/>
          <w:sz w:val="16"/>
          <w:szCs w:val="16"/>
          <w:color w:val="auto"/>
        </w:rPr>
        <w:t>”), hereby confirms its agreement with you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-10160</wp:posOffset>
            </wp:positionV>
            <wp:extent cx="1143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right="360" w:firstLine="233"/>
        <w:spacing w:after="0" w:line="277" w:lineRule="auto"/>
        <w:tabs>
          <w:tab w:leader="none" w:pos="4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Subscription Agreement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made as of October 28, 2009 between StemCells,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Investor.</w:t>
      </w:r>
    </w:p>
    <w:p>
      <w:pPr>
        <w:spacing w:after="0" w:line="62" w:lineRule="exact"/>
        <w:rPr>
          <w:rFonts w:ascii="Arial" w:cs="Arial" w:eastAsia="Arial" w:hAnsi="Arial"/>
          <w:sz w:val="18"/>
          <w:szCs w:val="18"/>
          <w:color w:val="auto"/>
        </w:rPr>
      </w:pPr>
    </w:p>
    <w:p>
      <w:pPr>
        <w:ind w:right="220" w:firstLine="233"/>
        <w:spacing w:after="0" w:line="297" w:lineRule="auto"/>
        <w:tabs>
          <w:tab w:leader="none" w:pos="4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and the Investor have agreed that the Investor will purchase from the Company and the Company will issue and sell to the Investor 5,000,000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 purchase price of $1.25 per Share, or an aggregate purchase price of $6,250,000.00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In addition, the Company will issue and sell to each Investor a warrant to purchase 2,000,000 shares of the Company’s Common Stock issued to such Investor, in substantially the form attached hereto as </w:t>
      </w:r>
      <w:r>
        <w:rPr>
          <w:rFonts w:ascii="Arial" w:cs="Arial" w:eastAsia="Arial" w:hAnsi="Arial"/>
          <w:sz w:val="16"/>
          <w:szCs w:val="16"/>
          <w:b w:val="1"/>
          <w:bCs w:val="1"/>
          <w:color w:val="auto"/>
        </w:rPr>
        <w:t>Annex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Warrants</w:t>
      </w:r>
      <w:r>
        <w:rPr>
          <w:rFonts w:ascii="Arial" w:cs="Arial" w:eastAsia="Arial" w:hAnsi="Arial"/>
          <w:sz w:val="16"/>
          <w:szCs w:val="16"/>
          <w:color w:val="auto"/>
        </w:rPr>
        <w:t>”). The Shares and the Warrants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Investor acknowledges that the offering of the Securities is not a firm commitment underwriting.</w:t>
      </w:r>
    </w:p>
    <w:p>
      <w:pPr>
        <w:spacing w:after="0" w:line="50" w:lineRule="exact"/>
        <w:rPr>
          <w:rFonts w:ascii="Arial" w:cs="Arial" w:eastAsia="Arial" w:hAnsi="Arial"/>
          <w:sz w:val="16"/>
          <w:szCs w:val="16"/>
          <w:color w:val="auto"/>
        </w:rPr>
      </w:pPr>
    </w:p>
    <w:p>
      <w:pPr>
        <w:ind w:right="40" w:firstLine="233"/>
        <w:spacing w:after="0" w:line="271" w:lineRule="auto"/>
        <w:tabs>
          <w:tab w:leader="none" w:pos="40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offering and sale of the Securities (the “</w:t>
      </w:r>
      <w:r>
        <w:rPr>
          <w:rFonts w:ascii="Arial" w:cs="Arial" w:eastAsia="Arial" w:hAnsi="Arial"/>
          <w:sz w:val="17"/>
          <w:szCs w:val="17"/>
          <w:u w:val="single" w:color="auto"/>
          <w:color w:val="auto"/>
        </w:rPr>
        <w:t>Offering</w:t>
      </w:r>
      <w:r>
        <w:rPr>
          <w:rFonts w:ascii="Arial" w:cs="Arial" w:eastAsia="Arial" w:hAnsi="Arial"/>
          <w:sz w:val="17"/>
          <w:szCs w:val="17"/>
          <w:color w:val="auto"/>
        </w:rPr>
        <w:t>”) are being made pursuant to (i) an effective Registration Statement on Form S-3 (including the Prospectus contained therein dated July 18, 2008 (the “</w:t>
      </w:r>
      <w:r>
        <w:rPr>
          <w:rFonts w:ascii="Arial" w:cs="Arial" w:eastAsia="Arial" w:hAnsi="Arial"/>
          <w:sz w:val="17"/>
          <w:szCs w:val="17"/>
          <w:u w:val="single" w:color="auto"/>
          <w:color w:val="auto"/>
        </w:rPr>
        <w:t>Basic Prospectus</w:t>
      </w:r>
      <w:r>
        <w:rPr>
          <w:rFonts w:ascii="Arial" w:cs="Arial" w:eastAsia="Arial" w:hAnsi="Arial"/>
          <w:sz w:val="17"/>
          <w:szCs w:val="17"/>
          <w:color w:val="auto"/>
        </w:rPr>
        <w: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(ii) if applicable, certain “free writing prospectuses” (as that term is defined in Rule 405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that have been or will be filed with the Commission and delivered to the Investor on or prior to the date hereof, and (iii) a Prospectus Supplement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containing certain supplemental information regarding the Securities, the Company and the terms of the Offering that will be filed with the Commission and delivered to the Investor along with the Company’s counterpart to this Subscription Agreement (or made available to the Investor by the filing by the Company of an electronic version thereof with the Commission). The Registration Statement also covers the issuance of the Shares to be issued on exercise of the Warrants.</w:t>
      </w:r>
    </w:p>
    <w:p>
      <w:pPr>
        <w:spacing w:after="0" w:line="70" w:lineRule="exact"/>
        <w:rPr>
          <w:rFonts w:ascii="Arial" w:cs="Arial" w:eastAsia="Arial" w:hAnsi="Arial"/>
          <w:sz w:val="17"/>
          <w:szCs w:val="17"/>
          <w:color w:val="auto"/>
        </w:rPr>
      </w:pPr>
    </w:p>
    <w:p>
      <w:pPr>
        <w:jc w:val="both"/>
        <w:ind w:right="100" w:firstLine="233"/>
        <w:spacing w:after="0" w:line="286" w:lineRule="auto"/>
        <w:tabs>
          <w:tab w:leader="none" w:pos="40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completion of the purchase and sale of the Securities (the “</w:t>
      </w:r>
      <w:r>
        <w:rPr>
          <w:rFonts w:ascii="Arial" w:cs="Arial" w:eastAsia="Arial" w:hAnsi="Arial"/>
          <w:sz w:val="17"/>
          <w:szCs w:val="17"/>
          <w:u w:val="single" w:color="auto"/>
          <w:color w:val="auto"/>
        </w:rPr>
        <w:t>Closing</w:t>
      </w:r>
      <w:r>
        <w:rPr>
          <w:rFonts w:ascii="Arial" w:cs="Arial" w:eastAsia="Arial" w:hAnsi="Arial"/>
          <w:sz w:val="17"/>
          <w:szCs w:val="17"/>
          <w:color w:val="auto"/>
        </w:rPr>
        <w:t>”) shall occur on November 2, 2009. At the Closing, the Company shall deliver to the Investor, using customary book-entry procedures, the number of Securities as set forth above in Section 2, and the Investor shall deliver, or cause to be delivered, to the Company by Federal Funds wire transfer the full amount of the Purchase Price for the Securities being purchased.</w:t>
      </w:r>
    </w:p>
    <w:p>
      <w:pPr>
        <w:spacing w:after="0" w:line="57" w:lineRule="exact"/>
        <w:rPr>
          <w:rFonts w:ascii="Arial" w:cs="Arial" w:eastAsia="Arial" w:hAnsi="Arial"/>
          <w:sz w:val="17"/>
          <w:szCs w:val="17"/>
          <w:color w:val="auto"/>
        </w:rPr>
      </w:pPr>
    </w:p>
    <w:p>
      <w:pPr>
        <w:ind w:right="140" w:firstLine="233"/>
        <w:spacing w:after="0" w:line="277" w:lineRule="auto"/>
        <w:tabs>
          <w:tab w:leader="none" w:pos="4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Subscription Agreement shall be governed by, and construed in accordance with, the internal laws of the State of New York, without giving effect to the principles of conflicts of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ind w:right="140" w:firstLine="233"/>
        <w:spacing w:after="0" w:line="264" w:lineRule="auto"/>
        <w:tabs>
          <w:tab w:leader="none" w:pos="4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to the other parties.</w:t>
      </w:r>
    </w:p>
    <w:p>
      <w:pPr>
        <w:spacing w:after="0" w:line="73" w:lineRule="exact"/>
        <w:rPr>
          <w:rFonts w:ascii="Arial" w:cs="Arial" w:eastAsia="Arial" w:hAnsi="Arial"/>
          <w:sz w:val="18"/>
          <w:szCs w:val="18"/>
          <w:color w:val="auto"/>
        </w:rPr>
      </w:pPr>
    </w:p>
    <w:p>
      <w:pPr>
        <w:ind w:left="400" w:hanging="167"/>
        <w:spacing w:after="0"/>
        <w:tabs>
          <w:tab w:leader="none" w:pos="4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prospectus meeting the requirements of Section 10 of the Securities Act of 1933, as amended, may be obtained, when available, from the Company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3155 Porter Drive, Palo Alto, CA 94304, Attention: Chief Executive Officer.</w:t>
      </w:r>
    </w:p>
    <w:p>
      <w:pPr>
        <w:spacing w:after="0" w:line="102" w:lineRule="exact"/>
        <w:rPr>
          <w:rFonts w:ascii="Arial" w:cs="Arial" w:eastAsia="Arial" w:hAnsi="Arial"/>
          <w:sz w:val="16"/>
          <w:szCs w:val="16"/>
          <w:color w:val="auto"/>
        </w:rPr>
      </w:pPr>
    </w:p>
    <w:p>
      <w:pPr>
        <w:ind w:right="220" w:firstLine="233"/>
        <w:spacing w:after="0" w:line="286" w:lineRule="auto"/>
        <w:tabs>
          <w:tab w:leader="none" w:pos="40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confirms that it has entered into a Placement Agency Agreement (the “</w:t>
      </w:r>
      <w:r>
        <w:rPr>
          <w:rFonts w:ascii="Arial" w:cs="Arial" w:eastAsia="Arial" w:hAnsi="Arial"/>
          <w:sz w:val="17"/>
          <w:szCs w:val="17"/>
          <w:u w:val="single" w:color="auto"/>
          <w:color w:val="auto"/>
        </w:rPr>
        <w:t>Placement Agency Agreement</w:t>
      </w:r>
      <w:r>
        <w:rPr>
          <w:rFonts w:ascii="Arial" w:cs="Arial" w:eastAsia="Arial" w:hAnsi="Arial"/>
          <w:sz w:val="17"/>
          <w:szCs w:val="17"/>
          <w:color w:val="auto"/>
        </w:rPr>
        <w:t>”) with Chardan Capital Markets, LLC (the “</w:t>
      </w:r>
      <w:r>
        <w:rPr>
          <w:rFonts w:ascii="Arial" w:cs="Arial" w:eastAsia="Arial" w:hAnsi="Arial"/>
          <w:sz w:val="17"/>
          <w:szCs w:val="17"/>
          <w:u w:val="single" w:color="auto"/>
          <w:color w:val="auto"/>
        </w:rPr>
        <w:t>Placement Agent</w:t>
      </w:r>
      <w:r>
        <w:rPr>
          <w:rFonts w:ascii="Arial" w:cs="Arial" w:eastAsia="Arial" w:hAnsi="Arial"/>
          <w:sz w:val="17"/>
          <w:szCs w:val="17"/>
          <w:color w:val="auto"/>
        </w:rPr>
        <w:t>”) that contains certain representations, warranties, covenants and agreements of the Company that may be relied upon by the Investor, which shall be a third party beneficiary thereof. A copy of the Placement Agency Agreement is available upon request.</w:t>
      </w:r>
    </w:p>
    <w:p>
      <w:pPr>
        <w:spacing w:after="0" w:line="57" w:lineRule="exact"/>
        <w:rPr>
          <w:rFonts w:ascii="Arial" w:cs="Arial" w:eastAsia="Arial" w:hAnsi="Arial"/>
          <w:sz w:val="17"/>
          <w:szCs w:val="17"/>
          <w:color w:val="auto"/>
        </w:rPr>
      </w:pPr>
    </w:p>
    <w:p>
      <w:pPr>
        <w:ind w:firstLine="233"/>
        <w:spacing w:after="0" w:line="259" w:lineRule="auto"/>
        <w:tabs>
          <w:tab w:leader="none" w:pos="4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further confirms and the Investor acknowledges that the Investor’s obligation to purchase the Securities is subject to the condition that the Placement Agent shall not have (a) terminated the Placement Agency Agreement or (b) determined that the conditions to closing in the Placement Agency Agreement have not been satisfied. The Investor confirms that its obligations are expressly not conditioned on the purchase by any other investors of Securities that they have agreed to purchase from the Company.</w:t>
      </w:r>
    </w:p>
    <w:p>
      <w:pPr>
        <w:spacing w:after="0" w:line="78" w:lineRule="exact"/>
        <w:rPr>
          <w:rFonts w:ascii="Arial" w:cs="Arial" w:eastAsia="Arial" w:hAnsi="Arial"/>
          <w:sz w:val="18"/>
          <w:szCs w:val="18"/>
          <w:color w:val="auto"/>
        </w:rPr>
      </w:pPr>
    </w:p>
    <w:p>
      <w:pPr>
        <w:ind w:firstLine="233"/>
        <w:spacing w:after="0" w:line="293" w:lineRule="auto"/>
        <w:tabs>
          <w:tab w:leader="none" w:pos="49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Investor represents that it has received (or otherwise had made available to it by the filing by the Company of an electronic version thereof with the Commission) the Basic Prospectus, which is a part of the Company’s Registration Statement and the documents incorporated by reference therein, prior to or in connection with the receipt of this Subscription Agreement. The Investor acknowledges that, prior to the delivery of this Subscription Agreement to the Company, the Investor will receive certain additional information regarding the Offering, including pricing information (the “</w:t>
      </w:r>
      <w:r>
        <w:rPr>
          <w:rFonts w:ascii="Arial" w:cs="Arial" w:eastAsia="Arial" w:hAnsi="Arial"/>
          <w:sz w:val="16"/>
          <w:szCs w:val="16"/>
          <w:u w:val="single" w:color="auto"/>
          <w:color w:val="auto"/>
        </w:rPr>
        <w:t>Offering Information</w:t>
      </w:r>
      <w:r>
        <w:rPr>
          <w:rFonts w:ascii="Arial" w:cs="Arial" w:eastAsia="Arial" w:hAnsi="Arial"/>
          <w:sz w:val="16"/>
          <w:szCs w:val="16"/>
          <w:color w:val="auto"/>
        </w:rPr>
        <w:t>”). The Offering Information may be provided to the Investor by any means permitted under the Act, including in the Prospectus Supplement (delivered to the Investor or made available to it by the filing of an electronic version thereof with the Commission), a free writing prospectus or oral communications.</w:t>
      </w:r>
    </w:p>
    <w:p>
      <w:pPr>
        <w:spacing w:after="0" w:line="56" w:lineRule="exact"/>
        <w:rPr>
          <w:rFonts w:ascii="Arial" w:cs="Arial" w:eastAsia="Arial" w:hAnsi="Arial"/>
          <w:sz w:val="16"/>
          <w:szCs w:val="16"/>
          <w:color w:val="auto"/>
        </w:rPr>
      </w:pPr>
    </w:p>
    <w:p>
      <w:pPr>
        <w:ind w:right="260" w:firstLine="233"/>
        <w:spacing w:after="0" w:line="273" w:lineRule="auto"/>
        <w:tabs>
          <w:tab w:leader="none" w:pos="488"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 offer by the Investor to buy Securities will be accepted and no part of the Purchase Price will be delivered to the Company until the Investor has received the Offering Information and the Company has accepted such offer by countersigning a copy of this Subscription Agreement, and any such offer may be withdrawn or revoked, without obligation or commitment of any kind, at any time prior to the Company (or the Placement Agent on behalf of the Company) sending (orally, in writing or by electronic mail) notice of its acceptance of such offer. This Subscription Agreement will constitute only an indication of interest and will involve no obligation or commitment of any kind until the Investor has been delivered the Offering Information and this Subscription Agreement is accepted and countersigned by or on behalf of the Company.</w:t>
      </w:r>
    </w:p>
    <w:p>
      <w:pPr>
        <w:spacing w:after="0" w:line="70" w:lineRule="exact"/>
        <w:rPr>
          <w:rFonts w:ascii="Arial" w:cs="Arial" w:eastAsia="Arial" w:hAnsi="Arial"/>
          <w:sz w:val="17"/>
          <w:szCs w:val="17"/>
          <w:color w:val="auto"/>
        </w:rPr>
      </w:pPr>
    </w:p>
    <w:p>
      <w:pPr>
        <w:ind w:left="500" w:hanging="267"/>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Investor represents that, except as set forth below, (a) it has had no position,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spacing w:after="0" w:line="257" w:lineRule="auto"/>
        <w:rPr>
          <w:sz w:val="20"/>
          <w:szCs w:val="20"/>
          <w:color w:val="auto"/>
        </w:rPr>
      </w:pPr>
      <w:r>
        <w:rPr>
          <w:rFonts w:ascii="Arial" w:cs="Arial" w:eastAsia="Arial" w:hAnsi="Arial"/>
          <w:sz w:val="18"/>
          <w:szCs w:val="18"/>
          <w:color w:val="auto"/>
        </w:rPr>
        <w:t>office or other material relationship within the past three years with the Company or any of its affiliates, (b) it is not a FINRA member or an Associated Person (as such term is defined under the FINRA Membership and Registration Rules Section 1011) as of the Closing, and (c) neither the Investor nor any group of Investors (as identified in a public filing made with the Commission) of which the Investor is a part in connection with the Offering of the Shares, acquired, or obtained the right to acquire, 20% or more of the Common Stock (or securities convertible into or exercisable for Common Stock) or the voting power of the Company on a post-transaction basis. Exceptions: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(If no exceptions, write “none.” If left blank, response will be deemed to be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intentionally left blank.</w:t>
      </w:r>
      <w:r>
        <w:rPr>
          <w:rFonts w:ascii="Arial" w:cs="Arial" w:eastAsia="Arial" w:hAnsi="Arial"/>
          <w:sz w:val="18"/>
          <w:szCs w:val="18"/>
          <w:color w:val="auto"/>
        </w:rPr>
        <w:t>]</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22980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14605</wp:posOffset>
            </wp:positionV>
            <wp:extent cx="19551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14605</wp:posOffset>
            </wp:positionV>
            <wp:extent cx="1912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Please acknowledge that the foregoing correctly confirms the agreement between us by signing in the space provided below for that purpose.</w:t>
      </w:r>
    </w:p>
    <w:p>
      <w:pPr>
        <w:spacing w:after="0" w:line="24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804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804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804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289560</wp:posOffset>
            </wp:positionV>
            <wp:extent cx="2804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563880</wp:posOffset>
            </wp:positionV>
            <wp:extent cx="2804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804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804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804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in which book</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entry should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5715</wp:posOffset>
            </wp:positionV>
            <wp:extent cx="2804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804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TEM</w:t>
      </w:r>
      <w:r>
        <w:rPr>
          <w:rFonts w:ascii="Arial" w:cs="Arial" w:eastAsia="Arial" w:hAnsi="Arial"/>
          <w:sz w:val="18"/>
          <w:szCs w:val="18"/>
          <w:color w:val="auto"/>
        </w:rPr>
        <w:t>C</w:t>
      </w:r>
      <w:r>
        <w:rPr>
          <w:rFonts w:ascii="Arial" w:cs="Arial" w:eastAsia="Arial" w:hAnsi="Arial"/>
          <w:sz w:val="12"/>
          <w:szCs w:val="12"/>
          <w:color w:val="auto"/>
        </w:rPr>
        <w:t>ELLS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-10160</wp:posOffset>
            </wp:positionV>
            <wp:extent cx="1714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19"/>
          </w:cols>
          <w:pgMar w:left="240" w:top="1152"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223520</wp:posOffset>
            </wp:positionV>
            <wp:extent cx="2555875" cy="497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558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u w:val="single" w:color="auto"/>
          <w:color w:val="auto"/>
        </w:rPr>
        <w:t>Investor Inquiries</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Megan Meloni</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StemCells,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(650) 475-3100, ext. 105</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 ANNOUNCES $12.5 MILLION EQUITY FINANCING</w:t>
      </w:r>
    </w:p>
    <w:p>
      <w:pPr>
        <w:spacing w:after="0" w:line="117"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color w:val="auto"/>
        </w:rPr>
        <w:t xml:space="preserve">PALO ALTO, Calif., October 28, 2009 </w:t>
      </w:r>
      <w:r>
        <w:rPr>
          <w:rFonts w:ascii="Arial" w:cs="Arial" w:eastAsia="Arial" w:hAnsi="Arial"/>
          <w:sz w:val="18"/>
          <w:szCs w:val="18"/>
          <w:color w:val="auto"/>
        </w:rPr>
        <w:t>— StemCells, Inc. (NASDAQ: STEM) announced today that it has entered into an agreement to raise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$12.5 million in gross proceeds through the sale of approximately 10 million shares of its common stock to selected institutional investors at a price of $1.25 per share. The investors will also receive warrants to purchase approximately four million shares of common stock at an exercise price of $1.50 per share. The shares and warrants are being offered as a registered direct offering under the Company’s effective shelf registration statement previously filed with the Securities and Exchange Commission (SEC). StemCells, Inc. expects to receive total proceeds, net of offering expenses and placement agency fees, of approximately $11.9 million.</w:t>
      </w:r>
    </w:p>
    <w:p>
      <w:pPr>
        <w:spacing w:after="0" w:line="84"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offering is expected to close on November 2, 2009, subject to customary closing conditions. The net proceeds of the financing will be used for general corporate purposes, including working capital, product development and capital expenditures, as well as for other strategic purposes.</w:t>
      </w:r>
    </w:p>
    <w:p>
      <w:pPr>
        <w:spacing w:after="0" w:line="38"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Chardan Capital Markets, LLC served as the placement agent. The securities will be offered by means of a prospectus supplement and accompanying prospectus, forming a part of the effective registration statement, a copy of which may be obtained, when available, at the SEC’s website at http://www.sec.gov.</w:t>
      </w:r>
    </w:p>
    <w:p>
      <w:pPr>
        <w:spacing w:after="0" w:line="73"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This press release does not and shall not constitute an offer to sell or the solicitation of an offer to buy, nor will there be any sale of these securities in any state or jurisdiction in which such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StemCells, Inc. is focused on the development and commercialization of cell-based technologies. In its cellular medicine programs, StemCells is targeting diseases of the central nervous system and liver. StemCells’ lead product candidate, HuCNS-SC</w:t>
      </w:r>
      <w:r>
        <w:rPr>
          <w:rFonts w:ascii="Arial" w:cs="Arial" w:eastAsia="Arial" w:hAnsi="Arial"/>
          <w:sz w:val="15"/>
          <w:szCs w:val="15"/>
          <w:color w:val="auto"/>
        </w:rPr>
        <w:t>®</w:t>
      </w:r>
      <w:r>
        <w:rPr>
          <w:rFonts w:ascii="Arial" w:cs="Arial" w:eastAsia="Arial" w:hAnsi="Arial"/>
          <w:sz w:val="18"/>
          <w:szCs w:val="18"/>
          <w:color w:val="auto"/>
        </w:rPr>
        <w:t xml:space="preserve"> cells (purified human neural stem cells), is in clinical development for the treatment of two fatal neurodegenerative disorders that primarily affect young children. StemCells also markets specialty cell culture media products under the brand SC Proven</w:t>
      </w:r>
      <w:r>
        <w:rPr>
          <w:rFonts w:ascii="Arial" w:cs="Arial" w:eastAsia="Arial" w:hAnsi="Arial"/>
          <w:sz w:val="15"/>
          <w:szCs w:val="15"/>
          <w:color w:val="auto"/>
        </w:rPr>
        <w:t>®</w:t>
      </w:r>
      <w:r>
        <w:rPr>
          <w:rFonts w:ascii="Arial" w:cs="Arial" w:eastAsia="Arial" w:hAnsi="Arial"/>
          <w:sz w:val="18"/>
          <w:szCs w:val="18"/>
          <w:color w:val="auto"/>
        </w:rPr>
        <w:t xml:space="preserve">, and is developing its cell-based technologies for use in drug screening and drug development. Further information about StemCells is available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80"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future business operations of StemCells, Inc. (the “Company”); the Company’s intention to complete the offering and the expected use of net proceeds; the development and commercialization of the Company’s cell-based technologies; clinical development of its HuCNS-SC cells; and the prospects for the Company to pursue non-therapeutic applications of its cell-based technologies. These forward-looking statements speak only as of the date of this news release. The Company does not undertake to update any of these forward- 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including that the proposed offering is subject to market conditions and other factors and to other risks and uncertainties to which the Company is subject, including those described under the heading “Risk Factors” disclosed in Part I, Item 1A in the Company’s Annual Report on Form 10-K for the year ended December 31, 2008 and Part II, Item 1A of the Company’s Quarterly Report on Form 10-Q for the quarter ended March 31, 2009.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3155 Porter Drive </w:t>
      </w:r>
      <w:r>
        <w:rPr>
          <w:rFonts w:ascii="Arial" w:cs="Arial" w:eastAsia="Arial" w:hAnsi="Arial"/>
          <w:sz w:val="18"/>
          <w:szCs w:val="18"/>
          <w:b w:val="1"/>
          <w:bCs w:val="1"/>
          <w:color w:val="auto"/>
        </w:rPr>
        <w:t>•</w:t>
      </w:r>
      <w:r>
        <w:rPr>
          <w:rFonts w:ascii="Arial" w:cs="Arial" w:eastAsia="Arial" w:hAnsi="Arial"/>
          <w:sz w:val="18"/>
          <w:szCs w:val="18"/>
          <w:color w:val="auto"/>
        </w:rPr>
        <w:t xml:space="preserve"> Palo Alto, CA 94304 </w:t>
      </w:r>
      <w:r>
        <w:rPr>
          <w:rFonts w:ascii="Arial" w:cs="Arial" w:eastAsia="Arial" w:hAnsi="Arial"/>
          <w:sz w:val="18"/>
          <w:szCs w:val="18"/>
          <w:b w:val="1"/>
          <w:bCs w:val="1"/>
          <w:color w:val="auto"/>
        </w:rPr>
        <w:t>•</w:t>
      </w:r>
      <w:r>
        <w:rPr>
          <w:rFonts w:ascii="Arial" w:cs="Arial" w:eastAsia="Arial" w:hAnsi="Arial"/>
          <w:sz w:val="18"/>
          <w:szCs w:val="18"/>
          <w:color w:val="auto"/>
        </w:rPr>
        <w:t xml:space="preserve"> Phone 650.475.3100 </w:t>
      </w:r>
      <w:r>
        <w:rPr>
          <w:rFonts w:ascii="Arial" w:cs="Arial" w:eastAsia="Arial" w:hAnsi="Arial"/>
          <w:sz w:val="18"/>
          <w:szCs w:val="18"/>
          <w:b w:val="1"/>
          <w:bCs w:val="1"/>
          <w:color w:val="auto"/>
        </w:rPr>
        <w:t>•</w:t>
      </w:r>
      <w:r>
        <w:rPr>
          <w:rFonts w:ascii="Arial" w:cs="Arial" w:eastAsia="Arial" w:hAnsi="Arial"/>
          <w:sz w:val="18"/>
          <w:szCs w:val="18"/>
          <w:color w:val="auto"/>
        </w:rPr>
        <w:t xml:space="preserve"> Fax 650.475.3101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www.stemcellsinc.com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Roman"/>
      <w:start w:val="1"/>
    </w:lvl>
  </w:abstractNum>
  <w:abstractNum w:abstractNumId="2">
    <w:nsid w:val="8138641"/>
    <w:multiLevelType w:val="hybridMultilevel"/>
    <w:lvl w:ilvl="0">
      <w:lvlJc w:val="left"/>
      <w:lvlText w:val="%1."/>
      <w:numFmt w:val="decimal"/>
      <w:start w:val="1"/>
    </w:lvl>
    <w:lvl w:ilvl="1">
      <w:lvlJc w:val="left"/>
      <w:lvlText w:val="-"/>
      <w:numFmt w:val="bullet"/>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decimal"/>
      <w:start w:val="3"/>
    </w:lvl>
    <w:lvl w:ilvl="1">
      <w:lvlJc w:val="left"/>
      <w:lvlText w:val="-"/>
      <w:numFmt w:val="bullet"/>
      <w:start w:val="1"/>
    </w:lvl>
  </w:abstractNum>
  <w:abstractNum w:abstractNumId="5">
    <w:nsid w:val="737B8DDC"/>
    <w:multiLevelType w:val="hybridMultilevel"/>
    <w:lvl w:ilvl="0">
      <w:lvlJc w:val="left"/>
      <w:lvlText w:val="(%1)"/>
      <w:numFmt w:val="lowerLetter"/>
      <w:start w:val="1"/>
    </w:lvl>
    <w:lvl w:ilvl="1">
      <w:lvlJc w:val="left"/>
      <w:lvlText w:val="-"/>
      <w:numFmt w:val="bullet"/>
      <w:start w:val="1"/>
    </w:lvl>
  </w:abstractNum>
  <w:abstractNum w:abstractNumId="6">
    <w:nsid w:val="6CEAF087"/>
    <w:multiLevelType w:val="hybridMultilevel"/>
    <w:lvl w:ilvl="0">
      <w:lvlJc w:val="left"/>
      <w:lvlText w:val="(%1)"/>
      <w:numFmt w:val="lowerLetter"/>
      <w:start w:val="3"/>
    </w:lvl>
    <w:lvl w:ilvl="1">
      <w:lvlJc w:val="left"/>
      <w:lvlText w:val="-"/>
      <w:numFmt w:val="bullet"/>
      <w:start w:val="1"/>
    </w:lvl>
  </w:abstractNum>
  <w:abstractNum w:abstractNumId="7">
    <w:nsid w:val="22221A70"/>
    <w:multiLevelType w:val="hybridMultilevel"/>
    <w:lvl w:ilvl="0">
      <w:lvlJc w:val="left"/>
      <w:lvlText w:val="(%1)"/>
      <w:numFmt w:val="lowerLetter"/>
      <w:start w:val="4"/>
    </w:lvl>
    <w:lvl w:ilvl="1">
      <w:lvlJc w:val="left"/>
      <w:lvlText w:val="-"/>
      <w:numFmt w:val="bullet"/>
      <w:start w:val="1"/>
    </w:lvl>
  </w:abstractNum>
  <w:abstractNum w:abstractNumId="8">
    <w:nsid w:val="4516DDE9"/>
    <w:multiLevelType w:val="hybridMultilevel"/>
    <w:lvl w:ilvl="0">
      <w:lvlJc w:val="left"/>
      <w:lvlText w:val="(%1)"/>
      <w:numFmt w:val="lowerLetter"/>
      <w:start w:val="8"/>
    </w:lvl>
    <w:lvl w:ilvl="1">
      <w:lvlJc w:val="left"/>
      <w:lvlText w:val="-"/>
      <w:numFmt w:val="bullet"/>
      <w:start w:val="1"/>
    </w:lvl>
  </w:abstractNum>
  <w:abstractNum w:abstractNumId="9">
    <w:nsid w:val="3006C83E"/>
    <w:multiLevelType w:val="hybridMultilevel"/>
    <w:lvl w:ilvl="0">
      <w:lvlJc w:val="left"/>
      <w:lvlText w:val="%1"/>
      <w:numFmt w:val="upperLetter"/>
      <w:start w:val="1"/>
    </w:lvl>
    <w:lvl w:ilvl="1">
      <w:lvlJc w:val="left"/>
      <w:lvlText w:val="(%2)"/>
      <w:numFmt w:val="lowerLetter"/>
      <w:start w:val="11"/>
    </w:lvl>
    <w:lvl w:ilvl="2">
      <w:lvlJc w:val="left"/>
      <w:lvlText w:val="-"/>
      <w:numFmt w:val="bullet"/>
      <w:start w:val="1"/>
    </w:lvl>
  </w:abstractNum>
  <w:abstractNum w:abstractNumId="10">
    <w:nsid w:val="614FD4A1"/>
    <w:multiLevelType w:val="hybridMultilevel"/>
    <w:lvl w:ilvl="0">
      <w:lvlJc w:val="left"/>
      <w:lvlText w:val="(%1)"/>
      <w:numFmt w:val="upperLetter"/>
      <w:start w:val="2"/>
    </w:lvl>
    <w:lvl w:ilvl="1">
      <w:lvlJc w:val="left"/>
      <w:lvlText w:val="(%2)"/>
      <w:numFmt w:val="lowerLetter"/>
      <w:start w:val="13"/>
    </w:lvl>
    <w:lvl w:ilvl="2">
      <w:lvlJc w:val="left"/>
      <w:lvlText w:val="-"/>
      <w:numFmt w:val="bullet"/>
      <w:start w:val="1"/>
    </w:lvl>
  </w:abstractNum>
  <w:abstractNum w:abstractNumId="11">
    <w:nsid w:val="419AC241"/>
    <w:multiLevelType w:val="hybridMultilevel"/>
    <w:lvl w:ilvl="0">
      <w:lvlJc w:val="left"/>
      <w:lvlText w:val="(%1)"/>
      <w:numFmt w:val="lowerLetter"/>
      <w:start w:val="15"/>
    </w:lvl>
    <w:lvl w:ilvl="1">
      <w:lvlJc w:val="left"/>
      <w:lvlText w:val="-"/>
      <w:numFmt w:val="bullet"/>
      <w:start w:val="1"/>
    </w:lvl>
  </w:abstractNum>
  <w:abstractNum w:abstractNumId="12">
    <w:nsid w:val="5577F8E1"/>
    <w:multiLevelType w:val="hybridMultilevel"/>
    <w:lvl w:ilvl="0">
      <w:lvlJc w:val="left"/>
      <w:lvlText w:val="(%1)"/>
      <w:numFmt w:val="lowerLetter"/>
      <w:start w:val="18"/>
    </w:lvl>
    <w:lvl w:ilvl="1">
      <w:lvlJc w:val="left"/>
      <w:lvlText w:val="-"/>
      <w:numFmt w:val="bullet"/>
      <w:start w:val="1"/>
    </w:lvl>
  </w:abstractNum>
  <w:abstractNum w:abstractNumId="13">
    <w:nsid w:val="440BADFC"/>
    <w:multiLevelType w:val="hybridMultilevel"/>
    <w:lvl w:ilvl="0">
      <w:lvlJc w:val="left"/>
      <w:lvlText w:val="(%1)"/>
      <w:numFmt w:val="lowerLetter"/>
      <w:start w:val="21"/>
    </w:lvl>
    <w:lvl w:ilvl="1">
      <w:lvlJc w:val="left"/>
      <w:lvlText w:val="-"/>
      <w:numFmt w:val="bullet"/>
      <w:start w:val="1"/>
    </w:lvl>
  </w:abstractNum>
  <w:abstractNum w:abstractNumId="14">
    <w:nsid w:val="5072367"/>
    <w:multiLevelType w:val="hybridMultilevel"/>
    <w:lvl w:ilvl="0">
      <w:lvlJc w:val="left"/>
      <w:lvlText w:val="(%1)"/>
      <w:numFmt w:val="lowerRoman"/>
      <w:start w:val="3"/>
    </w:lvl>
    <w:lvl w:ilvl="1">
      <w:lvlJc w:val="left"/>
      <w:lvlText w:val="(%2)"/>
      <w:numFmt w:val="lowerRoman"/>
      <w:start w:val="10"/>
    </w:lvl>
    <w:lvl w:ilvl="2">
      <w:lvlJc w:val="left"/>
      <w:lvlText w:val="-"/>
      <w:numFmt w:val="bullet"/>
      <w:start w:val="1"/>
    </w:lvl>
  </w:abstractNum>
  <w:abstractNum w:abstractNumId="15">
    <w:nsid w:val="3804823E"/>
    <w:multiLevelType w:val="hybridMultilevel"/>
    <w:lvl w:ilvl="0">
      <w:lvlJc w:val="left"/>
      <w:lvlText w:val="(%1)"/>
      <w:numFmt w:val="lowerLetter"/>
      <w:start w:val="25"/>
    </w:lvl>
  </w:abstractNum>
  <w:abstractNum w:abstractNumId="16">
    <w:nsid w:val="77465F01"/>
    <w:multiLevelType w:val="hybridMultilevel"/>
    <w:lvl w:ilvl="0">
      <w:lvlJc w:val="left"/>
      <w:lvlText w:val="(%1)"/>
      <w:numFmt w:val="lowerLetter"/>
      <w:start w:val="27"/>
    </w:lvl>
    <w:lvl w:ilvl="1">
      <w:lvlJc w:val="left"/>
      <w:lvlText w:val="-"/>
      <w:numFmt w:val="bullet"/>
      <w:start w:val="1"/>
    </w:lvl>
  </w:abstractNum>
  <w:abstractNum w:abstractNumId="17">
    <w:nsid w:val="7724C67E"/>
    <w:multiLevelType w:val="hybridMultilevel"/>
    <w:lvl w:ilvl="0">
      <w:lvlJc w:val="left"/>
      <w:lvlText w:val="(%1)"/>
      <w:numFmt w:val="lowerLetter"/>
      <w:start w:val="28"/>
    </w:lvl>
    <w:lvl w:ilvl="1">
      <w:lvlJc w:val="left"/>
      <w:lvlText w:val="-"/>
      <w:numFmt w:val="bullet"/>
      <w:start w:val="1"/>
    </w:lvl>
  </w:abstractNum>
  <w:abstractNum w:abstractNumId="18">
    <w:nsid w:val="5C482A97"/>
    <w:multiLevelType w:val="hybridMultilevel"/>
    <w:lvl w:ilvl="0">
      <w:lvlJc w:val="left"/>
      <w:lvlText w:val="(%1)"/>
      <w:numFmt w:val="lowerLetter"/>
      <w:start w:val="32"/>
    </w:lvl>
    <w:lvl w:ilvl="1">
      <w:lvlJc w:val="left"/>
      <w:lvlText w:val="-"/>
      <w:numFmt w:val="bullet"/>
      <w:start w:val="1"/>
    </w:lvl>
  </w:abstractNum>
  <w:abstractNum w:abstractNumId="19">
    <w:nsid w:val="2463B9EA"/>
    <w:multiLevelType w:val="hybridMultilevel"/>
    <w:lvl w:ilvl="0">
      <w:lvlJc w:val="left"/>
      <w:lvlText w:val="(%1)"/>
      <w:numFmt w:val="lowerLetter"/>
      <w:start w:val="36"/>
    </w:lvl>
    <w:lvl w:ilvl="1">
      <w:lvlJc w:val="left"/>
      <w:lvlText w:val="-"/>
      <w:numFmt w:val="bullet"/>
      <w:start w:val="1"/>
    </w:lvl>
  </w:abstractNum>
  <w:abstractNum w:abstractNumId="20">
    <w:nsid w:val="5E884ADC"/>
    <w:multiLevelType w:val="hybridMultilevel"/>
    <w:lvl w:ilvl="0">
      <w:lvlJc w:val="left"/>
      <w:lvlText w:val="(%1)"/>
      <w:numFmt w:val="lowerLetter"/>
      <w:start w:val="41"/>
    </w:lvl>
  </w:abstractNum>
  <w:abstractNum w:abstractNumId="21">
    <w:nsid w:val="51EAD36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2">
    <w:nsid w:val="2D517796"/>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23">
    <w:nsid w:val="580BD78F"/>
    <w:multiLevelType w:val="hybridMultilevel"/>
    <w:lvl w:ilvl="0">
      <w:lvlJc w:val="left"/>
      <w:lvlText w:val="(%1)"/>
      <w:numFmt w:val="lowerLetter"/>
      <w:start w:val="9"/>
    </w:lvl>
    <w:lvl w:ilvl="1">
      <w:lvlJc w:val="left"/>
      <w:lvlText w:val="(%2)"/>
      <w:numFmt w:val="lowerLetter"/>
      <w:start w:val="5"/>
    </w:lvl>
    <w:lvl w:ilvl="2">
      <w:lvlJc w:val="left"/>
      <w:lvlText w:val="-"/>
      <w:numFmt w:val="bullet"/>
      <w:start w:val="1"/>
    </w:lvl>
  </w:abstractNum>
  <w:abstractNum w:abstractNumId="24">
    <w:nsid w:val="153EA438"/>
    <w:multiLevelType w:val="hybridMultilevel"/>
    <w:lvl w:ilvl="0">
      <w:lvlJc w:val="left"/>
      <w:lvlText w:val="(%1)"/>
      <w:numFmt w:val="lowerLetter"/>
      <w:start w:val="7"/>
    </w:lvl>
    <w:lvl w:ilvl="1">
      <w:lvlJc w:val="left"/>
      <w:lvlText w:val="-"/>
      <w:numFmt w:val="bullet"/>
      <w:start w:val="1"/>
    </w:lvl>
  </w:abstractNum>
  <w:abstractNum w:abstractNumId="25">
    <w:nsid w:val="3855585C"/>
    <w:multiLevelType w:val="hybridMultilevel"/>
    <w:lvl w:ilvl="0">
      <w:lvlJc w:val="left"/>
      <w:lvlText w:val="(%1)"/>
      <w:numFmt w:val="lowerLetter"/>
      <w:start w:val="11"/>
    </w:lvl>
    <w:lvl w:ilvl="1">
      <w:lvlJc w:val="left"/>
      <w:lvlText w:val="-"/>
      <w:numFmt w:val="bullet"/>
      <w:start w:val="1"/>
    </w:lvl>
  </w:abstractNum>
  <w:abstractNum w:abstractNumId="26">
    <w:nsid w:val="70A64E2A"/>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6"/>
    </w:lvl>
    <w:lvl w:ilvl="3">
      <w:lvlJc w:val="left"/>
      <w:lvlText w:val="-"/>
      <w:numFmt w:val="bullet"/>
      <w:start w:val="1"/>
    </w:lvl>
  </w:abstractNum>
  <w:abstractNum w:abstractNumId="27">
    <w:nsid w:val="6A2342E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8">
    <w:nsid w:val="2A487CB0"/>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9">
    <w:nsid w:val="1D4ED43B"/>
    <w:multiLevelType w:val="hybridMultilevel"/>
    <w:lvl w:ilvl="0">
      <w:lvlJc w:val="left"/>
      <w:lvlText w:val="(%1)"/>
      <w:numFmt w:val="lowerRoman"/>
      <w:start w:val="3"/>
    </w:lvl>
    <w:lvl w:ilvl="1">
      <w:lvlJc w:val="left"/>
      <w:lvlText w:val="(%2)"/>
      <w:numFmt w:val="lowerLetter"/>
      <w:start w:val="7"/>
    </w:lvl>
    <w:lvl w:ilvl="2">
      <w:lvlJc w:val="left"/>
      <w:lvlText w:val="-"/>
      <w:numFmt w:val="bullet"/>
      <w:start w:val="1"/>
    </w:lvl>
  </w:abstractNum>
  <w:abstractNum w:abstractNumId="30">
    <w:nsid w:val="725A06FB"/>
    <w:multiLevelType w:val="hybridMultilevel"/>
    <w:lvl w:ilvl="0">
      <w:lvlJc w:val="left"/>
      <w:lvlText w:val="(%1)"/>
      <w:numFmt w:val="lowerLetter"/>
      <w:start w:val="9"/>
    </w:lvl>
  </w:abstractNum>
  <w:abstractNum w:abstractNumId="31">
    <w:nsid w:val="2CD89A32"/>
    <w:multiLevelType w:val="hybridMultilevel"/>
    <w:lvl w:ilvl="0">
      <w:lvlJc w:val="left"/>
      <w:lvlText w:val="(%1)"/>
      <w:numFmt w:val="upperLetter"/>
      <w:start w:val="2"/>
    </w:lvl>
  </w:abstractNum>
  <w:abstractNum w:abstractNumId="32">
    <w:nsid w:val="57E4CCAF"/>
    <w:multiLevelType w:val="hybridMultilevel"/>
    <w:lvl w:ilvl="0">
      <w:lvlJc w:val="left"/>
      <w:lvlText w:val="%1."/>
      <w:numFmt w:val="decimal"/>
      <w:start w:val="8"/>
    </w:lvl>
    <w:lvl w:ilvl="1">
      <w:lvlJc w:val="left"/>
      <w:lvlText w:val="(%2)"/>
      <w:numFmt w:val="upperLetter"/>
      <w:start w:val="3"/>
    </w:lvl>
    <w:lvl w:ilvl="2">
      <w:lvlJc w:val="left"/>
      <w:lvlText w:val="(%3)"/>
      <w:numFmt w:val="lowerLetter"/>
      <w:start w:val="1"/>
    </w:lvl>
    <w:lvl w:ilvl="3">
      <w:lvlJc w:val="left"/>
      <w:lvlText w:val="-"/>
      <w:numFmt w:val="bullet"/>
      <w:start w:val="1"/>
    </w:lvl>
  </w:abstractNum>
  <w:abstractNum w:abstractNumId="33">
    <w:nsid w:val="7A6D8D3C"/>
    <w:multiLevelType w:val="hybridMultilevel"/>
    <w:lvl w:ilvl="0">
      <w:lvlJc w:val="left"/>
      <w:lvlText w:val="(%1)"/>
      <w:numFmt w:val="lowerLetter"/>
      <w:start w:val="2"/>
    </w:lvl>
    <w:lvl w:ilvl="1">
      <w:lvlJc w:val="left"/>
      <w:lvlText w:val="-"/>
      <w:numFmt w:val="bullet"/>
      <w:start w:val="1"/>
    </w:lvl>
  </w:abstractNum>
  <w:abstractNum w:abstractNumId="34">
    <w:nsid w:val="4B588F54"/>
    <w:multiLevelType w:val="hybridMultilevel"/>
    <w:lvl w:ilvl="0">
      <w:lvlJc w:val="left"/>
      <w:lvlText w:val="(%1)"/>
      <w:numFmt w:val="lowerLetter"/>
      <w:start w:val="3"/>
    </w:lvl>
    <w:lvl w:ilvl="1">
      <w:lvlJc w:val="left"/>
      <w:lvlText w:val="(%2)"/>
      <w:numFmt w:val="lowerLetter"/>
      <w:start w:val="4"/>
    </w:lvl>
    <w:lvl w:ilvl="2">
      <w:lvlJc w:val="left"/>
      <w:lvlText w:val="-"/>
      <w:numFmt w:val="bullet"/>
      <w:start w:val="1"/>
    </w:lvl>
  </w:abstractNum>
  <w:abstractNum w:abstractNumId="35">
    <w:nsid w:val="542289EC"/>
    <w:multiLevelType w:val="hybridMultilevel"/>
    <w:lvl w:ilvl="0">
      <w:lvlJc w:val="left"/>
      <w:lvlText w:val="(%1)"/>
      <w:numFmt w:val="lowerLetter"/>
      <w:start w:val="5"/>
    </w:lvl>
  </w:abstractNum>
  <w:abstractNum w:abstractNumId="36">
    <w:nsid w:val="6DE91B18"/>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37">
    <w:nsid w:val="38437FDB"/>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8">
    <w:nsid w:val="7644A45C"/>
    <w:multiLevelType w:val="hybridMultilevel"/>
    <w:lvl w:ilvl="0">
      <w:lvlJc w:val="left"/>
      <w:lvlText w:val="%1."/>
      <w:numFmt w:val="decimal"/>
      <w:start w:val="13"/>
    </w:lvl>
    <w:lvl w:ilvl="1">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decimal"/>
      <w:start w:val="2"/>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decimal"/>
      <w:start w:val="3"/>
    </w:lvl>
  </w:abstractNum>
  <w:abstractNum w:abstractNumId="44">
    <w:nsid w:val="1BA026FA"/>
    <w:multiLevelType w:val="hybridMultilevel"/>
    <w:lvl w:ilvl="0">
      <w:lvlJc w:val="left"/>
      <w:lvlText w:val="%1."/>
      <w:numFmt w:val="decimal"/>
      <w:start w:val="3"/>
    </w:lvl>
  </w:abstractNum>
  <w:abstractNum w:abstractNumId="45">
    <w:nsid w:val="79A1DEAA"/>
    <w:multiLevelType w:val="hybridMultilevel"/>
    <w:lvl w:ilvl="0">
      <w:lvlJc w:val="left"/>
      <w:lvlText w:val="%1."/>
      <w:numFmt w:val="decimal"/>
      <w:start w:val="4"/>
    </w:lvl>
  </w:abstractNum>
  <w:abstractNum w:abstractNumId="46">
    <w:nsid w:val="75C6C33A"/>
    <w:multiLevelType w:val="hybridMultilevel"/>
    <w:lvl w:ilvl="0">
      <w:lvlJc w:val="left"/>
      <w:lvlText w:val="%1"/>
      <w:numFmt w:val="lowerLetter"/>
      <w:start w:val="1"/>
    </w:lvl>
    <w:lvl w:ilvl="1">
      <w:lvlJc w:val="left"/>
      <w:lvlText w:val="(%2)"/>
      <w:numFmt w:val="lowerLetter"/>
      <w:start w:val="1"/>
    </w:lvl>
  </w:abstractNum>
  <w:abstractNum w:abstractNumId="47">
    <w:nsid w:val="12E685FB"/>
    <w:multiLevelType w:val="hybridMultilevel"/>
    <w:lvl w:ilvl="0">
      <w:lvlJc w:val="left"/>
      <w:lvlText w:val="(%1)"/>
      <w:numFmt w:val="lowerLetter"/>
      <w:start w:val="61"/>
    </w:lvl>
    <w:lvl w:ilvl="1">
      <w:lvlJc w:val="left"/>
      <w:lvlText w:val="(%2)"/>
      <w:numFmt w:val="lowerLetter"/>
      <w:start w:val="2"/>
    </w:lvl>
  </w:abstractNum>
  <w:abstractNum w:abstractNumId="48">
    <w:nsid w:val="70C6A529"/>
    <w:multiLevelType w:val="hybridMultilevel"/>
    <w:lvl w:ilvl="0">
      <w:lvlJc w:val="left"/>
      <w:lvlText w:val="(%1)"/>
      <w:numFmt w:val="lowerLetter"/>
      <w:start w:val="3"/>
    </w:lvl>
  </w:abstractNum>
  <w:abstractNum w:abstractNumId="49">
    <w:nsid w:val="520EEDD1"/>
    <w:multiLevelType w:val="hybridMultilevel"/>
    <w:lvl w:ilvl="0">
      <w:lvlJc w:val="left"/>
      <w:lvlText w:val="%1."/>
      <w:numFmt w:val="decimal"/>
      <w:start w:val="5"/>
    </w:lvl>
  </w:abstractNum>
  <w:abstractNum w:abstractNumId="50">
    <w:nsid w:val="374A3FE6"/>
    <w:multiLevelType w:val="hybridMultilevel"/>
    <w:lvl w:ilvl="0">
      <w:lvlJc w:val="left"/>
      <w:lvlText w:val="%1."/>
      <w:numFmt w:val="decimal"/>
      <w:start w:val="7"/>
    </w:lvl>
  </w:abstractNum>
  <w:abstractNum w:abstractNumId="51">
    <w:nsid w:val="4F4EF005"/>
    <w:multiLevelType w:val="hybridMultilevel"/>
    <w:lvl w:ilvl="0">
      <w:lvlJc w:val="left"/>
      <w:lvlText w:val="%1."/>
      <w:numFmt w:val="decimal"/>
      <w:start w:val="9"/>
    </w:lvl>
  </w:abstractNum>
  <w:abstractNum w:abstractNumId="52">
    <w:nsid w:val="23F9C13C"/>
    <w:multiLevelType w:val="hybridMultilevel"/>
    <w:lvl w:ilvl="0">
      <w:lvlJc w:val="left"/>
      <w:lvlText w:val="%1."/>
      <w:numFmt w:val="decimal"/>
      <w:start w:val="14"/>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3"/>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2019-12-10T10:26:52Z</dcterms:created>
  <dcterms:modified xsi:type="dcterms:W3CDTF">2019-12-10T10:26:52Z</dcterms:modified>
</cp:coreProperties>
</file>